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GOB25 — Escalera de decisión y delegación de autoridad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inicio (con el acta) y ante cada decisión incierta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equipo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GOB25 (escalera de decisión), GOB5 (RACI), GOB12 (control de cambios)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Responde la pregunta que paraliza a los equipos: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¿quién decide esto?</w:t>
      </w:r>
      <w:r>
        <w:rPr>
          <w:lang w:val="es-ES"/>
        </w:rPr>
        <w:t xml:space="preserve"> </w:t>
      </w:r>
      <w:r>
        <w:rPr>
          <w:lang w:val="es-ES"/>
        </w:rPr>
        <w:t xml:space="preserve">Una escalera clara evita dos extremos: el cuello de botella de todo al sponsor, y la improvisación de quien no debería decidir. Se define al inicio, se cita cuando hay duda, y se revisa cuando el equipo cambia.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Nivel 1 — Decisión operativa (sin consultar).</w:t>
      </w:r>
      <w:r>
        <w:rPr>
          <w:lang w:val="es-ES"/>
        </w:rPr>
        <w:t xml:space="preserve"> </w:t>
      </w:r>
      <w:r>
        <w:rPr>
          <w:lang w:val="es-ES"/>
        </w:rPr>
        <w:t xml:space="preserve">Quién decide: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Ejemplos:</w:t>
      </w:r>
      <w:r>
        <w:rPr>
          <w:lang w:val="es-ES"/>
        </w:rPr>
        <w:t xml:space="preserve"> </w:t>
      </w:r>
      <w:r>
        <w:rPr>
          <w:lang w:val="es-ES"/>
        </w:rPr>
        <w:t xml:space="preserve">orden del día, formato de registro, elección de material entre los ya aprobados.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comunica después, en la próxima reunión.</w:t>
      </w:r>
    </w:p>
    <w:p>
      <w:pPr>
        <w:pStyle w:val="BodyText"/>
      </w:pPr>
      <w:r>
        <w:rPr>
          <w:b/>
          <w:bCs/>
          <w:lang w:val="es-ES"/>
        </w:rPr>
        <w:t xml:space="preserve">Nivel 2 — Decisión de equipo (consulta breve).</w:t>
      </w:r>
      <w:r>
        <w:rPr>
          <w:lang w:val="es-ES"/>
        </w:rPr>
        <w:t xml:space="preserve"> </w:t>
      </w:r>
      <w:r>
        <w:rPr>
          <w:lang w:val="es-ES"/>
        </w:rPr>
        <w:t xml:space="preserve">Quién decide con insumos del equipo: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Ejemplos:</w:t>
      </w:r>
      <w:r>
        <w:rPr>
          <w:lang w:val="es-ES"/>
        </w:rPr>
        <w:t xml:space="preserve"> </w:t>
      </w:r>
      <w:r>
        <w:rPr>
          <w:lang w:val="es-ES"/>
        </w:rPr>
        <w:t xml:space="preserve">cambios de secuencia, ajuste de actividades, uso del espacio.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registra en el acta (GOB10).</w:t>
      </w:r>
    </w:p>
    <w:p>
      <w:pPr>
        <w:pStyle w:val="BodyText"/>
      </w:pPr>
      <w:r>
        <w:rPr>
          <w:b/>
          <w:bCs/>
          <w:lang w:val="es-ES"/>
        </w:rPr>
        <w:t xml:space="preserve">Nivel 3 — Decisión de dirección (aprueba el sponsor).</w:t>
      </w:r>
      <w:r>
        <w:rPr>
          <w:lang w:val="es-ES"/>
        </w:rPr>
        <w:t xml:space="preserve"> </w:t>
      </w:r>
      <w:r>
        <w:rPr>
          <w:lang w:val="es-ES"/>
        </w:rPr>
        <w:t xml:space="preserve">Quién propone y quién aprueba: propone ______________ · aprueba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Ejemplos:</w:t>
      </w:r>
      <w:r>
        <w:rPr>
          <w:lang w:val="es-ES"/>
        </w:rPr>
        <w:t xml:space="preserve"> </w:t>
      </w:r>
      <w:r>
        <w:rPr>
          <w:lang w:val="es-ES"/>
        </w:rPr>
        <w:t xml:space="preserve">cambios de alcance, uso de recursos, acuerdos con terceros (GOB19).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Se registra con control de cambios (GOB12).</w:t>
      </w:r>
    </w:p>
    <w:p>
      <w:pPr>
        <w:pStyle w:val="BodyText"/>
      </w:pPr>
      <w:r>
        <w:rPr>
          <w:b/>
          <w:bCs/>
          <w:lang w:val="es-ES"/>
        </w:rPr>
        <w:t xml:space="preserve">Nivel 4 — Decisión estructural (cambia el marco).</w:t>
      </w:r>
      <w:r>
        <w:rPr>
          <w:lang w:val="es-ES"/>
        </w:rPr>
        <w:t xml:space="preserve"> </w:t>
      </w:r>
      <w:r>
        <w:rPr>
          <w:lang w:val="es-ES"/>
        </w:rPr>
        <w:t xml:space="preserve">Quién decide: ______________ (con el equipo y registro formal)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Ejemplos:</w:t>
      </w:r>
      <w:r>
        <w:rPr>
          <w:lang w:val="es-ES"/>
        </w:rPr>
        <w:t xml:space="preserve"> </w:t>
      </w:r>
      <w:r>
        <w:rPr>
          <w:lang w:val="es-ES"/>
        </w:rPr>
        <w:t xml:space="preserve">acta, políticas, arquitectura del sistema, métricas maestras.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Exige escrito, versión anterior conservada y difusión al equipo.</w:t>
      </w:r>
    </w:p>
    <w:p>
      <w:pPr>
        <w:pStyle w:val="BodyText"/>
      </w:pPr>
      <w:r>
        <w:rPr>
          <w:b/>
          <w:bCs/>
          <w:lang w:val="es-ES"/>
        </w:rPr>
        <w:t xml:space="preserve">Regla de salto.</w:t>
      </w:r>
      <w:r>
        <w:rPr>
          <w:lang w:val="es-ES"/>
        </w:rPr>
        <w:t xml:space="preserve"> </w:t>
      </w:r>
      <w:r>
        <w:rPr>
          <w:lang w:val="es-ES"/>
        </w:rPr>
        <w:t xml:space="preserve">Si alguien debe saltar un nivel (urgencia), lo hace y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avisa por escrito en las siguientes 24 horas</w:t>
      </w:r>
      <w:r>
        <w:rPr>
          <w:lang w:val="es-ES"/>
        </w:rPr>
        <w:t xml:space="preserve"> </w:t>
      </w:r>
      <w:r>
        <w:rPr>
          <w:lang w:val="es-ES"/>
        </w:rPr>
        <w:t xml:space="preserve">—la urgencia justifica el salto, no el silencio.</w:t>
      </w:r>
    </w:p>
    <w:p>
      <w:pPr>
        <w:pStyle w:val="BodyText"/>
      </w:pPr>
      <w:r>
        <w:rPr>
          <w:b/>
          <w:bCs/>
          <w:lang w:val="es-ES"/>
        </w:rPr>
        <w:t xml:space="preserve">Mapa de escalamiento externo.</w:t>
      </w:r>
      <w:r>
        <w:rPr>
          <w:lang w:val="es-ES"/>
        </w:rPr>
        <w:t xml:space="preserve"> </w:t>
      </w:r>
      <w:r>
        <w:rPr>
          <w:lang w:val="es-ES"/>
        </w:rPr>
        <w:t xml:space="preserve">Con ______________ (rol) se escala cuando: ☐ hay desacuerdo de niveles ☐ hay riesgo materializado ☐ hay conducta contraria al código (GOB8).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La escalera se pega en la pared (o en la primera página del manual) y se cita en voz alta cuando empiece la duda:</w:t>
      </w:r>
      <w:r>
        <w:rPr>
          <w:lang w:val="es-ES"/>
        </w:rPr>
        <w:t xml:space="preserve"> </w:t>
      </w:r>
      <w:r>
        <w:rPr>
          <w:lang w:val="es-ES"/>
        </w:rPr>
        <w:t xml:space="preserve">“¿esto es nivel 1 o nivel 3?”</w:t>
      </w:r>
      <w:r>
        <w:rPr>
          <w:lang w:val="es-ES"/>
        </w:rPr>
        <w:t xml:space="preserve">. Y cuidado con la tentación de subir todo al nivel 4</w:t>
      </w:r>
      <w:r>
        <w:rPr>
          <w:lang w:val="es-ES"/>
        </w:rPr>
        <w:t xml:space="preserve"> </w:t>
      </w:r>
      <w:r>
        <w:rPr>
          <w:lang w:val="es-ES"/>
        </w:rPr>
        <w:t xml:space="preserve">“por seguridad”</w:t>
      </w:r>
      <w:r>
        <w:rPr>
          <w:lang w:val="es-ES"/>
        </w:rPr>
        <w:t xml:space="preserve">: eso no es rigor, es miedo con formato —y convierte al sponsor en cuello de botella y al equipo en espectador.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inicio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GOB25 — Escalera de decisión y delegación de autoridad</dc:title>
  <dc:creator>Plantillas · Ingeniería de la Educación · Proyecto Programa Sintético</dc:creator>
  <dc:language>es-ES</dc:language>
  <cp:keywords/>
  <dcterms:created xsi:type="dcterms:W3CDTF">2026-09-29T04:11:21Z</dcterms:created>
  <dcterms:modified xsi:type="dcterms:W3CDTF">2026-09-29T04:11:21Z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