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Plantilla GOB8 — Código de conducta</w:t>
      </w:r>
    </w:p>
    <w:p>
      <w:pPr>
        <w:pStyle w:val="Author"/>
      </w:pPr>
      <w:r>
        <w:rPr>
          <w:lang w:val="es-ES"/>
        </w:rPr>
        <w:t xml:space="preserve">Plantillas · Ingeniería de la Educación · Proyecto Programa Sintético</w:t>
      </w:r>
    </w:p>
    <w:p>
      <w:pPr>
        <w:pStyle w:val="Date"/>
      </w:pPr>
      <w:r>
        <w:rPr>
          <w:lang w:val="es-ES"/>
        </w:rPr>
        <w:t xml:space="preserve">Plantillas v0.1 · 24 plantillas · 29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b/>
          <w:bCs/>
          <w:lang w:val="es-ES"/>
        </w:rPr>
        <w:t xml:space="preserve">Ciclo:</w:t>
      </w:r>
      <w:r>
        <w:rPr>
          <w:lang w:val="es-ES"/>
        </w:rPr>
        <w:t xml:space="preserve"> </w:t>
      </w:r>
      <w:r>
        <w:rPr>
          <w:lang w:val="es-ES"/>
        </w:rPr>
        <w:t xml:space="preserve">inicio (con la firma del equipo)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Universal:</w:t>
      </w:r>
      <w:r>
        <w:rPr>
          <w:lang w:val="es-ES"/>
        </w:rPr>
        <w:t xml:space="preserve"> </w:t>
      </w:r>
      <w:r>
        <w:rPr>
          <w:lang w:val="es-ES"/>
        </w:rPr>
        <w:t xml:space="preserve">cualquier equipo o proyecto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Términos:</w:t>
      </w:r>
      <w:r>
        <w:rPr>
          <w:lang w:val="es-ES"/>
        </w:rPr>
        <w:t xml:space="preserve"> </w:t>
      </w:r>
      <w:r>
        <w:rPr>
          <w:lang w:val="es-ES"/>
        </w:rPr>
        <w:t xml:space="preserve">GOB8 (código de conducta), GOB35 (registro como condición), Acta arts. 6 y 9</w:t>
      </w:r>
    </w:p>
    <w:p>
      <w:r>
        <w:pict>
          <v:rect style="width:0;height:1.5pt" o:hralign="center" o:hrstd="t" o:hr="t"/>
        </w:pict>
      </w:r>
    </w:p>
    <w:bookmarkStart w:id="9" w:name="para-qué-sirve"/>
    <w:p>
      <w:pPr>
        <w:pStyle w:val="Heading2"/>
      </w:pPr>
      <w:r>
        <w:rPr>
          <w:lang w:val="es-ES"/>
        </w:rPr>
        <w:t xml:space="preserve">Para qué sirve</w:t>
      </w:r>
    </w:p>
    <w:p>
      <w:pPr>
        <w:pStyle w:val="FirstParagraph"/>
      </w:pPr>
      <w:r>
        <w:rPr>
          <w:lang w:val="es-ES"/>
        </w:rPr>
        <w:t xml:space="preserve">Lo que se espera del comportamiento de cada persona que participa —hacia el trabajo, entre pares y hacia las personas beneficiarias—, con su canal de reporte. Se firma con el equipo y se repite a cada persona nueva (inducción, GOB20). Evita que la convivencia dependa del carácter de los presentes.</w:t>
      </w:r>
    </w:p>
    <w:p>
      <w:r>
        <w:pict>
          <v:rect style="width:0;height:1.5pt" o:hralign="center" o:hrstd="t" o:hr="t"/>
        </w:pict>
      </w:r>
    </w:p>
    <w:bookmarkEnd w:id="9"/>
    <w:bookmarkStart w:id="10" w:name="cómo-completarla"/>
    <w:p>
      <w:pPr>
        <w:pStyle w:val="Heading2"/>
      </w:pPr>
      <w:r>
        <w:rPr>
          <w:lang w:val="es-ES"/>
        </w:rPr>
        <w:t xml:space="preserve">Cómo completarla</w:t>
      </w:r>
    </w:p>
    <w:p>
      <w:pPr>
        <w:pStyle w:val="FirstParagraph"/>
      </w:pPr>
      <w:r>
        <w:rPr>
          <w:b/>
          <w:bCs/>
          <w:lang w:val="es-ES"/>
        </w:rPr>
        <w:t xml:space="preserve">1. Nuestros compromisos de trato</w:t>
      </w:r>
      <w:r>
        <w:rPr>
          <w:lang w:val="es-ES"/>
        </w:rPr>
        <w:t xml:space="preserve"> </w:t>
      </w:r>
      <w:r>
        <w:rPr>
          <w:lang w:val="es-ES"/>
        </w:rPr>
        <w:t xml:space="preserve">(marca los que el equipo adopta y ajusta los que falte):</w:t>
      </w:r>
    </w:p>
    <w:p>
      <w:pPr>
        <w:pStyle w:val="Compact"/>
        <w:numPr>
          <w:ilvl w:val="0"/>
          <w:numId w:val="1001"/>
        </w:numPr>
      </w:pPr>
      <w:r>
        <w:rPr>
          <w:lang w:val="es-ES"/>
        </w:rPr>
        <w:t xml:space="preserve">Tratamos con respeto siempre; el error propio y ajeno es información, no vergüenza</w:t>
      </w:r>
    </w:p>
    <w:p>
      <w:pPr>
        <w:pStyle w:val="Compact"/>
        <w:numPr>
          <w:ilvl w:val="0"/>
          <w:numId w:val="1002"/>
        </w:numPr>
      </w:pPr>
      <w:r>
        <w:rPr>
          <w:lang w:val="es-ES"/>
        </w:rPr>
        <w:t xml:space="preserve">Cero burlas, humillaciones y comparaciones entre personas</w:t>
      </w:r>
    </w:p>
    <w:p>
      <w:pPr>
        <w:pStyle w:val="Compact"/>
        <w:numPr>
          <w:ilvl w:val="0"/>
          <w:numId w:val="1003"/>
        </w:numPr>
      </w:pPr>
      <w:r>
        <w:rPr>
          <w:lang w:val="es-ES"/>
        </w:rPr>
        <w:t xml:space="preserve">Los límites se explican con razón; no se gobierna con amenazas</w:t>
      </w:r>
    </w:p>
    <w:p>
      <w:pPr>
        <w:pStyle w:val="Compact"/>
        <w:numPr>
          <w:ilvl w:val="0"/>
          <w:numId w:val="1004"/>
        </w:numPr>
      </w:pPr>
      <w:r>
        <w:rPr>
          <w:lang w:val="es-ES"/>
        </w:rPr>
        <w:t xml:space="preserve">Nadie trabaja expuesto: los problemas de una persona se manejan con privacidad</w:t>
      </w:r>
    </w:p>
    <w:p>
      <w:pPr>
        <w:pStyle w:val="Compact"/>
        <w:numPr>
          <w:ilvl w:val="0"/>
          <w:numId w:val="1005"/>
        </w:numPr>
      </w:pPr>
      <w:r>
        <w:rPr>
          <w:lang w:val="es-ES"/>
        </w:rPr>
        <w:t xml:space="preserve">Las diferencias se acomodan (ajustes razonables), no se exigen</w:t>
      </w:r>
    </w:p>
    <w:p>
      <w:pPr>
        <w:pStyle w:val="Compact"/>
        <w:numPr>
          <w:ilvl w:val="0"/>
          <w:numId w:val="1006"/>
        </w:numPr>
      </w:pPr>
      <w:r>
        <w:rPr>
          <w:lang w:val="es-ES"/>
        </w:rPr>
        <w:t xml:space="preserve">Las decisiones se discuten con datos y se firman con nombre</w:t>
      </w:r>
    </w:p>
    <w:p>
      <w:pPr>
        <w:pStyle w:val="FirstParagraph"/>
      </w:pPr>
      <w:r>
        <w:rPr>
          <w:b/>
          <w:bCs/>
          <w:lang w:val="es-ES"/>
        </w:rPr>
        <w:t xml:space="preserve">2. Canal de reporte.</w:t>
      </w:r>
      <w:r>
        <w:rPr>
          <w:lang w:val="es-ES"/>
        </w:rPr>
        <w:t xml:space="preserve"> </w:t>
      </w:r>
      <w:r>
        <w:rPr>
          <w:lang w:val="es-ES"/>
        </w:rPr>
        <w:t xml:space="preserve">Si alguien vive o ve una conducta contraria a esto, ¿a quién lo dice? ______________ · Reserva: ☐ confidencial ☐ formal · Qué pasa después: 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3. Consecuencias.</w:t>
      </w:r>
      <w:r>
        <w:rPr>
          <w:lang w:val="es-ES"/>
        </w:rPr>
        <w:t xml:space="preserve"> </w:t>
      </w:r>
      <w:r>
        <w:rPr>
          <w:lang w:val="es-ES"/>
        </w:rPr>
        <w:t xml:space="preserve">Las faltas se atienden con: ☐ conversación y acuerdo de cambio ☐ acción correctiva registrada ☐ (en caso grave) escalamiento a 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Nunca se corrige con humillación pública ni con represalia.</w:t>
      </w:r>
    </w:p>
    <w:p>
      <w:pPr>
        <w:pStyle w:val="BodyText"/>
      </w:pPr>
      <w:r>
        <w:rPr>
          <w:b/>
          <w:bCs/>
          <w:lang w:val="es-ES"/>
        </w:rPr>
        <w:t xml:space="preserve">4. Revisión con el equipo.</w:t>
      </w:r>
      <w:r>
        <w:rPr>
          <w:lang w:val="es-ES"/>
        </w:rPr>
        <w:t xml:space="preserve"> </w:t>
      </w:r>
      <w:r>
        <w:rPr>
          <w:lang w:val="es-ES"/>
        </w:rPr>
        <w:t xml:space="preserve">Cada ____ (meses/ciclo) se revisa este código con el equipo: ¿sigue siendo nuestro? ¿algo nos falta? Registro: ______________</w:t>
      </w:r>
    </w:p>
    <w:p>
      <w:pPr>
        <w:pStyle w:val="BodyText"/>
      </w:pPr>
      <w:r>
        <w:rPr>
          <w:b/>
          <w:bCs/>
          <w:lang w:val="es-ES"/>
        </w:rPr>
        <w:t xml:space="preserve">Firma del equipo: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consejo-de-uso"/>
    <w:p>
      <w:pPr>
        <w:pStyle w:val="Heading2"/>
      </w:pPr>
      <w:r>
        <w:rPr>
          <w:lang w:val="es-ES"/>
        </w:rPr>
        <w:t xml:space="preserve">Consejo de uso</w:t>
      </w:r>
    </w:p>
    <w:p>
      <w:pPr>
        <w:pStyle w:val="FirstParagraph"/>
      </w:pPr>
      <w:r>
        <w:rPr>
          <w:lang w:val="es-ES"/>
        </w:rPr>
        <w:t xml:space="preserve">Un código que nadie lee es decoración: se lee al inicio, se cita cuando algo duele, y se revisa cuando el equipo cambia. La cláusula más importante es la del canal de reporte: si reportar es incómodo o no pasa nada, el código es papel mojado.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Plantillas · Ciclo: inicio · v0.1</w:t>
      </w:r>
    </w:p>
    <w:bookmarkEnd w:id="11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GOB8 — Código de conducta</dc:title>
  <dc:creator>Plantillas · Ingeniería de la Educación · Proyecto Programa Sintético</dc:creator>
  <dc:language>es-ES</dc:language>
  <cp:keywords/>
  <dcterms:created xsi:type="dcterms:W3CDTF">2026-09-29T04:11:23Z</dcterms:created>
  <dcterms:modified xsi:type="dcterms:W3CDTF">2026-09-29T04:11:23Z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Plantillas v0.1 · 24 plantillas · 29 de septiembre de 2026</vt:lpwstr>
  </property>
</Properties>
</file>