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X0c44e2dff62097eab968ce8aca25a3d77977919"/>
    <w:p>
      <w:pPr>
        <w:pStyle w:val="Heading1"/>
      </w:pPr>
      <w:r>
        <w:t xml:space="preserve">FODA del Programa de Neuroeducación Preescolar</w:t>
      </w:r>
    </w:p>
    <w:bookmarkStart w:id="9" w:name="Xb8e496d6f127ef89cad754ecb5c2995d769fe8c"/>
    <w:p>
      <w:pPr>
        <w:pStyle w:val="Heading2"/>
      </w:pPr>
      <w:r>
        <w:t xml:space="preserve">Análisis FODA — piloto en 1 plantel, diseño escalable</w:t>
      </w:r>
    </w:p>
    <w:p>
      <w:pPr>
        <w:pStyle w:val="FirstParagraph"/>
      </w:pPr>
      <w:r>
        <w:rPr>
          <w:i/>
          <w:iCs/>
        </w:rPr>
        <w:t xml:space="preserve">Documento de gobernanza · Segunda Tanda · Versión 1.0 · 26 de septiembre de 2026</w:t>
      </w:r>
      <w:r>
        <w:t xml:space="preserve"> </w:t>
      </w:r>
      <w:r>
        <w:rPr>
          <w:i/>
          <w:iCs/>
        </w:rPr>
        <w:t xml:space="preserve">Insumo directo de: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soach-estrategias-programa-neuroeducacion.md</w:t>
      </w:r>
      <w:r>
        <w:rPr>
          <w:i/>
          <w:iCs/>
        </w:rPr>
        <w:t xml:space="preserve"> </w:t>
      </w:r>
      <w:r>
        <w:rPr>
          <w:i/>
          <w:iCs/>
        </w:rPr>
        <w:t xml:space="preserve">(cruce FO/DO/FA/DA)</w:t>
      </w:r>
      <w:r>
        <w:t xml:space="preserve"> </w:t>
      </w:r>
      <w:r>
        <w:rPr>
          <w:i/>
          <w:iCs/>
        </w:rPr>
        <w:t xml:space="preserve">Cada ítem indica su fuente en la serie documental: [D1]–[D6], [CAN] =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fundamentos-axiomas-del-programa.md</w:t>
      </w:r>
      <w:r>
        <w:rPr>
          <w:i/>
          <w:iCs/>
        </w:rPr>
        <w:t xml:space="preserve">, [ADR], [ROAD] = roadmap.</w:t>
      </w:r>
    </w:p>
    <w:p>
      <w:r>
        <w:pict>
          <v:rect style="width:0;height:1.5pt" o:hralign="center" o:hrstd="t" o:hr="t"/>
        </w:pict>
      </w:r>
    </w:p>
    <w:bookmarkEnd w:id="9"/>
    <w:bookmarkStart w:id="10" w:name="f-fortalezas-internas"/>
    <w:p>
      <w:pPr>
        <w:pStyle w:val="Heading2"/>
      </w:pPr>
      <w:r>
        <w:t xml:space="preserve">F — Fortalezas (internas)</w:t>
      </w:r>
    </w:p>
    <w:p>
      <w:pPr>
        <w:pStyle w:val="FirstParagraph"/>
      </w:pPr>
      <w:r>
        <w:rPr>
          <w:b/>
          <w:bCs/>
        </w:rPr>
        <w:t xml:space="preserve">F1 — Serie documental completa con trazabilidad: 6 documentos (neuroeducación, integración curricular, estrés/crisis, glosario 193 términos, glosario interseccional 124 términos, análisis transversal ley×neuro×IA) con etiquetas cruzadas.</w:t>
      </w:r>
      <w:r>
        <w:t xml:space="preserve"> </w:t>
      </w:r>
      <w:r>
        <w:rPr>
          <w:i/>
          <w:iCs/>
        </w:rPr>
        <w:t xml:space="preserve">(Fuente: [D1]–[D6])</w:t>
      </w:r>
      <w:r>
        <w:t xml:space="preserve"> </w:t>
      </w:r>
      <w:r>
        <w:rPr>
          <w:b/>
          <w:bCs/>
        </w:rPr>
        <w:t xml:space="preserve">F2 — Alineación normativa total: CPEUM arts. 3 y 4, CDN, LGE, Plan 2022 y Programa Sintético (marco intacto).</w:t>
      </w:r>
      <w:r>
        <w:t xml:space="preserve"> </w:t>
      </w:r>
      <w:r>
        <w:rPr>
          <w:i/>
          <w:iCs/>
        </w:rPr>
        <w:t xml:space="preserve">(Fuente: [D6 §1])</w:t>
      </w:r>
      <w:r>
        <w:t xml:space="preserve"> </w:t>
      </w:r>
      <w:r>
        <w:rPr>
          <w:b/>
          <w:bCs/>
        </w:rPr>
        <w:t xml:space="preserve">F3 — Fundamento axiomático explícito y compartido por todas las audiencias [AX-1..3] (AX-1 información/errores · AX-2 adultos+realidad material · AX-3 resignificación de matices), con anclaje, guardas y fuente única.</w:t>
      </w:r>
      <w:r>
        <w:t xml:space="preserve"> </w:t>
      </w:r>
      <w:r>
        <w:rPr>
          <w:i/>
          <w:iCs/>
        </w:rPr>
        <w:t xml:space="preserve">(Fuente: [CAN] (AD-0))</w:t>
      </w:r>
      <w:r>
        <w:t xml:space="preserve"> </w:t>
      </w:r>
      <w:r>
        <w:rPr>
          <w:b/>
          <w:bCs/>
        </w:rPr>
        <w:t xml:space="preserve">F4 — Marco andragógico para los adultos: Knowles, aprendizaje experiencial, doble bucle, CTE como comunidad de práctica.</w:t>
      </w:r>
      <w:r>
        <w:t xml:space="preserve"> </w:t>
      </w:r>
      <w:r>
        <w:rPr>
          <w:i/>
          <w:iCs/>
        </w:rPr>
        <w:t xml:space="preserve">(Fuente: [D4 bloque G]; [ADR AD-4])</w:t>
      </w:r>
      <w:r>
        <w:t xml:space="preserve"> </w:t>
      </w:r>
      <w:r>
        <w:rPr>
          <w:b/>
          <w:bCs/>
        </w:rPr>
        <w:t xml:space="preserve">F5 — Protocolos operativos de crisis y seguridad practicados (role-play) y de no discriminación.</w:t>
      </w:r>
      <w:r>
        <w:t xml:space="preserve"> </w:t>
      </w:r>
      <w:r>
        <w:rPr>
          <w:i/>
          <w:iCs/>
        </w:rPr>
        <w:t xml:space="preserve">(Fuente: [D3 §6]; [D1 §6.6])</w:t>
      </w:r>
      <w:r>
        <w:t xml:space="preserve"> </w:t>
      </w:r>
      <w:r>
        <w:rPr>
          <w:b/>
          <w:bCs/>
        </w:rPr>
        <w:t xml:space="preserve">F6 — Filtro anti-neuromitos + política de IA anticipada (6 principios, prohibición de perfilar menores) ante el vacío regulatorio.</w:t>
      </w:r>
      <w:r>
        <w:t xml:space="preserve"> </w:t>
      </w:r>
      <w:r>
        <w:rPr>
          <w:i/>
          <w:iCs/>
        </w:rPr>
        <w:t xml:space="preserve">(Fuente: [D4 bloque J]; [D6 §5.5]; [ADR AD-5])</w:t>
      </w:r>
      <w:r>
        <w:t xml:space="preserve"> </w:t>
      </w:r>
      <w:r>
        <w:rPr>
          <w:b/>
          <w:bCs/>
        </w:rPr>
        <w:t xml:space="preserve">F7 — Gobernanza documentada: ADR con RACI, roadmap sin dependencia de calendario, checklist de codiseño.</w:t>
      </w:r>
      <w:r>
        <w:t xml:space="preserve"> </w:t>
      </w:r>
      <w:r>
        <w:rPr>
          <w:i/>
          <w:iCs/>
        </w:rPr>
        <w:t xml:space="preserve">(Fuente: [ADR]; [ROAD])</w:t>
      </w:r>
      <w:r>
        <w:t xml:space="preserve"> </w:t>
      </w:r>
      <w:r>
        <w:rPr>
          <w:b/>
          <w:bCs/>
        </w:rPr>
        <w:t xml:space="preserve">F8 — Lente interseccional e ideológico trazable: la neutralidad imposible se hace explícita y auditable (auditoría de materiales, datos desagregados).</w:t>
      </w:r>
      <w:r>
        <w:t xml:space="preserve"> </w:t>
      </w:r>
      <w:r>
        <w:rPr>
          <w:i/>
          <w:iCs/>
        </w:rPr>
        <w:t xml:space="preserve">(Fuente: [D5]; [D6])</w:t>
      </w:r>
    </w:p>
    <w:p>
      <w:r>
        <w:pict>
          <v:rect style="width:0;height:1.5pt" o:hralign="center" o:hrstd="t" o:hr="t"/>
        </w:pict>
      </w:r>
    </w:p>
    <w:bookmarkEnd w:id="10"/>
    <w:bookmarkStart w:id="11" w:name="d-debilidades-internas"/>
    <w:p>
      <w:pPr>
        <w:pStyle w:val="Heading2"/>
      </w:pPr>
      <w:r>
        <w:t xml:space="preserve">D — Debilidades (internas)</w:t>
      </w:r>
    </w:p>
    <w:p>
      <w:pPr>
        <w:pStyle w:val="FirstParagraph"/>
      </w:pPr>
      <w:r>
        <w:rPr>
          <w:b/>
          <w:bCs/>
        </w:rPr>
        <w:t xml:space="preserve">D1 — Sin línea base: no se ha medido el punto de partida (ni prácticas ni clima ni conocimientos).</w:t>
      </w:r>
      <w:r>
        <w:t xml:space="preserve"> </w:t>
      </w:r>
      <w:r>
        <w:rPr>
          <w:i/>
          <w:iCs/>
        </w:rPr>
        <w:t xml:space="preserve">(Fuente: [ADR AD-3]; [ROAD F0] — pendiente)</w:t>
      </w:r>
      <w:r>
        <w:t xml:space="preserve"> </w:t>
      </w:r>
      <w:r>
        <w:rPr>
          <w:b/>
          <w:bCs/>
        </w:rPr>
        <w:t xml:space="preserve">D2 — Formación docente no ejecutada: el curso está diseñado pero no corrido; riesgo de teoría sin práctica.</w:t>
      </w:r>
      <w:r>
        <w:t xml:space="preserve"> </w:t>
      </w:r>
      <w:r>
        <w:rPr>
          <w:i/>
          <w:iCs/>
        </w:rPr>
        <w:t xml:space="preserve">(Fuente: [ADR AD-2] — pendiente F1)</w:t>
      </w:r>
      <w:r>
        <w:t xml:space="preserve"> </w:t>
      </w:r>
      <w:r>
        <w:rPr>
          <w:b/>
          <w:bCs/>
        </w:rPr>
        <w:t xml:space="preserve">D3 — Dependencia de personas clave: equipo pequeño; si sale el sponsor o el coordinador, el proyecto se detiene.</w:t>
      </w:r>
      <w:r>
        <w:t xml:space="preserve"> </w:t>
      </w:r>
      <w:r>
        <w:rPr>
          <w:i/>
          <w:iCs/>
        </w:rPr>
        <w:t xml:space="preserve">(Fuente: [ADR AD-6])</w:t>
      </w:r>
      <w:r>
        <w:t xml:space="preserve"> </w:t>
      </w:r>
      <w:r>
        <w:rPr>
          <w:b/>
          <w:bCs/>
        </w:rPr>
        <w:t xml:space="preserve">D4 — Material no validado externamente aún: la serie fue construida internamente; no tiene revisión de pares fuera del proyecto.</w:t>
      </w:r>
      <w:r>
        <w:t xml:space="preserve"> </w:t>
      </w:r>
      <w:r>
        <w:rPr>
          <w:i/>
          <w:iCs/>
        </w:rPr>
        <w:t xml:space="preserve">(Fuente: [D1]; revisión pendiente)</w:t>
      </w:r>
      <w:r>
        <w:t xml:space="preserve"> </w:t>
      </w:r>
      <w:r>
        <w:rPr>
          <w:b/>
          <w:bCs/>
        </w:rPr>
        <w:t xml:space="preserve">D5 — Sin presupuesto ni fechas fijas: solo semanas relativas — flexible pero difícil de comprometer ante terceros.</w:t>
      </w:r>
      <w:r>
        <w:t xml:space="preserve"> </w:t>
      </w:r>
      <w:r>
        <w:rPr>
          <w:i/>
          <w:iCs/>
        </w:rPr>
        <w:t xml:space="preserve">(Fuente: [ROAD §0])</w:t>
      </w:r>
      <w:r>
        <w:t xml:space="preserve"> </w:t>
      </w:r>
      <w:r>
        <w:rPr>
          <w:b/>
          <w:bCs/>
        </w:rPr>
        <w:t xml:space="preserve">D6 — Carga de lectura alta para audiencias no especialistas (serie extensa); depende de las rutas por rol para ser asimilable.</w:t>
      </w:r>
      <w:r>
        <w:t xml:space="preserve"> </w:t>
      </w:r>
      <w:r>
        <w:rPr>
          <w:i/>
          <w:iCs/>
        </w:rPr>
        <w:t xml:space="preserve">(Fuente: [ADR AD-2]; plan de estudios)</w:t>
      </w:r>
      <w:r>
        <w:t xml:space="preserve"> </w:t>
      </w:r>
      <w:r>
        <w:rPr>
          <w:b/>
          <w:bCs/>
        </w:rPr>
        <w:t xml:space="preserve">D7 — Experiencia previa de cambio institucional limitada: no se conoce historial de innovación sostenida en el plantel.</w:t>
      </w:r>
      <w:r>
        <w:t xml:space="preserve"> </w:t>
      </w:r>
      <w:r>
        <w:rPr>
          <w:i/>
          <w:iCs/>
        </w:rPr>
        <w:t xml:space="preserve">(Fuente: diagnóstico interno)</w:t>
      </w:r>
    </w:p>
    <w:p>
      <w:r>
        <w:pict>
          <v:rect style="width:0;height:1.5pt" o:hralign="center" o:hrstd="t" o:hr="t"/>
        </w:pict>
      </w:r>
    </w:p>
    <w:bookmarkEnd w:id="11"/>
    <w:bookmarkStart w:id="12" w:name="o-oportunidades-externas"/>
    <w:p>
      <w:pPr>
        <w:pStyle w:val="Heading2"/>
      </w:pPr>
      <w:r>
        <w:t xml:space="preserve">O — Oportunidades (externas)</w:t>
      </w:r>
    </w:p>
    <w:p>
      <w:pPr>
        <w:pStyle w:val="FirstParagraph"/>
      </w:pPr>
      <w:r>
        <w:rPr>
          <w:b/>
          <w:bCs/>
        </w:rPr>
        <w:t xml:space="preserve">O1 — Educación inicial/preescolar como derecho constitucional (art. 3, reforma DOF 15-05-2019) y obligación de formación docente: respaldo político-normativo para invertir en 3–6.</w:t>
      </w:r>
      <w:r>
        <w:t xml:space="preserve"> </w:t>
      </w:r>
      <w:r>
        <w:rPr>
          <w:i/>
          <w:iCs/>
        </w:rPr>
        <w:t xml:space="preserve">(Fuente: [D6 §1.1])</w:t>
      </w:r>
      <w:r>
        <w:t xml:space="preserve"> </w:t>
      </w:r>
      <w:r>
        <w:rPr>
          <w:b/>
          <w:bCs/>
        </w:rPr>
        <w:t xml:space="preserve">O2 — Vacío regulatorio de IA en México (sin ley federal a sept. 2026): quien se autorregule con criterios sólidos se posiciona como referente ético.</w:t>
      </w:r>
      <w:r>
        <w:t xml:space="preserve"> </w:t>
      </w:r>
      <w:r>
        <w:rPr>
          <w:i/>
          <w:iCs/>
        </w:rPr>
        <w:t xml:space="preserve">(Fuente: [D6 §5.3])</w:t>
      </w:r>
      <w:r>
        <w:t xml:space="preserve"> </w:t>
      </w:r>
      <w:r>
        <w:rPr>
          <w:b/>
          <w:bCs/>
        </w:rPr>
        <w:t xml:space="preserve">O3 — OG 25 (entorno digital/IA) y OG 26 (ambiente/clima) casi sin traducir al aula preescolar: contenido novedoso, trazable y de interés para autoridad y familias.</w:t>
      </w:r>
      <w:r>
        <w:t xml:space="preserve"> </w:t>
      </w:r>
      <w:r>
        <w:rPr>
          <w:i/>
          <w:iCs/>
        </w:rPr>
        <w:t xml:space="preserve">(Fuente: [D6 §1.2])</w:t>
      </w:r>
      <w:r>
        <w:t xml:space="preserve"> </w:t>
      </w:r>
      <w:r>
        <w:rPr>
          <w:b/>
          <w:bCs/>
        </w:rPr>
        <w:t xml:space="preserve">O4 — CTE como plataforma oficial para codiseño y formación: la estructura ya existe y está normada.</w:t>
      </w:r>
      <w:r>
        <w:t xml:space="preserve"> </w:t>
      </w:r>
      <w:r>
        <w:rPr>
          <w:i/>
          <w:iCs/>
        </w:rPr>
        <w:t xml:space="preserve">(Fuente: [D4 H15]; [D2 §4.2])</w:t>
      </w:r>
      <w:r>
        <w:t xml:space="preserve"> </w:t>
      </w:r>
      <w:r>
        <w:rPr>
          <w:b/>
          <w:bCs/>
        </w:rPr>
        <w:t xml:space="preserve">O5 — La NEM exige contextualización y comunidad: el modelo encaja con la política vigente sin fricción normativa.</w:t>
      </w:r>
      <w:r>
        <w:t xml:space="preserve"> </w:t>
      </w:r>
      <w:r>
        <w:rPr>
          <w:i/>
          <w:iCs/>
        </w:rPr>
        <w:t xml:space="preserve">(Fuente: [D2 §4]; [PE])</w:t>
      </w:r>
      <w:r>
        <w:t xml:space="preserve"> </w:t>
      </w:r>
      <w:r>
        <w:rPr>
          <w:b/>
          <w:bCs/>
        </w:rPr>
        <w:t xml:space="preserve">O6 — Demanda creciente de neuroeducación y neurodiversidad en la conversación educativa pública.</w:t>
      </w:r>
      <w:r>
        <w:t xml:space="preserve"> </w:t>
      </w:r>
      <w:r>
        <w:rPr>
          <w:i/>
          <w:iCs/>
        </w:rPr>
        <w:t xml:space="preserve">(Fuente: [D1]; [D3 §1.4])</w:t>
      </w:r>
      <w:r>
        <w:t xml:space="preserve"> </w:t>
      </w:r>
      <w:r>
        <w:rPr>
          <w:b/>
          <w:bCs/>
        </w:rPr>
        <w:t xml:space="preserve">O7 — Diseño escalable: si el piloto rinde, los criterios de réplica ya están previstos.</w:t>
      </w:r>
      <w:r>
        <w:t xml:space="preserve"> </w:t>
      </w:r>
      <w:r>
        <w:rPr>
          <w:i/>
          <w:iCs/>
        </w:rPr>
        <w:t xml:space="preserve">(Fuente: [ROAD F5/§5])</w:t>
      </w:r>
      <w:r>
        <w:t xml:space="preserve"> </w:t>
      </w:r>
      <w:r>
        <w:rPr>
          <w:b/>
          <w:bCs/>
        </w:rPr>
        <w:t xml:space="preserve">O8 — El preámbulo axiológico está listo para el Acta Constitutiva: la siguiente fase puede formalizar la base filosófica.</w:t>
      </w:r>
      <w:r>
        <w:t xml:space="preserve"> </w:t>
      </w:r>
      <w:r>
        <w:rPr>
          <w:i/>
          <w:iCs/>
        </w:rPr>
        <w:t xml:space="preserve">(Fuente: [CAN]; [D6 R11])</w:t>
      </w:r>
    </w:p>
    <w:p>
      <w:r>
        <w:pict>
          <v:rect style="width:0;height:1.5pt" o:hralign="center" o:hrstd="t" o:hr="t"/>
        </w:pict>
      </w:r>
    </w:p>
    <w:bookmarkEnd w:id="12"/>
    <w:bookmarkStart w:id="13" w:name="a-amenazas-externas"/>
    <w:p>
      <w:pPr>
        <w:pStyle w:val="Heading2"/>
      </w:pPr>
      <w:r>
        <w:t xml:space="preserve">A — Amenazas (externas)</w:t>
      </w:r>
    </w:p>
    <w:p>
      <w:pPr>
        <w:pStyle w:val="FirstParagraph"/>
      </w:pPr>
      <w:r>
        <w:rPr>
          <w:b/>
          <w:bCs/>
        </w:rPr>
        <w:t xml:space="preserve">A1 — Presión académica prematura: que la autoridad o las familias exijan lectoescritura/cálculo y recorte del juego (tensión más viva del preescolar).</w:t>
      </w:r>
      <w:r>
        <w:t xml:space="preserve"> </w:t>
      </w:r>
      <w:r>
        <w:rPr>
          <w:i/>
          <w:iCs/>
        </w:rPr>
        <w:t xml:space="preserve">(Fuente: [D6 §7.1-4]; [D1 §6])</w:t>
      </w:r>
      <w:r>
        <w:t xml:space="preserve"> </w:t>
      </w:r>
      <w:r>
        <w:rPr>
          <w:b/>
          <w:bCs/>
        </w:rPr>
        <w:t xml:space="preserve">A2 — Neuromitos en materiales comerciales y en la conversación del plantel (</w:t>
      </w:r>
      <w:r>
        <w:rPr>
          <w:b/>
          <w:bCs/>
        </w:rPr>
        <w:t xml:space="preserve">“estilos de aprendizaje”</w:t>
      </w:r>
      <w:r>
        <w:rPr>
          <w:b/>
          <w:bCs/>
        </w:rPr>
        <w:t xml:space="preserve">, hemisferios, 10%).</w:t>
      </w:r>
      <w:r>
        <w:t xml:space="preserve"> </w:t>
      </w:r>
      <w:r>
        <w:rPr>
          <w:i/>
          <w:iCs/>
        </w:rPr>
        <w:t xml:space="preserve">(Fuente: [D4 bloque J]; [D1 §3.5])</w:t>
      </w:r>
      <w:r>
        <w:t xml:space="preserve"> </w:t>
      </w:r>
      <w:r>
        <w:rPr>
          <w:b/>
          <w:bCs/>
        </w:rPr>
        <w:t xml:space="preserve">A3 — Burnout docente durante el ciclo (carga de lectura + cambio de práctica).</w:t>
      </w:r>
      <w:r>
        <w:t xml:space="preserve"> </w:t>
      </w:r>
      <w:r>
        <w:rPr>
          <w:i/>
          <w:iCs/>
        </w:rPr>
        <w:t xml:space="preserve">(Fuente: [D4 G15]; ROAD R3)</w:t>
      </w:r>
      <w:r>
        <w:t xml:space="preserve"> </w:t>
      </w:r>
      <w:r>
        <w:rPr>
          <w:b/>
          <w:bCs/>
        </w:rPr>
        <w:t xml:space="preserve">A4 — Sin ley de IA federal: datos infantiles expuestos a herramientas sin criterio (uso de apps/IA en aula por iniciativa individual).</w:t>
      </w:r>
      <w:r>
        <w:t xml:space="preserve"> </w:t>
      </w:r>
      <w:r>
        <w:rPr>
          <w:i/>
          <w:iCs/>
        </w:rPr>
        <w:t xml:space="preserve">(Fuente: [D6 §5.3]; ADR AD-5)</w:t>
      </w:r>
      <w:r>
        <w:t xml:space="preserve"> </w:t>
      </w:r>
      <w:r>
        <w:rPr>
          <w:b/>
          <w:bCs/>
        </w:rPr>
        <w:t xml:space="preserve">A5 — Rotación de personal o cambio de dirección que rompa la continuidad del CTE.</w:t>
      </w:r>
      <w:r>
        <w:t xml:space="preserve"> </w:t>
      </w:r>
      <w:r>
        <w:rPr>
          <w:i/>
          <w:iCs/>
        </w:rPr>
        <w:t xml:space="preserve">(Fuente: [ADR AD-6]; ROAD R6)</w:t>
      </w:r>
      <w:r>
        <w:t xml:space="preserve"> </w:t>
      </w:r>
      <w:r>
        <w:rPr>
          <w:b/>
          <w:bCs/>
        </w:rPr>
        <w:t xml:space="preserve">A6 — Tensión escuela–familia (AIE cruzados) ante ejes de género, interculturalidad o axiomas mal explicados.</w:t>
      </w:r>
      <w:r>
        <w:t xml:space="preserve"> </w:t>
      </w:r>
      <w:r>
        <w:rPr>
          <w:i/>
          <w:iCs/>
        </w:rPr>
        <w:t xml:space="preserve">(Fuente: [D5 B17, F11]; [D6 §7.1-6])</w:t>
      </w:r>
      <w:r>
        <w:t xml:space="preserve"> </w:t>
      </w:r>
      <w:r>
        <w:rPr>
          <w:b/>
          <w:bCs/>
        </w:rPr>
        <w:t xml:space="preserve">A7 — Recursos materiales limitados del plantel (espacios, materiales, tiempo) que debiliten el ambiente preparado.</w:t>
      </w:r>
      <w:r>
        <w:t xml:space="preserve"> </w:t>
      </w:r>
      <w:r>
        <w:rPr>
          <w:i/>
          <w:iCs/>
        </w:rPr>
        <w:t xml:space="preserve">(Fuente: [D3 §4]; [D6 §7.1-2])</w:t>
      </w:r>
      <w:r>
        <w:t xml:space="preserve"> </w:t>
      </w:r>
      <w:r>
        <w:rPr>
          <w:b/>
          <w:bCs/>
        </w:rPr>
        <w:t xml:space="preserve">A8 — Usar los axiomas como slogan (esloganización) que desacredite el proyecto ante escépticos.</w:t>
      </w:r>
      <w:r>
        <w:t xml:space="preserve"> </w:t>
      </w:r>
      <w:r>
        <w:rPr>
          <w:i/>
          <w:iCs/>
        </w:rPr>
        <w:t xml:space="preserve">(Fuente: [CAN §4]; ROAD R4)</w:t>
      </w:r>
    </w:p>
    <w:p>
      <w:r>
        <w:pict>
          <v:rect style="width:0;height:1.5pt" o:hralign="center" o:hrstd="t" o:hr="t"/>
        </w:pict>
      </w:r>
    </w:p>
    <w:bookmarkEnd w:id="13"/>
    <w:bookmarkStart w:id="14" w:name="cruce-preliminar-ver-soach-completo"/>
    <w:p>
      <w:pPr>
        <w:pStyle w:val="Heading2"/>
      </w:pPr>
      <w:r>
        <w:t xml:space="preserve">Cruce preliminar (ver SOACH completo)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</w:t>
      </w:r>
      <w:r>
        <w:t xml:space="preserve"> </w:t>
      </w:r>
      <w:r>
        <w:t xml:space="preserve">(F×O): F3+O8 → axiomas como preámbulo del Acta; F6+O2 → política de IA como ventaja ética; F2+O1 → palanca normativa.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</w:t>
      </w:r>
      <w:r>
        <w:t xml:space="preserve"> </w:t>
      </w:r>
      <w:r>
        <w:t xml:space="preserve">(D×O): D1+O4 → línea base vía CTE; D2+O5 → correr el curso en el ciclo vigente.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</w:t>
      </w:r>
      <w:r>
        <w:t xml:space="preserve"> </w:t>
      </w:r>
      <w:r>
        <w:t xml:space="preserve">(F×A): F5+O1…</w:t>
      </w:r>
      <w:r>
        <w:t xml:space="preserve"> </w:t>
      </w:r>
      <w:r>
        <w:rPr>
          <w:i/>
          <w:iCs/>
        </w:rPr>
        <w:t xml:space="preserve">(F5 vs A1: protocolos como defensa del juego)</w:t>
      </w:r>
      <w:r>
        <w:t xml:space="preserve">; F7+O4 vs A5 → RACI contra rotación.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</w:t>
      </w:r>
      <w:r>
        <w:t xml:space="preserve"> </w:t>
      </w:r>
      <w:r>
        <w:t xml:space="preserve">(D×A): D1+A8 → medición y reglas anti-slogan; D3+A5 → distribuir roles desde el día 1.</w:t>
      </w:r>
    </w:p>
    <w:p>
      <w:pPr>
        <w:pStyle w:val="BlockText"/>
      </w:pPr>
      <w:r>
        <w:t xml:space="preserve">El cruce completo (acciones, responsables y métricas) está en</w:t>
      </w:r>
      <w:r>
        <w:t xml:space="preserve"> </w:t>
      </w:r>
      <w:r>
        <w:rPr>
          <w:rStyle w:val="VerbatimChar"/>
        </w:rPr>
        <w:t xml:space="preserve">soach-estrategias-programa-neuroeducacion.md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Honestidad del FODA: las debilidades D1–D7 se reportan tal cual están; su disimulación violaría AX-1 (toda información es útil).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2026-09-26T22:53:33Z</dcterms:created>
  <dcterms:modified xsi:type="dcterms:W3CDTF">2026-09-26T22:53:33Z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