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roadmap-y-cronograma-del-proyecto"/>
    <w:p>
      <w:pPr>
        <w:pStyle w:val="Heading1"/>
      </w:pPr>
      <w:r>
        <w:t xml:space="preserve">Roadmap y Cronograma del Proyecto</w:t>
      </w:r>
    </w:p>
    <w:bookmarkStart w:id="11" w:name="Xd53c91b90e47e82dcdae0990189006b4a62d5be"/>
    <w:p>
      <w:pPr>
        <w:pStyle w:val="Heading2"/>
      </w:pPr>
      <w:r>
        <w:t xml:space="preserve">Ruta hacia el Acta Constitutiva — sin fechas de calendario (semanas relativas)</w:t>
      </w:r>
    </w:p>
    <w:p>
      <w:pPr>
        <w:pStyle w:val="FirstParagraph"/>
      </w:pPr>
      <w:r>
        <w:rPr>
          <w:i/>
          <w:iCs/>
        </w:rPr>
        <w:t xml:space="preserve">Documento de gobernanza · Segunda Tanda · Versión 1.0 · 26 de septiembre de 2026</w:t>
      </w:r>
      <w:r>
        <w:t xml:space="preserve"> </w:t>
      </w:r>
      <w:r>
        <w:rPr>
          <w:i/>
          <w:iCs/>
        </w:rPr>
        <w:t xml:space="preserve">Decisiones del proyecto: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ADR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FODA/SOACH ·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Plan de estudios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principios-rectores-del-roadmap"/>
    <w:p>
      <w:pPr>
        <w:pStyle w:val="Heading2"/>
      </w:pPr>
      <w:r>
        <w:t xml:space="preserve">0. Principios rectores del roadmap</w:t>
      </w:r>
    </w:p>
    <w:p>
      <w:pPr>
        <w:pStyle w:val="FirstParagraph"/>
      </w:pPr>
      <w:r>
        <w:t xml:space="preserve">El roadmap se gobierna con los</w:t>
      </w:r>
      <w:r>
        <w:t xml:space="preserve"> </w:t>
      </w:r>
      <w:r>
        <w:rPr>
          <w:b/>
          <w:bCs/>
        </w:rPr>
        <w:t xml:space="preserve">axiomas fundacionales AX-1..3</w:t>
      </w:r>
      <w:r>
        <w:t xml:space="preserve"> </w:t>
      </w:r>
      <w:r>
        <w:t xml:space="preserve">(fuente canónica:</w:t>
      </w:r>
      <w:r>
        <w:t xml:space="preserve"> </w:t>
      </w:r>
      <w:hyperlink r:id="rId12">
        <w:r>
          <w:rPr>
            <w:rStyle w:val="VerbatimChar"/>
          </w:rPr>
          <w:t xml:space="preserve">fundamentos-axiomas-del-programa.md</w:t>
        </w:r>
      </w:hyperlink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[AX-1]</w:t>
      </w:r>
      <w:r>
        <w:t xml:space="preserve"> </w:t>
      </w:r>
      <w:r>
        <w:t xml:space="preserve">Cada fase termina</w:t>
      </w:r>
      <w:r>
        <w:t xml:space="preserve"> </w:t>
      </w:r>
      <w:r>
        <w:rPr>
          <w:b/>
          <w:bCs/>
        </w:rPr>
        <w:t xml:space="preserve">midiendo y retroalimentando</w:t>
      </w:r>
      <w:r>
        <w:t xml:space="preserve">: sin línea base y retrospectiva, la información del ciclo se desperdicia. Cada</w:t>
      </w:r>
      <w:r>
        <w:t xml:space="preserve"> </w:t>
      </w:r>
      <w:r>
        <w:t xml:space="preserve">“error”</w:t>
      </w:r>
      <w:r>
        <w:t xml:space="preserve"> </w:t>
      </w:r>
      <w:r>
        <w:t xml:space="preserve">de fase es insumo de la siguiente.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[AX-2]</w:t>
      </w:r>
      <w:r>
        <w:t xml:space="preserve"> </w:t>
      </w:r>
      <w:r>
        <w:t xml:space="preserve">Las fases invierten primero en los</w:t>
      </w:r>
      <w:r>
        <w:t xml:space="preserve"> </w:t>
      </w:r>
      <w:r>
        <w:rPr>
          <w:b/>
          <w:bCs/>
        </w:rPr>
        <w:t xml:space="preserve">adultos</w:t>
      </w:r>
      <w:r>
        <w:t xml:space="preserve"> </w:t>
      </w:r>
      <w:r>
        <w:t xml:space="preserve">(curso M1–M8) antes de exigir resultados en niños: el niño es consecuencia del adulto formado y del entorno diseñado.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[AX-3]</w:t>
      </w:r>
      <w:r>
        <w:t xml:space="preserve"> </w:t>
      </w:r>
      <w:r>
        <w:t xml:space="preserve">Las revisiones de fase son</w:t>
      </w:r>
      <w:r>
        <w:t xml:space="preserve"> </w:t>
      </w:r>
      <w:r>
        <w:rPr>
          <w:b/>
          <w:bCs/>
        </w:rPr>
        <w:t xml:space="preserve">resignificaciones institucionales</w:t>
      </w:r>
      <w:r>
        <w:t xml:space="preserve">: se pueden abrir tensiones; se acompañan con apertura y se deciden con matices, no a prisa binaria.</w:t>
      </w:r>
    </w:p>
    <w:p>
      <w:pPr>
        <w:pStyle w:val="FirstParagraph"/>
      </w:pPr>
      <w:r>
        <w:rPr>
          <w:b/>
          <w:bCs/>
        </w:rPr>
        <w:t xml:space="preserve">Ancla temporal</w:t>
      </w:r>
      <w:r>
        <w:t xml:space="preserve">: solo secuencia relativa en</w:t>
      </w:r>
      <w:r>
        <w:t xml:space="preserve"> </w:t>
      </w:r>
      <w:r>
        <w:rPr>
          <w:b/>
          <w:bCs/>
        </w:rPr>
        <w:t xml:space="preserve">semanas (S)</w:t>
      </w:r>
      <w:r>
        <w:t xml:space="preserve"> </w:t>
      </w:r>
      <w:r>
        <w:t xml:space="preserve">desde el inicio del proyecto (S1). Cada plantel inserta este mapa en su propio calendario.</w:t>
      </w:r>
    </w:p>
    <w:p>
      <w:pPr>
        <w:pStyle w:val="BodyText"/>
      </w:pPr>
      <w:r>
        <w:rPr>
          <w:b/>
          <w:bCs/>
        </w:rPr>
        <w:t xml:space="preserve">Alcance</w:t>
      </w:r>
      <w:r>
        <w:t xml:space="preserve">: piloto en</w:t>
      </w:r>
      <w:r>
        <w:t xml:space="preserve"> </w:t>
      </w:r>
      <w:r>
        <w:rPr>
          <w:b/>
          <w:bCs/>
        </w:rPr>
        <w:t xml:space="preserve">1 plantel</w:t>
      </w:r>
      <w:r>
        <w:t xml:space="preserve">, diseño escalable.</w:t>
      </w:r>
    </w:p>
    <w:p>
      <w:r>
        <w:pict>
          <v:rect style="width:0;height:1.5pt" o:hralign="center" o:hrstd="t" o:hr="t"/>
        </w:pict>
      </w:r>
    </w:p>
    <w:bookmarkEnd w:id="13"/>
    <w:bookmarkStart w:id="18" w:name="roadmap-de-fases"/>
    <w:p>
      <w:pPr>
        <w:pStyle w:val="Heading2"/>
      </w:pPr>
      <w:r>
        <w:t xml:space="preserve">1. Roadmap de fases</w:t>
      </w:r>
    </w:p>
    <w:p>
      <w:pPr>
        <w:pStyle w:val="CaptionedFigure"/>
      </w:pPr>
      <w:r>
        <w:drawing>
          <wp:inline>
            <wp:extent cx="5334000" cy="1785377"/>
            <wp:effectExtent b="0" l="0" r="0" t="0"/>
            <wp:docPr descr="Roadmap de fases F0 a F5" title="" id="15" name="Picture"/>
            <a:graphic>
              <a:graphicData uri="http://schemas.openxmlformats.org/drawingml/2006/picture">
                <pic:pic>
                  <pic:nvPicPr>
                    <pic:cNvPr descr="docx/img/roadmap-cronograma-proyecto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 de fases F0 a F5</w:t>
      </w:r>
    </w:p>
    <w:bookmarkStart w:id="17" w:name="fases-en-detalle"/>
    <w:p>
      <w:pPr>
        <w:pStyle w:val="Heading3"/>
      </w:pPr>
      <w:r>
        <w:t xml:space="preserve">1.1 Fases en detalle</w:t>
      </w:r>
    </w:p>
    <w:p>
      <w:pPr>
        <w:pStyle w:val="FirstParagraph"/>
      </w:pPr>
      <w:r>
        <w:rPr>
          <w:b/>
          <w:bCs/>
        </w:rPr>
        <w:t xml:space="preserve">F0 — Gobernanza y fundamento.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S1–S2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Aprobación de este paquete; designación de sponsor/coordinador/RACI;</w:t>
      </w:r>
      <w:r>
        <w:t xml:space="preserve"> </w:t>
      </w:r>
      <w:r>
        <w:rPr>
          <w:b/>
          <w:bCs/>
        </w:rPr>
        <w:t xml:space="preserve">adopción de AX-1..3 (AD-0)</w:t>
      </w:r>
      <w:r>
        <w:t xml:space="preserve">; acreditación de línea base; lectura del README de convención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t xml:space="preserve">Acta de arranque interna; roles; línea base v0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AD-0 aprobado, roles nombrados, Primera Tanda verificada intacta</w:t>
      </w:r>
      <w:r>
        <w:t xml:space="preserve"> </w:t>
      </w:r>
      <w:r>
        <w:rPr>
          <w:b/>
          <w:bCs/>
        </w:rPr>
        <w:t xml:space="preserve">F1 — Formación andragógica (curso M1–M8).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S3–S18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8 sesiones quincenales de CTE; M1 axiomas; M2–M7 serie D1–D6; M8 laboratorio; asistencia y evidencias de práctica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t xml:space="preserve">Evidencias por módulo; borradores del Analítico (tarea M8); perfil de egreso verificado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≥80% asistencia del equipo clave; 1 entregable por módulo; cuestionario de cierre sin neuromitos (filtro J)</w:t>
      </w:r>
      <w:r>
        <w:t xml:space="preserve"> </w:t>
      </w:r>
      <w:r>
        <w:rPr>
          <w:b/>
          <w:bCs/>
        </w:rPr>
        <w:t xml:space="preserve">F2 — Codiseño del Programa Analítico.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S19–S22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Aplicar los 3 planos (lectura de realidad interseccional, contextualización con contenidos nuevos, formulación); secuenciación 1°–2°–3°; KPIs por beneficiario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rPr>
          <w:b/>
          <w:bCs/>
        </w:rPr>
        <w:t xml:space="preserve">Borrador de Programa Analítico</w:t>
      </w:r>
      <w:r>
        <w:t xml:space="preserve"> </w:t>
      </w:r>
      <w:r>
        <w:t xml:space="preserve">(grado piloto)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Los 3 planos completos; contenidos nuevos listados; KPIs con línea base definida</w:t>
      </w:r>
      <w:r>
        <w:t xml:space="preserve"> </w:t>
      </w:r>
      <w:r>
        <w:rPr>
          <w:b/>
          <w:bCs/>
        </w:rPr>
        <w:t xml:space="preserve">F3 — Validación y cierre.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S23–S24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Revisión en CTE; filtro anti-neuromitos; auditoría interseccional de materiales; revisión de guardas de AX; retrospectiva del ciclo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t xml:space="preserve">Analítico v1.0 aprobado; retrospectiva F3; registro de riesgos actualizado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Firma interna del colectivo; retrospectiva documentada; checklist de validación (§3) en verde</w:t>
      </w:r>
      <w:r>
        <w:t xml:space="preserve"> </w:t>
      </w:r>
      <w:r>
        <w:rPr>
          <w:b/>
          <w:bCs/>
        </w:rPr>
        <w:t xml:space="preserve">F4 — Acta Constitutiva.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S25+ (siguiente fase)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Fuera de alcance de este roadmap; se deja el</w:t>
      </w:r>
      <w:r>
        <w:t xml:space="preserve"> </w:t>
      </w:r>
      <w:r>
        <w:rPr>
          <w:b/>
          <w:bCs/>
        </w:rPr>
        <w:t xml:space="preserve">hito</w:t>
      </w:r>
      <w:r>
        <w:t xml:space="preserve"> </w:t>
      </w:r>
      <w:r>
        <w:t xml:space="preserve">y los insumos preparados (AD-0, Analítico, axiomas)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F5 — Diseño de escalamiento.</w:t>
      </w:r>
      <w:r>
        <w:t xml:space="preserve"> </w:t>
      </w:r>
      <w:r>
        <w:rPr>
          <w:b/>
          <w:bCs/>
        </w:rPr>
        <w:t xml:space="preserve">Semanas:</w:t>
      </w:r>
      <w:r>
        <w:t xml:space="preserve"> </w:t>
      </w:r>
      <w:r>
        <w:t xml:space="preserve">Paralelo a F4 ·</w:t>
      </w:r>
      <w:r>
        <w:t xml:space="preserve"> </w:t>
      </w:r>
      <w:r>
        <w:rPr>
          <w:b/>
          <w:bCs/>
        </w:rPr>
        <w:t xml:space="preserve">Actividades clave:</w:t>
      </w:r>
      <w:r>
        <w:t xml:space="preserve"> </w:t>
      </w:r>
      <w:r>
        <w:t xml:space="preserve">Solo</w:t>
      </w:r>
      <w:r>
        <w:t xml:space="preserve"> </w:t>
      </w:r>
      <w:r>
        <w:rPr>
          <w:b/>
          <w:bCs/>
        </w:rPr>
        <w:t xml:space="preserve">diseño</w:t>
      </w:r>
      <w:r>
        <w:t xml:space="preserve">: criterios de réplica a otro plantel (qué se copia, qué se contextualiza, condiciones mínimas) ·</w:t>
      </w:r>
      <w:r>
        <w:t xml:space="preserve"> </w:t>
      </w:r>
      <w:r>
        <w:rPr>
          <w:b/>
          <w:bCs/>
        </w:rPr>
        <w:t xml:space="preserve">Entregables:</w:t>
      </w:r>
      <w:r>
        <w:t xml:space="preserve"> </w:t>
      </w:r>
      <w:r>
        <w:t xml:space="preserve">Documento de criterios de réplica ·</w:t>
      </w:r>
      <w:r>
        <w:t xml:space="preserve"> </w:t>
      </w:r>
      <w:r>
        <w:rPr>
          <w:b/>
          <w:bCs/>
        </w:rPr>
        <w:t xml:space="preserve">Definition of Done (DoD):</w:t>
      </w:r>
      <w:r>
        <w:t xml:space="preserve"> </w:t>
      </w:r>
      <w:r>
        <w:t xml:space="preserve">Criterios revisados; sin ejecución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ronograma-relativo-gantt-tabular"/>
    <w:p>
      <w:pPr>
        <w:pStyle w:val="Heading2"/>
      </w:pPr>
      <w:r>
        <w:t xml:space="preserve">2. Cronograma relativo (Gantt tabular)</w:t>
      </w:r>
    </w:p>
    <w:p>
      <w:pPr>
        <w:pStyle w:val="BlockText"/>
      </w:pPr>
      <w:r>
        <w:rPr>
          <w:b/>
          <w:bCs/>
        </w:rPr>
        <w:t xml:space="preserve">Nota metodológica</w:t>
      </w:r>
      <w:r>
        <w:t xml:space="preserve">: se opta por un Gantt</w:t>
      </w:r>
      <w:r>
        <w:t xml:space="preserve"> </w:t>
      </w:r>
      <w:r>
        <w:rPr>
          <w:b/>
          <w:bCs/>
        </w:rPr>
        <w:t xml:space="preserve">tabular con barras</w:t>
      </w:r>
      <w:r>
        <w:t xml:space="preserve"> </w:t>
      </w:r>
      <w:r>
        <w:t xml:space="preserve">(más un diagrama de secuencia Mermaid) en lugar de un grantt de fechas: un grantt calendario introduciría fechas absolutas, lo que contradice la decisión del proyecto de trabajar</w:t>
      </w:r>
      <w:r>
        <w:t xml:space="preserve"> </w:t>
      </w:r>
      <w:r>
        <w:rPr>
          <w:b/>
          <w:bCs/>
        </w:rPr>
        <w:t xml:space="preserve">solo con semanas relativas</w:t>
      </w:r>
      <w:r>
        <w:t xml:space="preserve">. Cada plantel puede volcar estas semanas a su calendario local.</w:t>
      </w:r>
    </w:p>
    <w:p>
      <w:pPr>
        <w:pStyle w:val="FirstParagraph"/>
      </w:pPr>
      <w:r>
        <w:rPr>
          <w:b/>
          <w:bCs/>
        </w:rPr>
        <w:t xml:space="preserve">F0 Gobernanza.</w:t>
      </w:r>
      <w:r>
        <w:t xml:space="preserve"> </w:t>
      </w:r>
      <w:r>
        <w:rPr>
          <w:b/>
          <w:bCs/>
        </w:rPr>
        <w:t xml:space="preserve">S1:</w:t>
      </w:r>
      <w:r>
        <w:t xml:space="preserve"> </w:t>
      </w:r>
      <w:r>
        <w:t xml:space="preserve">██ ·</w:t>
      </w:r>
      <w:r>
        <w:t xml:space="preserve"> </w:t>
      </w:r>
      <w:r>
        <w:rPr>
          <w:b/>
          <w:bCs/>
        </w:rPr>
        <w:t xml:space="preserve">S2:</w:t>
      </w:r>
      <w:r>
        <w:t xml:space="preserve"> </w:t>
      </w:r>
      <w:r>
        <w:t xml:space="preserve">██</w:t>
      </w:r>
      <w:r>
        <w:t xml:space="preserve"> </w:t>
      </w:r>
      <w:r>
        <w:rPr>
          <w:b/>
          <w:bCs/>
        </w:rPr>
        <w:t xml:space="preserve">F1 Curso M1–M8 (quincenal).</w:t>
      </w:r>
      <w:r>
        <w:t xml:space="preserve"> </w:t>
      </w:r>
      <w:r>
        <w:rPr>
          <w:b/>
          <w:bCs/>
        </w:rPr>
        <w:t xml:space="preserve">S3–S4:</w:t>
      </w:r>
      <w:r>
        <w:t xml:space="preserve"> </w:t>
      </w:r>
      <w:r>
        <w:t xml:space="preserve">▓░ ·</w:t>
      </w:r>
      <w:r>
        <w:t xml:space="preserve"> </w:t>
      </w:r>
      <w:r>
        <w:rPr>
          <w:b/>
          <w:bCs/>
        </w:rPr>
        <w:t xml:space="preserve">…:</w:t>
      </w:r>
      <w:r>
        <w:t xml:space="preserve"> </w:t>
      </w:r>
      <w:r>
        <w:t xml:space="preserve">… ·</w:t>
      </w:r>
      <w:r>
        <w:t xml:space="preserve"> </w:t>
      </w:r>
      <w:r>
        <w:rPr>
          <w:b/>
          <w:bCs/>
        </w:rPr>
        <w:t xml:space="preserve">S17–S18:</w:t>
      </w:r>
      <w:r>
        <w:t xml:space="preserve"> </w:t>
      </w:r>
      <w:r>
        <w:t xml:space="preserve">▓░</w:t>
      </w:r>
      <w:r>
        <w:t xml:space="preserve"> </w:t>
      </w:r>
      <w:r>
        <w:rPr>
          <w:b/>
          <w:bCs/>
        </w:rPr>
        <w:t xml:space="preserve">F2 Analítico.</w:t>
      </w:r>
      <w:r>
        <w:t xml:space="preserve"> </w:t>
      </w:r>
      <w:r>
        <w:rPr>
          <w:b/>
          <w:bCs/>
        </w:rPr>
        <w:t xml:space="preserve">S19–S22:</w:t>
      </w:r>
      <w:r>
        <w:t xml:space="preserve"> </w:t>
      </w:r>
      <w:r>
        <w:t xml:space="preserve">████</w:t>
      </w:r>
      <w:r>
        <w:t xml:space="preserve"> </w:t>
      </w:r>
      <w:r>
        <w:rPr>
          <w:b/>
          <w:bCs/>
        </w:rPr>
        <w:t xml:space="preserve">F3 Validación.</w:t>
      </w:r>
      <w:r>
        <w:t xml:space="preserve"> </w:t>
      </w:r>
      <w:r>
        <w:rPr>
          <w:b/>
          <w:bCs/>
        </w:rPr>
        <w:t xml:space="preserve">S23–S24:</w:t>
      </w:r>
      <w:r>
        <w:t xml:space="preserve"> </w:t>
      </w:r>
      <w:r>
        <w:t xml:space="preserve">██</w:t>
      </w:r>
      <w:r>
        <w:t xml:space="preserve"> </w:t>
      </w:r>
      <w:r>
        <w:rPr>
          <w:b/>
          <w:bCs/>
        </w:rPr>
        <w:t xml:space="preserve">F4 Acta (hito).</w:t>
      </w:r>
      <w:r>
        <w:t xml:space="preserve"> </w:t>
      </w:r>
      <w:r>
        <w:rPr>
          <w:b/>
          <w:bCs/>
        </w:rPr>
        <w:t xml:space="preserve">S25+:</w:t>
      </w:r>
      <w:r>
        <w:t xml:space="preserve"> </w:t>
      </w:r>
      <w:r>
        <w:t xml:space="preserve">▶</w:t>
      </w:r>
      <w:r>
        <w:t xml:space="preserve"> </w:t>
      </w:r>
      <w:r>
        <w:rPr>
          <w:b/>
          <w:bCs/>
        </w:rPr>
        <w:t xml:space="preserve">F5 Escalamiento (diseño).</w:t>
      </w:r>
      <w:r>
        <w:t xml:space="preserve"> </w:t>
      </w:r>
      <w:r>
        <w:rPr>
          <w:b/>
          <w:bCs/>
        </w:rPr>
        <w:t xml:space="preserve">S23–S24:</w:t>
      </w:r>
      <w:r>
        <w:t xml:space="preserve"> </w:t>
      </w:r>
      <w:r>
        <w:t xml:space="preserve">▓▓ ·</w:t>
      </w:r>
      <w:r>
        <w:t xml:space="preserve"> </w:t>
      </w:r>
      <w:r>
        <w:rPr>
          <w:b/>
          <w:bCs/>
        </w:rPr>
        <w:t xml:space="preserve">S25+:</w:t>
      </w:r>
      <w:r>
        <w:t xml:space="preserve"> </w:t>
      </w:r>
      <w:r>
        <w:t xml:space="preserve">▓▓</w:t>
      </w:r>
    </w:p>
    <w:p>
      <w:pPr>
        <w:pStyle w:val="BodyText"/>
      </w:pPr>
      <w:r>
        <w:rPr>
          <w:b/>
          <w:bCs/>
        </w:rPr>
        <w:t xml:space="preserve">Leyenda</w:t>
      </w:r>
      <w:r>
        <w:t xml:space="preserve">: ██ bloque completo · ▓░ sesiones quincenales alternas · ████ continuo · ▶ hito · ▓▓ trabajo parcial.</w:t>
      </w:r>
    </w:p>
    <w:p>
      <w:pPr>
        <w:pStyle w:val="BodyText"/>
      </w:pPr>
      <w:r>
        <w:rPr>
          <w:b/>
          <w:bCs/>
        </w:rPr>
        <w:t xml:space="preserve">Distribución del curso (F1)</w:t>
      </w:r>
      <w:r>
        <w:t xml:space="preserve">: 8 módulos en 16 semanas =</w:t>
      </w:r>
      <w:r>
        <w:t xml:space="preserve"> </w:t>
      </w:r>
      <w:r>
        <w:rPr>
          <w:b/>
          <w:bCs/>
        </w:rPr>
        <w:t xml:space="preserve">1 sesión quincenal por módulo</w:t>
      </w:r>
      <w:r>
        <w:t xml:space="preserve"> </w:t>
      </w:r>
      <w:r>
        <w:t xml:space="preserve">(M1→M8), con tarea de aplicación entre sesiones.</w:t>
      </w:r>
    </w:p>
    <w:p>
      <w:r>
        <w:pict>
          <v:rect style="width:0;height:1.5pt" o:hralign="center" o:hrstd="t" o:hr="t"/>
        </w:pict>
      </w:r>
    </w:p>
    <w:bookmarkEnd w:id="19"/>
    <w:bookmarkStart w:id="20" w:name="hitos-milestones"/>
    <w:p>
      <w:pPr>
        <w:pStyle w:val="Heading2"/>
      </w:pPr>
      <w:r>
        <w:t xml:space="preserve">3. Hitos (milestones)</w:t>
      </w:r>
    </w:p>
    <w:p>
      <w:pPr>
        <w:pStyle w:val="FirstParagraph"/>
      </w:pPr>
      <w:r>
        <w:rPr>
          <w:b/>
          <w:bCs/>
        </w:rPr>
        <w:t xml:space="preserve">H1 · Paquete aprobado y roles activos.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F0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Registro de decisión AD-0</w:t>
      </w:r>
      <w:r>
        <w:t xml:space="preserve"> </w:t>
      </w:r>
      <w:r>
        <w:rPr>
          <w:b/>
          <w:bCs/>
        </w:rPr>
        <w:t xml:space="preserve">H2 · Curso M1 completado (axiomas discutidos).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S3–S4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Acta de sesión M1</w:t>
      </w:r>
      <w:r>
        <w:t xml:space="preserve"> </w:t>
      </w:r>
      <w:r>
        <w:rPr>
          <w:b/>
          <w:bCs/>
        </w:rPr>
        <w:t xml:space="preserve">H3 · Curso M8 completado.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F1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Borrador de Analítico entregado</w:t>
      </w:r>
      <w:r>
        <w:t xml:space="preserve"> </w:t>
      </w:r>
      <w:r>
        <w:rPr>
          <w:b/>
          <w:bCs/>
        </w:rPr>
        <w:t xml:space="preserve">H4 · Analítico v1.0 aprobado.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F3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Firma del colectivo</w:t>
      </w:r>
      <w:r>
        <w:t xml:space="preserve"> </w:t>
      </w:r>
      <w:r>
        <w:rPr>
          <w:b/>
          <w:bCs/>
        </w:rPr>
        <w:t xml:space="preserve">H5 · Retrospectiva y línea base cerradas.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F3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Tablero de KPI con baseline</w:t>
      </w:r>
      <w:r>
        <w:t xml:space="preserve"> </w:t>
      </w:r>
      <w:r>
        <w:rPr>
          <w:b/>
          <w:bCs/>
        </w:rPr>
        <w:t xml:space="preserve">H6 · Acta Constitutiva (fuera de alcance).</w:t>
      </w:r>
      <w:r>
        <w:t xml:space="preserve"> </w:t>
      </w:r>
      <w:r>
        <w:rPr>
          <w:b/>
          <w:bCs/>
        </w:rPr>
        <w:t xml:space="preserve">Fin de:</w:t>
      </w:r>
      <w:r>
        <w:t xml:space="preserve"> </w:t>
      </w:r>
      <w:r>
        <w:t xml:space="preserve">F4 ·</w:t>
      </w:r>
      <w:r>
        <w:t xml:space="preserve"> </w:t>
      </w:r>
      <w:r>
        <w:rPr>
          <w:b/>
          <w:bCs/>
        </w:rPr>
        <w:t xml:space="preserve">Evidencia: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20"/>
    <w:bookmarkStart w:id="21" w:name="registro-de-riesgos-resumen"/>
    <w:p>
      <w:pPr>
        <w:pStyle w:val="Heading2"/>
      </w:pPr>
      <w:r>
        <w:t xml:space="preserve">4. Registro de riesgos (resumen)</w:t>
      </w:r>
    </w:p>
    <w:p>
      <w:pPr>
        <w:pStyle w:val="FirstParagraph"/>
      </w:pPr>
      <w:r>
        <w:rPr>
          <w:b/>
          <w:bCs/>
        </w:rPr>
        <w:t xml:space="preserve">R1 · Formación</w:t>
      </w:r>
      <w:r>
        <w:rPr>
          <w:b/>
          <w:bCs/>
        </w:rPr>
        <w:t xml:space="preserve"> </w:t>
      </w:r>
      <w:r>
        <w:rPr>
          <w:b/>
          <w:bCs/>
        </w:rPr>
        <w:t xml:space="preserve">“de un día”</w:t>
      </w:r>
      <w:r>
        <w:rPr>
          <w:b/>
          <w:bCs/>
        </w:rPr>
        <w:t xml:space="preserve"> </w:t>
      </w:r>
      <w:r>
        <w:rPr>
          <w:b/>
          <w:bCs/>
        </w:rPr>
        <w:t xml:space="preserve">→ vuelve a la práctica vieja.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Alta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Alto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M8 laboratorio + acompañamiento en aula (D4 G18)</w:t>
      </w:r>
      <w:r>
        <w:t xml:space="preserve"> </w:t>
      </w:r>
      <w:r>
        <w:rPr>
          <w:b/>
          <w:bCs/>
        </w:rPr>
        <w:t xml:space="preserve">R2 · Neumitos en materiales comerciales.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Alta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Filtro bloque J en F3 (AX-3)</w:t>
      </w:r>
      <w:r>
        <w:t xml:space="preserve"> </w:t>
      </w:r>
      <w:r>
        <w:rPr>
          <w:b/>
          <w:bCs/>
        </w:rPr>
        <w:t xml:space="preserve">R3 · Burnout docente durante el ciclo.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Media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Alto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Carga quincenal moderada; G15; apoyo del sponsor</w:t>
      </w:r>
      <w:r>
        <w:t xml:space="preserve"> </w:t>
      </w:r>
      <w:r>
        <w:rPr>
          <w:b/>
          <w:bCs/>
        </w:rPr>
        <w:t xml:space="preserve">R4 · Axiomas usados como slogan.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Media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Reglas de uso del canónico; verificación en M1 (F9)</w:t>
      </w:r>
      <w:r>
        <w:t xml:space="preserve"> </w:t>
      </w:r>
      <w:r>
        <w:rPr>
          <w:b/>
          <w:bCs/>
        </w:rPr>
        <w:t xml:space="preserve">R5 · Primera Tanda editada por error.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Baja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Alto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README + verificación por tamaño/mtime en F3</w:t>
      </w:r>
      <w:r>
        <w:t xml:space="preserve"> </w:t>
      </w:r>
      <w:r>
        <w:rPr>
          <w:b/>
          <w:bCs/>
        </w:rPr>
        <w:t xml:space="preserve">R6 · Falta de sponsor activo.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Media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Alto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H1 condiciona el arranque; RACI explícito</w:t>
      </w:r>
      <w:r>
        <w:t xml:space="preserve"> </w:t>
      </w:r>
      <w:r>
        <w:rPr>
          <w:b/>
          <w:bCs/>
        </w:rPr>
        <w:t xml:space="preserve">R7 · Presión académica prematura que recorte el juego.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Media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Alto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D6 R2; auditoría de horario en F3</w:t>
      </w:r>
      <w:r>
        <w:t xml:space="preserve"> </w:t>
      </w:r>
      <w:r>
        <w:rPr>
          <w:b/>
          <w:bCs/>
        </w:rPr>
        <w:t xml:space="preserve">R8 · Deriva de alcance (agregar sin decidir).</w:t>
      </w:r>
      <w:r>
        <w:t xml:space="preserve"> </w:t>
      </w:r>
      <w:r>
        <w:rPr>
          <w:b/>
          <w:bCs/>
        </w:rPr>
        <w:t xml:space="preserve">Prob.:</w:t>
      </w:r>
      <w:r>
        <w:t xml:space="preserve"> </w:t>
      </w:r>
      <w:r>
        <w:t xml:space="preserve">Media ·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 ·</w:t>
      </w:r>
      <w:r>
        <w:t xml:space="preserve"> </w:t>
      </w:r>
      <w:r>
        <w:rPr>
          <w:b/>
          <w:bCs/>
        </w:rPr>
        <w:t xml:space="preserve">Mitigación:</w:t>
      </w:r>
      <w:r>
        <w:t xml:space="preserve"> </w:t>
      </w:r>
      <w:r>
        <w:t xml:space="preserve">Control de cambios vía ADR (AD-6)</w:t>
      </w:r>
    </w:p>
    <w:p>
      <w:r>
        <w:pict>
          <v:rect style="width:0;height:1.5pt" o:hralign="center" o:hrstd="t" o:hr="t"/>
        </w:pict>
      </w:r>
    </w:p>
    <w:bookmarkEnd w:id="21"/>
    <w:bookmarkStart w:id="22" w:name="criterios-de-escala-f5"/>
    <w:p>
      <w:pPr>
        <w:pStyle w:val="Heading2"/>
      </w:pPr>
      <w:r>
        <w:t xml:space="preserve">5. Criterios de escala (F5)</w:t>
      </w:r>
    </w:p>
    <w:p>
      <w:pPr>
        <w:pStyle w:val="FirstParagraph"/>
      </w:pPr>
      <w:r>
        <w:t xml:space="preserve">Un segundo plantel puede iniciar cuando en el piloto se cumpla:</w:t>
      </w:r>
    </w:p>
    <w:p>
      <w:pPr>
        <w:pStyle w:val="Compact"/>
        <w:numPr>
          <w:ilvl w:val="0"/>
          <w:numId w:val="1002"/>
        </w:numPr>
      </w:pPr>
      <w:r>
        <w:t xml:space="preserve">Analítico v1.0 aprobado y en uso ≥1 trimestre.</w:t>
      </w:r>
    </w:p>
    <w:p>
      <w:pPr>
        <w:pStyle w:val="Compact"/>
        <w:numPr>
          <w:ilvl w:val="0"/>
          <w:numId w:val="1002"/>
        </w:numPr>
      </w:pPr>
      <w:r>
        <w:t xml:space="preserve">Línea base de KPIs con al menos un ciclo de medición.</w:t>
      </w:r>
    </w:p>
    <w:p>
      <w:pPr>
        <w:pStyle w:val="Compact"/>
        <w:numPr>
          <w:ilvl w:val="0"/>
          <w:numId w:val="1002"/>
        </w:numPr>
      </w:pPr>
      <w:r>
        <w:t xml:space="preserve">Retrospectiva F3 con mejoras cerradas.</w:t>
      </w:r>
    </w:p>
    <w:p>
      <w:pPr>
        <w:pStyle w:val="Compact"/>
        <w:numPr>
          <w:ilvl w:val="0"/>
          <w:numId w:val="1002"/>
        </w:numPr>
      </w:pPr>
      <w:r>
        <w:t xml:space="preserve">Equipo</w:t>
      </w:r>
      <w:r>
        <w:t xml:space="preserve"> </w:t>
      </w:r>
      <w:r>
        <w:t xml:space="preserve">“multiplicador”</w:t>
      </w:r>
      <w:r>
        <w:t xml:space="preserve">: ≥2 personas formadas en M1–M8 con disponibilidad de acompañar.</w:t>
      </w:r>
    </w:p>
    <w:p>
      <w:pPr>
        <w:pStyle w:val="Compact"/>
        <w:numPr>
          <w:ilvl w:val="0"/>
          <w:numId w:val="1002"/>
        </w:numPr>
      </w:pPr>
      <w:r>
        <w:t xml:space="preserve">Presupuesto/condiciones materiales mínimas verificadas (FODA).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vivo · Mantenimiento en CTE · Control de cambios por ADR (AD-6).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9" Target="adr-modelo-construccion-programa-analitico-curso.md" TargetMode="External" /><Relationship Type="http://schemas.openxmlformats.org/officeDocument/2006/relationships/hyperlink" Id="rId12" Target="fundamentos-axiomas-del-programa.md" TargetMode="External" /><Relationship Type="http://schemas.openxmlformats.org/officeDocument/2006/relationships/hyperlink" Id="rId10" Target="plan-de-estudios-curso-andragogia-neuroeduc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r-modelo-construccion-programa-analitico-curso.md" TargetMode="External" /><Relationship Type="http://schemas.openxmlformats.org/officeDocument/2006/relationships/hyperlink" Id="rId12" Target="fundamentos-axiomas-del-programa.md" TargetMode="External" /><Relationship Type="http://schemas.openxmlformats.org/officeDocument/2006/relationships/hyperlink" Id="rId10" Target="plan-de-estudios-curso-andragogia-neuroeduc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2026-09-26T22:53:39Z</dcterms:created>
  <dcterms:modified xsi:type="dcterms:W3CDTF">2026-09-26T22:53:39Z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