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Fundamentos y Axiomas del Programa</w:t>
      </w:r>
    </w:p>
    <w:p>
      <w:pPr>
        <w:pStyle w:val="Subtitle"/>
      </w:pPr>
      <w:r>
        <w:rPr>
          <w:lang w:val="es-ES"/>
        </w:rPr>
        <w:t xml:space="preserve">La base de todo el aprendizaje — andragógico y paidagógico</w:t>
      </w:r>
    </w:p>
    <w:p>
      <w:pPr>
        <w:pStyle w:val="Author"/>
      </w:pPr>
      <w:r>
        <w:rPr>
          <w:lang w:val="es-ES"/>
        </w:rPr>
        <w:t xml:space="preserve">Serie de Neuroeducación · Proyecto Programa Sintético</w:t>
      </w:r>
    </w:p>
    <w:p>
      <w:pPr>
        <w:pStyle w:val="Date"/>
      </w:pPr>
      <w:r>
        <w:rPr>
          <w:lang w:val="es-ES"/>
        </w:rPr>
        <w:t xml:space="preserve">Tercera Tanda · edición visual · 26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Documento canónico · Segunda Tanda · Versión 1.0 · Fecha: 26 de septiembre de 2026</w:t>
      </w:r>
      <w:r>
        <w:rPr>
          <w:lang w:val="es-ES"/>
        </w:rPr>
        <w:t xml:space="preserve"> </w:t>
      </w:r>
      <w:r>
        <w:rPr>
          <w:i/>
          <w:iCs/>
          <w:lang w:val="es-ES"/>
        </w:rPr>
        <w:t xml:space="preserve">Fuente verbatim:</w:t>
      </w:r>
      <w:r>
        <w:rPr>
          <w:i/>
          <w:iCs/>
          <w:lang w:val="es-ES"/>
        </w:rPr>
        <w:t xml:space="preserve"> </w:t>
      </w:r>
      <w:r>
        <w:rPr>
          <w:rStyle w:val="VerbatimChar"/>
          <w:i/>
          <w:iCs/>
          <w:lang w:val="es-ES"/>
        </w:rPr>
        <w:t xml:space="preserve">Primera Tanda/basesconceptuales.md</w:t>
      </w:r>
      <w:r>
        <w:rPr>
          <w:i/>
          <w:iCs/>
          <w:lang w:val="es-ES"/>
        </w:rPr>
        <w:t xml:space="preserve"> </w:t>
      </w:r>
      <w:r>
        <w:rPr>
          <w:i/>
          <w:iCs/>
          <w:lang w:val="es-ES"/>
        </w:rPr>
        <w:t xml:space="preserve">(redacción original del usuario; solo erratas corregidas) · Fuente de pilares:</w:t>
      </w:r>
      <w:r>
        <w:rPr>
          <w:i/>
          <w:iCs/>
          <w:lang w:val="es-ES"/>
        </w:rPr>
        <w:t xml:space="preserve"> </w:t>
      </w:r>
      <w:r>
        <w:rPr>
          <w:rStyle w:val="VerbatimChar"/>
          <w:i/>
          <w:iCs/>
          <w:lang w:val="es-ES"/>
        </w:rPr>
        <w:t xml:space="preserve">Pilares-filosoficos.md</w:t>
      </w:r>
    </w:p>
    <w:p>
      <w:r>
        <w:pict>
          <v:rect style="width:0;height:1.5pt" o:hralign="center" o:hrstd="t" o:hr="t"/>
        </w:pict>
      </w:r>
    </w:p>
    <w:bookmarkStart w:id="9" w:name="propósito"/>
    <w:p>
      <w:pPr>
        <w:pStyle w:val="Heading2"/>
      </w:pPr>
      <w:r>
        <w:rPr>
          <w:lang w:val="es-ES"/>
        </w:rPr>
        <w:t xml:space="preserve">0. Propósito</w:t>
      </w:r>
    </w:p>
    <w:p>
      <w:pPr>
        <w:pStyle w:val="FirstParagraph"/>
      </w:pPr>
      <w:r>
        <w:rPr>
          <w:lang w:val="es-ES"/>
        </w:rPr>
        <w:t xml:space="preserve">Este documento establece los</w:t>
      </w:r>
      <w:r>
        <w:rPr>
          <w:lang w:val="es-ES"/>
        </w:rPr>
        <w:t xml:space="preserve"> </w:t>
      </w:r>
      <w:r>
        <w:rPr>
          <w:b/>
          <w:bCs/>
          <w:lang w:val="es-ES"/>
        </w:rPr>
        <w:t xml:space="preserve">axiomas fundacionales</w:t>
      </w:r>
      <w:r>
        <w:rPr>
          <w:lang w:val="es-ES"/>
        </w:rPr>
        <w:t xml:space="preserve"> </w:t>
      </w:r>
      <w:r>
        <w:rPr>
          <w:lang w:val="es-ES"/>
        </w:rPr>
        <w:t xml:space="preserve">y los</w:t>
      </w:r>
      <w:r>
        <w:rPr>
          <w:lang w:val="es-ES"/>
        </w:rPr>
        <w:t xml:space="preserve"> </w:t>
      </w:r>
      <w:r>
        <w:rPr>
          <w:b/>
          <w:bCs/>
          <w:lang w:val="es-ES"/>
        </w:rPr>
        <w:t xml:space="preserve">pilares filosóficos</w:t>
      </w:r>
      <w:r>
        <w:rPr>
          <w:lang w:val="es-ES"/>
        </w:rPr>
        <w:t xml:space="preserve"> </w:t>
      </w:r>
      <w:r>
        <w:rPr>
          <w:lang w:val="es-ES"/>
        </w:rPr>
        <w:t xml:space="preserve">sobre los cuales se construye todo el material del proyecto — la serie documental (D1–D6), el Programa Analítico, el curso de andragogía y el Acta Constitutiva.</w:t>
      </w:r>
    </w:p>
    <w:p>
      <w:pPr>
        <w:pStyle w:val="BodyText"/>
      </w:pPr>
      <w:r>
        <w:rPr>
          <w:lang w:val="es-ES"/>
        </w:rPr>
        <w:t xml:space="preserve">Es una fuente</w:t>
      </w:r>
      <w:r>
        <w:rPr>
          <w:lang w:val="es-ES"/>
        </w:rPr>
        <w:t xml:space="preserve"> </w:t>
      </w:r>
      <w:r>
        <w:rPr>
          <w:b/>
          <w:bCs/>
          <w:lang w:val="es-ES"/>
        </w:rPr>
        <w:t xml:space="preserve">única y trazable</w:t>
      </w:r>
      <w:r>
        <w:rPr>
          <w:lang w:val="es-ES"/>
        </w:rPr>
        <w:t xml:space="preserve">: la serie no los redefine; solo los referencia. Cualquier decisión del proyecto debe poder remitirse aquí.</w:t>
      </w:r>
    </w:p>
    <w:p>
      <w:pPr>
        <w:pStyle w:val="BodyText"/>
      </w:pPr>
      <w:r>
        <w:rPr>
          <w:b/>
          <w:bCs/>
          <w:lang w:val="es-ES"/>
        </w:rPr>
        <w:t xml:space="preserve">Audiencias</w:t>
      </w:r>
      <w:r>
        <w:rPr>
          <w:lang w:val="es-ES"/>
        </w:rPr>
        <w:t xml:space="preserve">: padres, tutores, profesores, aprendientes, directivos, sponsors, managers e interesados.</w:t>
      </w:r>
    </w:p>
    <w:p>
      <w:r>
        <w:pict>
          <v:rect style="width:0;height:1.5pt" o:hralign="center" o:hrstd="t" o:hr="t"/>
        </w:pict>
      </w:r>
    </w:p>
    <w:bookmarkEnd w:id="9"/>
    <w:bookmarkStart w:id="13" w:name="axiomas-fundacionales-verbatim"/>
    <w:p>
      <w:pPr>
        <w:pStyle w:val="Heading2"/>
      </w:pPr>
      <w:r>
        <w:rPr>
          <w:lang w:val="es-ES"/>
        </w:rPr>
        <w:t xml:space="preserve">1. Axiomas fundacionales (verbatim)</w:t>
      </w:r>
    </w:p>
    <w:p>
      <w:pPr>
        <w:pStyle w:val="BlockText"/>
      </w:pPr>
      <w:r>
        <w:rPr>
          <w:lang w:val="es-ES"/>
        </w:rPr>
        <w:t xml:space="preserve">Redacción original conservada; entre corchetes, las únicas correcciones de erratas aplicadas:</w:t>
      </w:r>
      <w:r>
        <w:rPr>
          <w:lang w:val="es-ES"/>
        </w:rPr>
        <w:t xml:space="preserve"> </w:t>
      </w:r>
      <w:r>
        <w:rPr>
          <w:rStyle w:val="VerbatimChar"/>
          <w:lang w:val="es-ES"/>
        </w:rPr>
        <w:t xml:space="preserve">no es es útil → nos es útil</w:t>
      </w:r>
      <w:r>
        <w:rPr>
          <w:lang w:val="es-ES"/>
        </w:rPr>
        <w:t xml:space="preserve">;</w:t>
      </w:r>
      <w:r>
        <w:rPr>
          <w:lang w:val="es-ES"/>
        </w:rPr>
        <w:t xml:space="preserve"> </w:t>
      </w:r>
      <w:r>
        <w:rPr>
          <w:rStyle w:val="VerbatimChar"/>
          <w:lang w:val="es-ES"/>
        </w:rPr>
        <w:t xml:space="preserve">si dse → si se</w:t>
      </w:r>
      <w:r>
        <w:rPr>
          <w:lang w:val="es-ES"/>
        </w:rPr>
        <w:t xml:space="preserve">; concordancias de número/puntuación menores.</w:t>
      </w:r>
    </w:p>
    <w:bookmarkStart w:id="10" w:name="ax-1-toda-información-nos-es-útil"/>
    <w:p>
      <w:pPr>
        <w:pStyle w:val="Heading3"/>
      </w:pPr>
      <w:r>
        <w:rPr>
          <w:lang w:val="es-ES"/>
        </w:rPr>
        <w:t xml:space="preserve">AX-1 — Toda información nos es útil</w:t>
      </w:r>
    </w:p>
    <w:p>
      <w:pPr>
        <w:pStyle w:val="BlockText"/>
      </w:pPr>
      <w:r>
        <w:rPr>
          <w:b/>
          <w:bCs/>
          <w:lang w:val="es-ES"/>
        </w:rPr>
        <w:t xml:space="preserve">TODA INFORMACIÓN NOS ES ÚTIL.</w:t>
      </w:r>
      <w:r>
        <w:rPr>
          <w:lang w:val="es-ES"/>
        </w:rPr>
        <w:t xml:space="preserve"> </w:t>
      </w:r>
      <w:r>
        <w:rPr>
          <w:lang w:val="es-ES"/>
        </w:rPr>
        <w:t xml:space="preserve">Cometer errores da información; por lo tanto, cometer errores nos es útil.</w:t>
      </w:r>
      <w:r>
        <w:rPr>
          <w:lang w:val="es-ES"/>
        </w:rPr>
        <w:t xml:space="preserve"> </w:t>
      </w:r>
      <w:r>
        <w:rPr>
          <w:lang w:val="es-ES"/>
        </w:rPr>
        <w:t xml:space="preserve">Actuar, hacer, nos da experiencia; esto es información; por lo tanto,</w:t>
      </w:r>
      <w:r>
        <w:rPr>
          <w:lang w:val="es-ES"/>
        </w:rPr>
        <w:t xml:space="preserve"> </w:t>
      </w:r>
      <w:r>
        <w:rPr>
          <w:b/>
          <w:bCs/>
          <w:lang w:val="es-ES"/>
        </w:rPr>
        <w:t xml:space="preserve">[hacer] nos es útil</w:t>
      </w:r>
      <w:r>
        <w:rPr>
          <w:lang w:val="es-ES"/>
        </w:rPr>
        <w:t xml:space="preserve">. Es decir, siempre es mejor hacer que no hacer, porque hacer nos da más información que no hacer, aunque no hacer también nos da información, pero es más limitada que el sí hacer.</w:t>
      </w:r>
    </w:p>
    <w:p>
      <w:pPr>
        <w:pStyle w:val="FirstParagraph"/>
      </w:pPr>
      <w:r>
        <w:rPr>
          <w:b/>
          <w:bCs/>
          <w:lang w:val="es-ES"/>
        </w:rPr>
        <w:t xml:space="preserve">Anclaje académico (serie):</w:t>
      </w:r>
      <w:r>
        <w:rPr>
          <w:lang w:val="es-ES"/>
        </w:rPr>
        <w:t xml:space="preserve"> </w:t>
      </w:r>
      <w:r>
        <w:rPr>
          <w:lang w:val="es-ES"/>
        </w:rPr>
        <w:t xml:space="preserve">-</w:t>
      </w:r>
      <w:r>
        <w:rPr>
          <w:lang w:val="es-ES"/>
        </w:rPr>
        <w:t xml:space="preserve"> </w:t>
      </w:r>
      <w:r>
        <w:rPr>
          <w:b/>
          <w:bCs/>
          <w:lang w:val="es-ES"/>
        </w:rPr>
        <w:t xml:space="preserve">Error-como-dato / evaluación formativa</w:t>
      </w:r>
      <w:r>
        <w:rPr>
          <w:lang w:val="es-ES"/>
        </w:rPr>
        <w:t xml:space="preserve">: cada observación —incluso la fallida— alimenta la siguiente decisión (D2 §4.2 Punto 5; D4 [E4, E6]).</w:t>
      </w:r>
      <w:r>
        <w:rPr>
          <w:lang w:val="es-ES"/>
        </w:rPr>
        <w:t xml:space="preserve"> </w:t>
      </w:r>
      <w:r>
        <w:rPr>
          <w:lang w:val="es-ES"/>
        </w:rPr>
        <w:t xml:space="preserve">-</w:t>
      </w:r>
      <w:r>
        <w:rPr>
          <w:lang w:val="es-ES"/>
        </w:rPr>
        <w:t xml:space="preserve"> </w:t>
      </w:r>
      <w:r>
        <w:rPr>
          <w:b/>
          <w:bCs/>
          <w:i/>
          <w:iCs/>
          <w:lang w:val="es-ES"/>
        </w:rPr>
        <w:t xml:space="preserve">Learning by doing</w:t>
      </w:r>
      <w:r>
        <w:rPr>
          <w:b/>
          <w:bCs/>
          <w:lang w:val="es-ES"/>
        </w:rPr>
        <w:t xml:space="preserve"> </w:t>
      </w:r>
      <w:r>
        <w:rPr>
          <w:b/>
          <w:bCs/>
          <w:lang w:val="es-ES"/>
        </w:rPr>
        <w:t xml:space="preserve">(Dewey) y sesgo a la acción</w:t>
      </w:r>
      <w:r>
        <w:rPr>
          <w:lang w:val="es-ES"/>
        </w:rPr>
        <w:t xml:space="preserve">: la práctica deliberada produce más aprendizaje que la deliberación sin práctica (D4 [G14]; D1 §6</w:t>
      </w:r>
      <w:r>
        <w:rPr>
          <w:lang w:val="es-ES"/>
        </w:rPr>
        <w:t xml:space="preserve"> </w:t>
      </w:r>
      <w:r>
        <w:rPr>
          <w:lang w:val="es-ES"/>
        </w:rPr>
        <w:t xml:space="preserve">“practicar, no solo explicar”</w:t>
      </w:r>
      <w:r>
        <w:rPr>
          <w:lang w:val="es-ES"/>
        </w:rPr>
        <w:t xml:space="preserve">).</w:t>
      </w:r>
      <w:r>
        <w:rPr>
          <w:lang w:val="es-ES"/>
        </w:rPr>
        <w:t xml:space="preserve"> </w:t>
      </w:r>
      <w:r>
        <w:rPr>
          <w:lang w:val="es-ES"/>
        </w:rPr>
        <w:t xml:space="preserve">-</w:t>
      </w:r>
      <w:r>
        <w:rPr>
          <w:lang w:val="es-ES"/>
        </w:rPr>
        <w:t xml:space="preserve"> </w:t>
      </w:r>
      <w:r>
        <w:rPr>
          <w:b/>
          <w:bCs/>
          <w:lang w:val="es-ES"/>
        </w:rPr>
        <w:t xml:space="preserve">Retrospectiva y doble bucle</w:t>
      </w:r>
      <w:r>
        <w:rPr>
          <w:lang w:val="es-ES"/>
        </w:rPr>
        <w:t xml:space="preserve">: lo que salió mal es información del sistema (D4 [I16, G10]).</w:t>
      </w:r>
      <w:r>
        <w:rPr>
          <w:lang w:val="es-ES"/>
        </w:rPr>
        <w:t xml:space="preserve"> </w:t>
      </w:r>
      <w:r>
        <w:rPr>
          <w:lang w:val="es-ES"/>
        </w:rPr>
        <w:t xml:space="preserve">-</w:t>
      </w:r>
      <w:r>
        <w:rPr>
          <w:lang w:val="es-ES"/>
        </w:rPr>
        <w:t xml:space="preserve"> </w:t>
      </w:r>
      <w:r>
        <w:rPr>
          <w:b/>
          <w:bCs/>
          <w:lang w:val="es-ES"/>
        </w:rPr>
        <w:t xml:space="preserve">Línea base y medición</w:t>
      </w:r>
      <w:r>
        <w:rPr>
          <w:lang w:val="es-ES"/>
        </w:rPr>
        <w:t xml:space="preserve">: sin medir el punto de partida, la información no se aprovecha (D4 [I13]).</w:t>
      </w:r>
      <w:r>
        <w:rPr>
          <w:lang w:val="es-ES"/>
        </w:rPr>
        <w:t xml:space="preserve"> </w:t>
      </w:r>
      <w:r>
        <w:rPr>
          <w:lang w:val="es-ES"/>
        </w:rPr>
        <w:t xml:space="preserve">-</w:t>
      </w:r>
      <w:r>
        <w:rPr>
          <w:lang w:val="es-ES"/>
        </w:rPr>
        <w:t xml:space="preserve"> </w:t>
      </w:r>
      <w:r>
        <w:rPr>
          <w:b/>
          <w:bCs/>
          <w:lang w:val="es-ES"/>
        </w:rPr>
        <w:t xml:space="preserve">Neurobase</w:t>
      </w:r>
      <w:r>
        <w:rPr>
          <w:lang w:val="es-ES"/>
        </w:rPr>
        <w:t xml:space="preserve">: el error sin castigo mantiene la motivación intrínseca y la orientación a dominio (D1 §5.1; D4 [B22, B23]).</w:t>
      </w:r>
    </w:p>
    <w:p>
      <w:pPr>
        <w:pStyle w:val="BodyText"/>
      </w:pPr>
      <w:r>
        <w:rPr>
          <w:b/>
          <w:bCs/>
          <w:lang w:val="es-ES"/>
        </w:rPr>
        <w:t xml:space="preserve">Guardas explícitas (condiciones de validez):</w:t>
      </w:r>
      <w:r>
        <w:rPr>
          <w:lang w:val="es-ES"/>
        </w:rPr>
        <w:t xml:space="preserve"> </w:t>
      </w:r>
      <w:r>
        <w:rPr>
          <w:lang w:val="es-ES"/>
        </w:rPr>
        <w:t xml:space="preserve">1.</w:t>
      </w:r>
      <w:r>
        <w:rPr>
          <w:lang w:val="es-ES"/>
        </w:rPr>
        <w:t xml:space="preserve"> </w:t>
      </w:r>
      <w:r>
        <w:rPr>
          <w:b/>
          <w:bCs/>
          <w:lang w:val="es-ES"/>
        </w:rPr>
        <w:t xml:space="preserve">Principio de no daño [D5 B26]</w:t>
      </w:r>
      <w:r>
        <w:rPr>
          <w:lang w:val="es-ES"/>
        </w:rPr>
        <w:t xml:space="preserve">:</w:t>
      </w:r>
      <w:r>
        <w:rPr>
          <w:lang w:val="es-ES"/>
        </w:rPr>
        <w:t xml:space="preserve"> </w:t>
      </w:r>
      <w:r>
        <w:rPr>
          <w:lang w:val="es-ES"/>
        </w:rPr>
        <w:t xml:space="preserve">“hacer”</w:t>
      </w:r>
      <w:r>
        <w:rPr>
          <w:lang w:val="es-ES"/>
        </w:rPr>
        <w:t xml:space="preserve"> </w:t>
      </w:r>
      <w:r>
        <w:rPr>
          <w:lang w:val="es-ES"/>
        </w:rPr>
        <w:t xml:space="preserve">no significa exponer. En contextos de seguridad (calles, agua, fuego, desconocidos),</w:t>
      </w:r>
      <w:r>
        <w:rPr>
          <w:lang w:val="es-ES"/>
        </w:rPr>
        <w:t xml:space="preserve"> </w:t>
      </w:r>
      <w:r>
        <w:rPr>
          <w:b/>
          <w:bCs/>
          <w:lang w:val="es-ES"/>
        </w:rPr>
        <w:t xml:space="preserve">el</w:t>
      </w:r>
      <w:r>
        <w:rPr>
          <w:b/>
          <w:bCs/>
          <w:lang w:val="es-ES"/>
        </w:rPr>
        <w:t xml:space="preserve"> </w:t>
      </w:r>
      <w:r>
        <w:rPr>
          <w:b/>
          <w:bCs/>
          <w:lang w:val="es-ES"/>
        </w:rPr>
        <w:t xml:space="preserve">“no hacer”</w:t>
      </w:r>
      <w:r>
        <w:rPr>
          <w:b/>
          <w:bCs/>
          <w:lang w:val="es-ES"/>
        </w:rPr>
        <w:t xml:space="preserve"> </w:t>
      </w:r>
      <w:r>
        <w:rPr>
          <w:b/>
          <w:bCs/>
          <w:lang w:val="es-ES"/>
        </w:rPr>
        <w:t xml:space="preserve">correcto es no exponer hasta que el protocolo esté practicado</w:t>
      </w:r>
      <w:r>
        <w:rPr>
          <w:lang w:val="es-ES"/>
        </w:rPr>
        <w:t xml:space="preserve"> </w:t>
      </w:r>
      <w:r>
        <w:rPr>
          <w:lang w:val="es-ES"/>
        </w:rPr>
        <w:t xml:space="preserve">(D1 §4.3, §6.6).</w:t>
      </w:r>
      <w:r>
        <w:rPr>
          <w:lang w:val="es-ES"/>
        </w:rPr>
        <w:t xml:space="preserve"> </w:t>
      </w:r>
      <w:r>
        <w:rPr>
          <w:lang w:val="es-ES"/>
        </w:rPr>
        <w:t xml:space="preserve">2.</w:t>
      </w:r>
      <w:r>
        <w:rPr>
          <w:lang w:val="es-ES"/>
        </w:rPr>
        <w:t xml:space="preserve"> </w:t>
      </w:r>
      <w:r>
        <w:rPr>
          <w:b/>
          <w:bCs/>
          <w:lang w:val="es-ES"/>
        </w:rPr>
        <w:t xml:space="preserve">Minimización de información sensible [D6 §5.5]</w:t>
      </w:r>
      <w:r>
        <w:rPr>
          <w:lang w:val="es-ES"/>
        </w:rPr>
        <w:t xml:space="preserve">: recoger datos solo cuando son necesarios — más datos no son siempre mejor información (especialmente de menores).</w:t>
      </w:r>
      <w:r>
        <w:rPr>
          <w:lang w:val="es-ES"/>
        </w:rPr>
        <w:t xml:space="preserve"> </w:t>
      </w:r>
      <w:r>
        <w:rPr>
          <w:lang w:val="es-ES"/>
        </w:rPr>
        <w:t xml:space="preserve">3.</w:t>
      </w:r>
      <w:r>
        <w:rPr>
          <w:lang w:val="es-ES"/>
        </w:rPr>
        <w:t xml:space="preserve"> </w:t>
      </w:r>
      <w:r>
        <w:rPr>
          <w:b/>
          <w:bCs/>
          <w:lang w:val="es-ES"/>
        </w:rPr>
        <w:t xml:space="preserve">Carga</w:t>
      </w:r>
      <w:r>
        <w:rPr>
          <w:lang w:val="es-ES"/>
        </w:rPr>
        <w:t xml:space="preserve">: información excesiva satura la memoria de trabajo (D4 [G13]); informar bien es filtrar.</w:t>
      </w:r>
    </w:p>
    <w:p>
      <w:pPr>
        <w:pStyle w:val="BodyText"/>
      </w:pPr>
      <w:r>
        <w:rPr>
          <w:b/>
          <w:bCs/>
          <w:lang w:val="es-ES"/>
        </w:rPr>
        <w:t xml:space="preserve">Consecuencias prácticas:</w:t>
      </w:r>
    </w:p>
    <w:p>
      <w:pPr>
        <w:pStyle w:val="BodyText"/>
      </w:pPr>
      <w:r>
        <w:rPr>
          <w:b/>
          <w:bCs/>
          <w:lang w:val="es-ES"/>
        </w:rPr>
        <w:t xml:space="preserve">Para los niños (paidagógico):</w:t>
      </w:r>
      <w:r>
        <w:rPr>
          <w:lang w:val="es-ES"/>
        </w:rPr>
        <w:t xml:space="preserve"> </w:t>
      </w:r>
      <w:r>
        <w:rPr>
          <w:lang w:val="es-ES"/>
        </w:rPr>
        <w:t xml:space="preserve">El error en el aula es dato, nunca falta moral: se pregunta</w:t>
      </w:r>
      <w:r>
        <w:rPr>
          <w:lang w:val="es-ES"/>
        </w:rPr>
        <w:t xml:space="preserve"> </w:t>
      </w:r>
      <w:r>
        <w:rPr>
          <w:lang w:val="es-ES"/>
        </w:rPr>
        <w:t xml:space="preserve">“¿qué pasó?”</w:t>
      </w:r>
      <w:r>
        <w:rPr>
          <w:lang w:val="es-ES"/>
        </w:rPr>
        <w:t xml:space="preserve"> </w:t>
      </w:r>
      <w:r>
        <w:rPr>
          <w:lang w:val="es-ES"/>
        </w:rPr>
        <w:t xml:space="preserve">antes de</w:t>
      </w:r>
      <w:r>
        <w:rPr>
          <w:lang w:val="es-ES"/>
        </w:rPr>
        <w:t xml:space="preserve"> </w:t>
      </w:r>
      <w:r>
        <w:rPr>
          <w:lang w:val="es-ES"/>
        </w:rPr>
        <w:t xml:space="preserve">“¿por qué lo hiciste?”</w:t>
      </w:r>
      <w:r>
        <w:rPr>
          <w:lang w:val="es-ES"/>
        </w:rPr>
        <w:t xml:space="preserve">. —</w:t>
      </w:r>
      <w:r>
        <w:rPr>
          <w:lang w:val="es-ES"/>
        </w:rPr>
        <w:t xml:space="preserve"> </w:t>
      </w:r>
      <w:r>
        <w:rPr>
          <w:b/>
          <w:bCs/>
          <w:lang w:val="es-ES"/>
        </w:rPr>
        <w:t xml:space="preserve">Para los adultos (andragógico):</w:t>
      </w:r>
      <w:r>
        <w:rPr>
          <w:lang w:val="es-ES"/>
        </w:rPr>
        <w:t xml:space="preserve"> </w:t>
      </w:r>
      <w:r>
        <w:rPr>
          <w:lang w:val="es-ES"/>
        </w:rPr>
        <w:t xml:space="preserve">El CTE trabaja con sus propios fracasos abiertamente (seguridad psicológica, D4 [G25]).</w:t>
      </w:r>
    </w:p>
    <w:p>
      <w:pPr>
        <w:pStyle w:val="BodyText"/>
      </w:pPr>
      <w:r>
        <w:rPr>
          <w:b/>
          <w:bCs/>
          <w:lang w:val="es-ES"/>
        </w:rPr>
        <w:t xml:space="preserve">Para los niños (paidagógico):</w:t>
      </w:r>
      <w:r>
        <w:rPr>
          <w:lang w:val="es-ES"/>
        </w:rPr>
        <w:t xml:space="preserve"> </w:t>
      </w:r>
      <w:r>
        <w:rPr>
          <w:lang w:val="es-ES"/>
        </w:rPr>
        <w:t xml:space="preserve">Se practica (role-play, simulacros, juego) en lugar de solo escuchar explicaciones. —</w:t>
      </w:r>
      <w:r>
        <w:rPr>
          <w:lang w:val="es-ES"/>
        </w:rPr>
        <w:t xml:space="preserve"> </w:t>
      </w:r>
      <w:r>
        <w:rPr>
          <w:b/>
          <w:bCs/>
          <w:lang w:val="es-ES"/>
        </w:rPr>
        <w:t xml:space="preserve">Para los adultos (andragógico):</w:t>
      </w:r>
      <w:r>
        <w:rPr>
          <w:lang w:val="es-ES"/>
        </w:rPr>
        <w:t xml:space="preserve"> </w:t>
      </w:r>
      <w:r>
        <w:rPr>
          <w:lang w:val="es-ES"/>
        </w:rPr>
        <w:t xml:space="preserve">Se prototipa y se prueba antes de exigir perfección: pilotar, medir, ajustar (D4 [I17]).</w:t>
      </w:r>
    </w:p>
    <w:p>
      <w:pPr>
        <w:pStyle w:val="BodyText"/>
      </w:pPr>
      <w:r>
        <w:rPr>
          <w:b/>
          <w:bCs/>
          <w:lang w:val="es-ES"/>
        </w:rPr>
        <w:t xml:space="preserve">Para los niños (paidagógico):</w:t>
      </w:r>
      <w:r>
        <w:rPr>
          <w:lang w:val="es-ES"/>
        </w:rPr>
        <w:t xml:space="preserve"> </w:t>
      </w:r>
      <w:r>
        <w:rPr>
          <w:lang w:val="es-ES"/>
        </w:rPr>
        <w:t xml:space="preserve">Se celebra el intento y la estrategia, no solo el resultado correcto. —</w:t>
      </w:r>
      <w:r>
        <w:rPr>
          <w:lang w:val="es-ES"/>
        </w:rPr>
        <w:t xml:space="preserve"> </w:t>
      </w:r>
      <w:r>
        <w:rPr>
          <w:b/>
          <w:bCs/>
          <w:lang w:val="es-ES"/>
        </w:rPr>
        <w:t xml:space="preserve">Para los adultos (andragógico):</w:t>
      </w:r>
      <w:r>
        <w:rPr>
          <w:lang w:val="es-ES"/>
        </w:rPr>
        <w:t xml:space="preserve"> </w:t>
      </w:r>
      <w:r>
        <w:rPr>
          <w:lang w:val="es-ES"/>
        </w:rPr>
        <w:t xml:space="preserve">Las retrospects son obligatorias: cada ciclo deja datos (D4 [I16]).</w:t>
      </w:r>
    </w:p>
    <w:bookmarkEnd w:id="10"/>
    <w:bookmarkStart w:id="11" w:name="X9d1a7d5c9b7c2ce5f0a2a8c7cf43ba292a88b5d"/>
    <w:p>
      <w:pPr>
        <w:pStyle w:val="Heading3"/>
      </w:pPr>
      <w:r>
        <w:rPr>
          <w:lang w:val="es-ES"/>
        </w:rPr>
        <w:t xml:space="preserve">AX-2 — Los niños son el resultado de los adultos y de la realidad material</w:t>
      </w:r>
    </w:p>
    <w:p>
      <w:pPr>
        <w:pStyle w:val="BlockText"/>
      </w:pPr>
      <w:r>
        <w:rPr>
          <w:b/>
          <w:bCs/>
          <w:lang w:val="es-ES"/>
        </w:rPr>
        <w:t xml:space="preserve">LOS NIÑOS SON EL RESULTADO DE LOS ADULTOS Y LA REALIDAD MATERIAL DIRECTA Y LOS ESTÍMULOS DE ESTA.</w:t>
      </w:r>
      <w:r>
        <w:rPr>
          <w:lang w:val="es-ES"/>
        </w:rPr>
        <w:t xml:space="preserve"> </w:t>
      </w:r>
      <w:r>
        <w:rPr>
          <w:lang w:val="es-ES"/>
        </w:rPr>
        <w:t xml:space="preserve">Los adultos son resultado de su historia personal, y por lo tanto de sus infancias, y por lo tanto también de</w:t>
      </w:r>
      <w:r>
        <w:rPr>
          <w:lang w:val="es-ES"/>
        </w:rPr>
        <w:t xml:space="preserve"> </w:t>
      </w:r>
      <w:r>
        <w:rPr>
          <w:b/>
          <w:bCs/>
          <w:lang w:val="es-ES"/>
        </w:rPr>
        <w:t xml:space="preserve">[su]</w:t>
      </w:r>
      <w:r>
        <w:rPr>
          <w:lang w:val="es-ES"/>
        </w:rPr>
        <w:t xml:space="preserve"> </w:t>
      </w:r>
      <w:r>
        <w:rPr>
          <w:lang w:val="es-ES"/>
        </w:rPr>
        <w:t xml:space="preserve">realidad material histórica, la cual no puede ser cambiada, pero sí más comprendida para lograr ser resignificada.</w:t>
      </w:r>
    </w:p>
    <w:p>
      <w:pPr>
        <w:pStyle w:val="FirstParagraph"/>
      </w:pPr>
      <w:r>
        <w:rPr>
          <w:b/>
          <w:bCs/>
          <w:lang w:val="es-ES"/>
        </w:rPr>
        <w:t xml:space="preserve">Anclaje académico (serie):</w:t>
      </w:r>
      <w:r>
        <w:rPr>
          <w:lang w:val="es-ES"/>
        </w:rPr>
        <w:t xml:space="preserve"> </w:t>
      </w:r>
      <w:r>
        <w:rPr>
          <w:lang w:val="es-ES"/>
        </w:rPr>
        <w:t xml:space="preserve">-</w:t>
      </w:r>
      <w:r>
        <w:rPr>
          <w:lang w:val="es-ES"/>
        </w:rPr>
        <w:t xml:space="preserve"> </w:t>
      </w:r>
      <w:r>
        <w:rPr>
          <w:b/>
          <w:bCs/>
          <w:lang w:val="es-ES"/>
        </w:rPr>
        <w:t xml:space="preserve">Principio de Consecuencia Adulta (P0/G22) [D4]</w:t>
      </w:r>
      <w:r>
        <w:rPr>
          <w:lang w:val="es-ES"/>
        </w:rPr>
        <w:t xml:space="preserve">: formulación operativa —</w:t>
      </w:r>
      <w:r>
        <w:rPr>
          <w:lang w:val="es-ES"/>
        </w:rPr>
        <w:t xml:space="preserve"> </w:t>
      </w:r>
      <w:r>
        <w:rPr>
          <w:lang w:val="es-ES"/>
        </w:rPr>
        <w:t xml:space="preserve">“si el adulto mejora, el niño mejora; si el adulto no se forma, ningún programa infantil escala”</w:t>
      </w:r>
      <w:r>
        <w:rPr>
          <w:lang w:val="es-ES"/>
        </w:rPr>
        <w:t xml:space="preserve">.</w:t>
      </w:r>
      <w:r>
        <w:rPr>
          <w:lang w:val="es-ES"/>
        </w:rPr>
        <w:t xml:space="preserve"> </w:t>
      </w:r>
      <w:r>
        <w:rPr>
          <w:lang w:val="es-ES"/>
        </w:rPr>
        <w:t xml:space="preserve">-</w:t>
      </w:r>
      <w:r>
        <w:rPr>
          <w:lang w:val="es-ES"/>
        </w:rPr>
        <w:t xml:space="preserve"> </w:t>
      </w:r>
      <w:r>
        <w:rPr>
          <w:b/>
          <w:bCs/>
          <w:lang w:val="es-ES"/>
        </w:rPr>
        <w:t xml:space="preserve">Serve and return + co-regulación + ecosistemas (Bronfenbrenner) [D1 §3.2–3.3; D5 B17]</w:t>
      </w:r>
      <w:r>
        <w:rPr>
          <w:lang w:val="es-ES"/>
        </w:rPr>
        <w:t xml:space="preserve">: el adulto es la variable ambiental de mayor impacto.</w:t>
      </w:r>
      <w:r>
        <w:rPr>
          <w:lang w:val="es-ES"/>
        </w:rPr>
        <w:t xml:space="preserve"> </w:t>
      </w:r>
      <w:r>
        <w:rPr>
          <w:lang w:val="es-ES"/>
        </w:rPr>
        <w:t xml:space="preserve">-</w:t>
      </w:r>
      <w:r>
        <w:rPr>
          <w:lang w:val="es-ES"/>
        </w:rPr>
        <w:t xml:space="preserve"> </w:t>
      </w:r>
      <w:r>
        <w:rPr>
          <w:b/>
          <w:bCs/>
          <w:lang w:val="es-ES"/>
        </w:rPr>
        <w:t xml:space="preserve">Posicionalidad [D5 A8]</w:t>
      </w:r>
      <w:r>
        <w:rPr>
          <w:lang w:val="es-ES"/>
        </w:rPr>
        <w:t xml:space="preserve">: la historia del adulto condiciona su mirada; se declara, no se oculta.</w:t>
      </w:r>
      <w:r>
        <w:rPr>
          <w:lang w:val="es-ES"/>
        </w:rPr>
        <w:t xml:space="preserve"> </w:t>
      </w:r>
      <w:r>
        <w:rPr>
          <w:lang w:val="es-ES"/>
        </w:rPr>
        <w:t xml:space="preserve">-</w:t>
      </w:r>
      <w:r>
        <w:rPr>
          <w:lang w:val="es-ES"/>
        </w:rPr>
        <w:t xml:space="preserve"> </w:t>
      </w:r>
      <w:r>
        <w:rPr>
          <w:b/>
          <w:bCs/>
          <w:lang w:val="es-ES"/>
        </w:rPr>
        <w:t xml:space="preserve">Realidad material histórica [D5 A19 materialismo histórico/colonialidad]</w:t>
      </w:r>
      <w:r>
        <w:rPr>
          <w:lang w:val="es-ES"/>
        </w:rPr>
        <w:t xml:space="preserve">: las condiciones materiales (clase, territorio, lengua) operan sobre niños y adultos (D3 §2.1).</w:t>
      </w:r>
      <w:r>
        <w:rPr>
          <w:lang w:val="es-ES"/>
        </w:rPr>
        <w:t xml:space="preserve"> </w:t>
      </w:r>
      <w:r>
        <w:rPr>
          <w:lang w:val="es-ES"/>
        </w:rPr>
        <w:t xml:space="preserve">-</w:t>
      </w:r>
      <w:r>
        <w:rPr>
          <w:lang w:val="es-ES"/>
        </w:rPr>
        <w:t xml:space="preserve"> </w:t>
      </w:r>
      <w:r>
        <w:rPr>
          <w:b/>
          <w:bCs/>
          <w:lang w:val="es-ES"/>
        </w:rPr>
        <w:t xml:space="preserve">ACEs y estrés [D3; D6 §2.2]</w:t>
      </w:r>
      <w:r>
        <w:rPr>
          <w:lang w:val="es-ES"/>
        </w:rPr>
        <w:t xml:space="preserve">: la infancia adulta no cambia, pero su lectura sí — de ahí la segunda frase del axioma.</w:t>
      </w:r>
    </w:p>
    <w:p>
      <w:pPr>
        <w:pStyle w:val="BodyText"/>
      </w:pPr>
      <w:r>
        <w:rPr>
          <w:b/>
          <w:bCs/>
          <w:lang w:val="es-ES"/>
        </w:rPr>
        <w:t xml:space="preserve">Guardas explícitas:</w:t>
      </w:r>
      <w:r>
        <w:rPr>
          <w:lang w:val="es-ES"/>
        </w:rPr>
        <w:t xml:space="preserve"> </w:t>
      </w:r>
      <w:r>
        <w:rPr>
          <w:lang w:val="es-ES"/>
        </w:rPr>
        <w:t xml:space="preserve">1.</w:t>
      </w:r>
      <w:r>
        <w:rPr>
          <w:lang w:val="es-ES"/>
        </w:rPr>
        <w:t xml:space="preserve"> </w:t>
      </w:r>
      <w:r>
        <w:rPr>
          <w:b/>
          <w:bCs/>
          <w:lang w:val="es-ES"/>
        </w:rPr>
        <w:t xml:space="preserve">No es determinismo ni culpa</w:t>
      </w:r>
      <w:r>
        <w:rPr>
          <w:lang w:val="es-ES"/>
        </w:rPr>
        <w:t xml:space="preserve">: el adulto</w:t>
      </w:r>
      <w:r>
        <w:rPr>
          <w:lang w:val="es-ES"/>
        </w:rPr>
        <w:t xml:space="preserve"> </w:t>
      </w:r>
      <w:r>
        <w:rPr>
          <w:b/>
          <w:bCs/>
          <w:lang w:val="es-ES"/>
        </w:rPr>
        <w:t xml:space="preserve">no es culpable</w:t>
      </w:r>
      <w:r>
        <w:rPr>
          <w:lang w:val="es-ES"/>
        </w:rPr>
        <w:t xml:space="preserve"> </w:t>
      </w:r>
      <w:r>
        <w:rPr>
          <w:lang w:val="es-ES"/>
        </w:rPr>
        <w:t xml:space="preserve">de su historia ni de la crianza que recibió; es</w:t>
      </w:r>
      <w:r>
        <w:rPr>
          <w:lang w:val="es-ES"/>
        </w:rPr>
        <w:t xml:space="preserve"> </w:t>
      </w:r>
      <w:r>
        <w:rPr>
          <w:b/>
          <w:bCs/>
          <w:lang w:val="es-ES"/>
        </w:rPr>
        <w:t xml:space="preserve">responsable de lo que hace hoy</w:t>
      </w:r>
      <w:r>
        <w:rPr>
          <w:lang w:val="es-ES"/>
        </w:rPr>
        <w:t xml:space="preserve"> </w:t>
      </w:r>
      <w:r>
        <w:rPr>
          <w:lang w:val="es-ES"/>
        </w:rPr>
        <w:t xml:space="preserve">con ella. La frase</w:t>
      </w:r>
      <w:r>
        <w:rPr>
          <w:lang w:val="es-ES"/>
        </w:rPr>
        <w:t xml:space="preserve"> </w:t>
      </w:r>
      <w:r>
        <w:rPr>
          <w:lang w:val="es-ES"/>
        </w:rPr>
        <w:t xml:space="preserve">“no puede cambiarse, pero sí comprenderse”</w:t>
      </w:r>
      <w:r>
        <w:rPr>
          <w:lang w:val="es-ES"/>
        </w:rPr>
        <w:t xml:space="preserve"> </w:t>
      </w:r>
      <w:r>
        <w:rPr>
          <w:lang w:val="es-ES"/>
        </w:rPr>
        <w:t xml:space="preserve">es protección contra la culpa y contra el cinismo (</w:t>
      </w:r>
      <w:r>
        <w:rPr>
          <w:lang w:val="es-ES"/>
        </w:rPr>
        <w:t xml:space="preserve">“ya no hay nada que hacer”</w:t>
      </w:r>
      <w:r>
        <w:rPr>
          <w:lang w:val="es-ES"/>
        </w:rPr>
        <w:t xml:space="preserve">).</w:t>
      </w:r>
      <w:r>
        <w:rPr>
          <w:lang w:val="es-ES"/>
        </w:rPr>
        <w:t xml:space="preserve"> </w:t>
      </w:r>
      <w:r>
        <w:rPr>
          <w:lang w:val="es-ES"/>
        </w:rPr>
        <w:t xml:space="preserve">2.</w:t>
      </w:r>
      <w:r>
        <w:rPr>
          <w:lang w:val="es-ES"/>
        </w:rPr>
        <w:t xml:space="preserve"> </w:t>
      </w:r>
      <w:r>
        <w:rPr>
          <w:b/>
          <w:bCs/>
          <w:lang w:val="es-ES"/>
        </w:rPr>
        <w:t xml:space="preserve">Realidad material ≠ reduccionismo</w:t>
      </w:r>
      <w:r>
        <w:rPr>
          <w:lang w:val="es-ES"/>
        </w:rPr>
        <w:t xml:space="preserve">: el entorno explica, no determina; siempre hay margen de intervención (playa de Vygotsky, D1 §3.6).</w:t>
      </w:r>
      <w:r>
        <w:rPr>
          <w:lang w:val="es-ES"/>
        </w:rPr>
        <w:t xml:space="preserve"> </w:t>
      </w:r>
      <w:r>
        <w:rPr>
          <w:lang w:val="es-ES"/>
        </w:rPr>
        <w:t xml:space="preserve">3.</w:t>
      </w:r>
      <w:r>
        <w:rPr>
          <w:lang w:val="es-ES"/>
        </w:rPr>
        <w:t xml:space="preserve"> </w:t>
      </w:r>
      <w:r>
        <w:rPr>
          <w:b/>
          <w:bCs/>
          <w:lang w:val="es-ES"/>
        </w:rPr>
        <w:t xml:space="preserve">Los niños tampoco son</w:t>
      </w:r>
      <w:r>
        <w:rPr>
          <w:b/>
          <w:bCs/>
          <w:lang w:val="es-ES"/>
        </w:rPr>
        <w:t xml:space="preserve"> </w:t>
      </w:r>
      <w:r>
        <w:rPr>
          <w:b/>
          <w:bCs/>
          <w:lang w:val="es-ES"/>
        </w:rPr>
        <w:t xml:space="preserve">“responsables”</w:t>
      </w:r>
      <w:r>
        <w:rPr>
          <w:b/>
          <w:bCs/>
          <w:lang w:val="es-ES"/>
        </w:rPr>
        <w:t xml:space="preserve"> </w:t>
      </w:r>
      <w:r>
        <w:rPr>
          <w:b/>
          <w:bCs/>
          <w:lang w:val="es-ES"/>
        </w:rPr>
        <w:t xml:space="preserve">de los adultos</w:t>
      </w:r>
      <w:r>
        <w:rPr>
          <w:lang w:val="es-ES"/>
        </w:rPr>
        <w:t xml:space="preserve">: el axioma asigna</w:t>
      </w:r>
      <w:r>
        <w:rPr>
          <w:lang w:val="es-ES"/>
        </w:rPr>
        <w:t xml:space="preserve"> </w:t>
      </w:r>
      <w:r>
        <w:rPr>
          <w:b/>
          <w:bCs/>
          <w:lang w:val="es-ES"/>
        </w:rPr>
        <w:t xml:space="preserve">carga de trabajo al adulto</w:t>
      </w:r>
      <w:r>
        <w:rPr>
          <w:lang w:val="es-ES"/>
        </w:rPr>
        <w:t xml:space="preserve">, no deuda del niño.</w:t>
      </w:r>
    </w:p>
    <w:p>
      <w:pPr>
        <w:pStyle w:val="BodyText"/>
      </w:pPr>
      <w:r>
        <w:rPr>
          <w:b/>
          <w:bCs/>
          <w:lang w:val="es-ES"/>
        </w:rPr>
        <w:t xml:space="preserve">Consecuencias prácticas:</w:t>
      </w:r>
    </w:p>
    <w:p>
      <w:pPr>
        <w:pStyle w:val="BodyText"/>
      </w:pPr>
      <w:r>
        <w:rPr>
          <w:b/>
          <w:bCs/>
          <w:lang w:val="es-ES"/>
        </w:rPr>
        <w:t xml:space="preserve">Para los niños (paidagógico):</w:t>
      </w:r>
      <w:r>
        <w:rPr>
          <w:lang w:val="es-ES"/>
        </w:rPr>
        <w:t xml:space="preserve"> </w:t>
      </w:r>
      <w:r>
        <w:rPr>
          <w:lang w:val="es-ES"/>
        </w:rPr>
        <w:t xml:space="preserve">Todo diseño de aula mira también las condiciones del entorno (sueño, alimento, ruido, estrés del hogar). —</w:t>
      </w:r>
      <w:r>
        <w:rPr>
          <w:lang w:val="es-ES"/>
        </w:rPr>
        <w:t xml:space="preserve"> </w:t>
      </w:r>
      <w:r>
        <w:rPr>
          <w:b/>
          <w:bCs/>
          <w:lang w:val="es-ES"/>
        </w:rPr>
        <w:t xml:space="preserve">Para los adultos (andragógico):</w:t>
      </w:r>
      <w:r>
        <w:rPr>
          <w:lang w:val="es-ES"/>
        </w:rPr>
        <w:t xml:space="preserve"> </w:t>
      </w:r>
      <w:r>
        <w:rPr>
          <w:lang w:val="es-ES"/>
        </w:rPr>
        <w:t xml:space="preserve">El curso/workshop incluye trabajo de resignificación de la propia infancia (no terapia: comprensión profesional).</w:t>
      </w:r>
    </w:p>
    <w:p>
      <w:pPr>
        <w:pStyle w:val="BodyText"/>
      </w:pPr>
      <w:r>
        <w:rPr>
          <w:b/>
          <w:bCs/>
          <w:lang w:val="es-ES"/>
        </w:rPr>
        <w:t xml:space="preserve">Para los niños (paidagógico):</w:t>
      </w:r>
      <w:r>
        <w:rPr>
          <w:lang w:val="es-ES"/>
        </w:rPr>
        <w:t xml:space="preserve"> </w:t>
      </w:r>
      <w:r>
        <w:rPr>
          <w:lang w:val="es-ES"/>
        </w:rPr>
        <w:t xml:space="preserve">El trato depende del estado del adulto: adulto regulado primero (D3 §3.2). —</w:t>
      </w:r>
      <w:r>
        <w:rPr>
          <w:lang w:val="es-ES"/>
        </w:rPr>
        <w:t xml:space="preserve"> </w:t>
      </w:r>
      <w:r>
        <w:rPr>
          <w:b/>
          <w:bCs/>
          <w:lang w:val="es-ES"/>
        </w:rPr>
        <w:t xml:space="preserve">Para los adultos (andragógico):</w:t>
      </w:r>
      <w:r>
        <w:rPr>
          <w:lang w:val="es-ES"/>
        </w:rPr>
        <w:t xml:space="preserve"> </w:t>
      </w:r>
      <w:r>
        <w:rPr>
          <w:lang w:val="es-ES"/>
        </w:rPr>
        <w:t xml:space="preserve">El proyecto forma y sostiene a los adultos (CTE, apoyo, burnout — D4 [G15]).</w:t>
      </w:r>
    </w:p>
    <w:p>
      <w:pPr>
        <w:pStyle w:val="BodyText"/>
      </w:pPr>
      <w:r>
        <w:rPr>
          <w:b/>
          <w:bCs/>
          <w:lang w:val="es-ES"/>
        </w:rPr>
        <w:t xml:space="preserve">Para los niños (paidagógico):</w:t>
      </w:r>
      <w:r>
        <w:rPr>
          <w:lang w:val="es-ES"/>
        </w:rPr>
        <w:t xml:space="preserve"> </w:t>
      </w:r>
      <w:r>
        <w:rPr>
          <w:lang w:val="es-ES"/>
        </w:rPr>
        <w:t xml:space="preserve">No se etiqueta al niño: se revisa el sistema niño–adulto–entorno. —</w:t>
      </w:r>
      <w:r>
        <w:rPr>
          <w:lang w:val="es-ES"/>
        </w:rPr>
        <w:t xml:space="preserve"> </w:t>
      </w:r>
      <w:r>
        <w:rPr>
          <w:b/>
          <w:bCs/>
          <w:lang w:val="es-ES"/>
        </w:rPr>
        <w:t xml:space="preserve">Para los adultos (andragógico):</w:t>
      </w:r>
      <w:r>
        <w:rPr>
          <w:lang w:val="es-ES"/>
        </w:rPr>
        <w:t xml:space="preserve"> </w:t>
      </w:r>
      <w:r>
        <w:rPr>
          <w:lang w:val="es-ES"/>
        </w:rPr>
        <w:t xml:space="preserve">La lectura de la realidad incluye el contexto adulto del plantel (D2 §4.2 Punto 1).</w:t>
      </w:r>
    </w:p>
    <w:bookmarkEnd w:id="11"/>
    <w:bookmarkStart w:id="12" w:name="X82a2fdca9d680f631813bb5e2f76b0d43230db7"/>
    <w:p>
      <w:pPr>
        <w:pStyle w:val="Heading3"/>
      </w:pPr>
      <w:r>
        <w:rPr>
          <w:lang w:val="es-ES"/>
        </w:rPr>
        <w:t xml:space="preserve">AX-3 — La resignificación es de las labores más necesarias</w:t>
      </w:r>
    </w:p>
    <w:p>
      <w:pPr>
        <w:pStyle w:val="BlockText"/>
      </w:pPr>
      <w:r>
        <w:rPr>
          <w:b/>
          <w:bCs/>
          <w:lang w:val="es-ES"/>
        </w:rPr>
        <w:t xml:space="preserve">LA RESIGNIFICACIÓN ES DE LAS LABORES MÁS NECESARIAS.</w:t>
      </w:r>
      <w:r>
        <w:rPr>
          <w:lang w:val="es-ES"/>
        </w:rPr>
        <w:t xml:space="preserve"> </w:t>
      </w:r>
      <w:r>
        <w:rPr>
          <w:lang w:val="es-ES"/>
        </w:rPr>
        <w:t xml:space="preserve">Debido a que cada resignificación nos acerca como adultos un poco más a la realidad material y a la comprensión de esta.</w:t>
      </w:r>
      <w:r>
        <w:rPr>
          <w:lang w:val="es-ES"/>
        </w:rPr>
        <w:t xml:space="preserve"> </w:t>
      </w:r>
      <w:r>
        <w:rPr>
          <w:lang w:val="es-ES"/>
        </w:rPr>
        <w:t xml:space="preserve">Resignificar no significa pintar todo de color de rosa, o pintarlo todo de negro o de blanco; implica ver cada vez más todos los matices involucrados.</w:t>
      </w:r>
      <w:r>
        <w:rPr>
          <w:lang w:val="es-ES"/>
        </w:rPr>
        <w:t xml:space="preserve"> </w:t>
      </w:r>
      <w:r>
        <w:rPr>
          <w:lang w:val="es-ES"/>
        </w:rPr>
        <w:t xml:space="preserve">En ocasiones las resignificaciones pueden traer crisis que,</w:t>
      </w:r>
      <w:r>
        <w:rPr>
          <w:lang w:val="es-ES"/>
        </w:rPr>
        <w:t xml:space="preserve"> </w:t>
      </w:r>
      <w:r>
        <w:rPr>
          <w:b/>
          <w:bCs/>
          <w:lang w:val="es-ES"/>
        </w:rPr>
        <w:t xml:space="preserve">[si se]</w:t>
      </w:r>
      <w:r>
        <w:rPr>
          <w:lang w:val="es-ES"/>
        </w:rPr>
        <w:t xml:space="preserve"> </w:t>
      </w:r>
      <w:r>
        <w:rPr>
          <w:lang w:val="es-ES"/>
        </w:rPr>
        <w:t xml:space="preserve">atraviesan con apertura y deseos de aprendizaje, no sólo nutren al individuo sino a su entorno. Es decir, tienen un impacto psico, socio, cultural, inter e intra dinámico, de la misma forma en que la realidad material opera en los individuos.</w:t>
      </w:r>
    </w:p>
    <w:p>
      <w:pPr>
        <w:pStyle w:val="FirstParagraph"/>
      </w:pPr>
      <w:r>
        <w:rPr>
          <w:b/>
          <w:bCs/>
          <w:lang w:val="es-ES"/>
        </w:rPr>
        <w:t xml:space="preserve">Anclaje académico (serie):</w:t>
      </w:r>
      <w:r>
        <w:rPr>
          <w:lang w:val="es-ES"/>
        </w:rPr>
        <w:t xml:space="preserve"> </w:t>
      </w:r>
      <w:r>
        <w:rPr>
          <w:lang w:val="es-ES"/>
        </w:rPr>
        <w:t xml:space="preserve">-</w:t>
      </w:r>
      <w:r>
        <w:rPr>
          <w:lang w:val="es-ES"/>
        </w:rPr>
        <w:t xml:space="preserve"> </w:t>
      </w:r>
      <w:r>
        <w:rPr>
          <w:b/>
          <w:bCs/>
          <w:lang w:val="es-ES"/>
        </w:rPr>
        <w:t xml:space="preserve">Aprendizaje de doble bucle (Argyris) y andragogía transformacional (Mezirow) [D4 G10, G6]</w:t>
      </w:r>
      <w:r>
        <w:rPr>
          <w:lang w:val="es-ES"/>
        </w:rPr>
        <w:t xml:space="preserve">: resignificar es revisar las reglas y creencias propias, no solo corregir errores.</w:t>
      </w:r>
      <w:r>
        <w:rPr>
          <w:lang w:val="es-ES"/>
        </w:rPr>
        <w:t xml:space="preserve"> </w:t>
      </w:r>
      <w:r>
        <w:rPr>
          <w:lang w:val="es-ES"/>
        </w:rPr>
        <w:t xml:space="preserve">-</w:t>
      </w:r>
      <w:r>
        <w:rPr>
          <w:lang w:val="es-ES"/>
        </w:rPr>
        <w:t xml:space="preserve"> </w:t>
      </w:r>
      <w:r>
        <w:rPr>
          <w:b/>
          <w:bCs/>
          <w:lang w:val="es-ES"/>
        </w:rPr>
        <w:t xml:space="preserve">Anti-binarismo interseccional [D5 A9, A22–A23]</w:t>
      </w:r>
      <w:r>
        <w:rPr>
          <w:lang w:val="es-ES"/>
        </w:rPr>
        <w:t xml:space="preserve">: ver matices es rechazar esencialismos y folclorizaciones.</w:t>
      </w:r>
      <w:r>
        <w:rPr>
          <w:lang w:val="es-ES"/>
        </w:rPr>
        <w:t xml:space="preserve"> </w:t>
      </w:r>
      <w:r>
        <w:rPr>
          <w:lang w:val="es-ES"/>
        </w:rPr>
        <w:t xml:space="preserve">-</w:t>
      </w:r>
      <w:r>
        <w:rPr>
          <w:lang w:val="es-ES"/>
        </w:rPr>
        <w:t xml:space="preserve"> </w:t>
      </w:r>
      <w:r>
        <w:rPr>
          <w:b/>
          <w:bCs/>
          <w:lang w:val="es-ES"/>
        </w:rPr>
        <w:t xml:space="preserve">Neuromitos como anti-resignificación [D4 bloque J]</w:t>
      </w:r>
      <w:r>
        <w:rPr>
          <w:lang w:val="es-ES"/>
        </w:rPr>
        <w:t xml:space="preserve">: creer el sentido común heredado es lo contrario de resignificar.</w:t>
      </w:r>
      <w:r>
        <w:rPr>
          <w:lang w:val="es-ES"/>
        </w:rPr>
        <w:t xml:space="preserve"> </w:t>
      </w:r>
      <w:r>
        <w:rPr>
          <w:lang w:val="es-ES"/>
        </w:rPr>
        <w:t xml:space="preserve">-</w:t>
      </w:r>
      <w:r>
        <w:rPr>
          <w:lang w:val="es-ES"/>
        </w:rPr>
        <w:t xml:space="preserve"> </w:t>
      </w:r>
      <w:r>
        <w:rPr>
          <w:b/>
          <w:bCs/>
          <w:lang w:val="es-ES"/>
        </w:rPr>
        <w:t xml:space="preserve">Crisis bien atravesadas [D3 §1.3, §6]</w:t>
      </w:r>
      <w:r>
        <w:rPr>
          <w:lang w:val="es-ES"/>
        </w:rPr>
        <w:t xml:space="preserve">: la travesía de crisis con apoyo produce aprendizaje y resiliencia — el mismo mecanismo en niños (crisis de desarrollo) y adultos (crisis de revisión).</w:t>
      </w:r>
      <w:r>
        <w:rPr>
          <w:lang w:val="es-ES"/>
        </w:rPr>
        <w:t xml:space="preserve"> </w:t>
      </w:r>
      <w:r>
        <w:rPr>
          <w:lang w:val="es-ES"/>
        </w:rPr>
        <w:t xml:space="preserve">-</w:t>
      </w:r>
      <w:r>
        <w:rPr>
          <w:lang w:val="es-ES"/>
        </w:rPr>
        <w:t xml:space="preserve"> </w:t>
      </w:r>
      <w:r>
        <w:rPr>
          <w:b/>
          <w:bCs/>
          <w:lang w:val="es-ES"/>
        </w:rPr>
        <w:t xml:space="preserve">Resignificación ≠ positivismo tóxico</w:t>
      </w:r>
      <w:r>
        <w:rPr>
          <w:lang w:val="es-ES"/>
        </w:rPr>
        <w:t xml:space="preserve">: la serie distingue hecho de opinión precisamente para poder revisar sin maquillar (D6 T2).</w:t>
      </w:r>
    </w:p>
    <w:p>
      <w:pPr>
        <w:pStyle w:val="BodyText"/>
      </w:pPr>
      <w:r>
        <w:rPr>
          <w:b/>
          <w:bCs/>
          <w:lang w:val="es-ES"/>
        </w:rPr>
        <w:t xml:space="preserve">Guardas explícitas:</w:t>
      </w:r>
      <w:r>
        <w:rPr>
          <w:lang w:val="es-ES"/>
        </w:rPr>
        <w:t xml:space="preserve"> </w:t>
      </w:r>
      <w:r>
        <w:rPr>
          <w:lang w:val="es-ES"/>
        </w:rPr>
        <w:t xml:space="preserve">1.</w:t>
      </w:r>
      <w:r>
        <w:rPr>
          <w:lang w:val="es-ES"/>
        </w:rPr>
        <w:t xml:space="preserve"> </w:t>
      </w:r>
      <w:r>
        <w:rPr>
          <w:b/>
          <w:bCs/>
          <w:lang w:val="es-ES"/>
        </w:rPr>
        <w:t xml:space="preserve">No es blanquear ni ennegrecer</w:t>
      </w:r>
      <w:r>
        <w:rPr>
          <w:lang w:val="es-ES"/>
        </w:rPr>
        <w:t xml:space="preserve">: resignificar</w:t>
      </w:r>
      <w:r>
        <w:rPr>
          <w:lang w:val="es-ES"/>
        </w:rPr>
        <w:t xml:space="preserve"> </w:t>
      </w:r>
      <w:r>
        <w:rPr>
          <w:b/>
          <w:bCs/>
          <w:lang w:val="es-ES"/>
        </w:rPr>
        <w:t xml:space="preserve">agrega matices</w:t>
      </w:r>
      <w:r>
        <w:rPr>
          <w:lang w:val="es-ES"/>
        </w:rPr>
        <w:t xml:space="preserve">, no resta responsabilidades ni borra agravios — quien sufrió una injusticia no se le pide</w:t>
      </w:r>
      <w:r>
        <w:rPr>
          <w:lang w:val="es-ES"/>
        </w:rPr>
        <w:t xml:space="preserve"> </w:t>
      </w:r>
      <w:r>
        <w:rPr>
          <w:lang w:val="es-ES"/>
        </w:rPr>
        <w:t xml:space="preserve">“resignificarla”</w:t>
      </w:r>
      <w:r>
        <w:rPr>
          <w:lang w:val="es-ES"/>
        </w:rPr>
        <w:t xml:space="preserve"> </w:t>
      </w:r>
      <w:r>
        <w:rPr>
          <w:lang w:val="es-ES"/>
        </w:rPr>
        <w:t xml:space="preserve">como requisito para ser creído.</w:t>
      </w:r>
      <w:r>
        <w:rPr>
          <w:lang w:val="es-ES"/>
        </w:rPr>
        <w:t xml:space="preserve"> </w:t>
      </w:r>
      <w:r>
        <w:rPr>
          <w:lang w:val="es-ES"/>
        </w:rPr>
        <w:t xml:space="preserve">2.</w:t>
      </w:r>
      <w:r>
        <w:rPr>
          <w:lang w:val="es-ES"/>
        </w:rPr>
        <w:t xml:space="preserve"> </w:t>
      </w:r>
      <w:r>
        <w:rPr>
          <w:b/>
          <w:bCs/>
          <w:lang w:val="es-ES"/>
        </w:rPr>
        <w:t xml:space="preserve">No se provocan crisis a sabiendas</w:t>
      </w:r>
      <w:r>
        <w:rPr>
          <w:lang w:val="es-ES"/>
        </w:rPr>
        <w:t xml:space="preserve">: las crisis de revisión</w:t>
      </w:r>
      <w:r>
        <w:rPr>
          <w:lang w:val="es-ES"/>
        </w:rPr>
        <w:t xml:space="preserve"> </w:t>
      </w:r>
      <w:r>
        <w:rPr>
          <w:b/>
          <w:bCs/>
          <w:lang w:val="es-ES"/>
        </w:rPr>
        <w:t xml:space="preserve">se acompañan</w:t>
      </w:r>
      <w:r>
        <w:rPr>
          <w:lang w:val="es-ES"/>
        </w:rPr>
        <w:t xml:space="preserve">; el diseño del programa nunca expone a un adulto o niño a una crisis deliberada para</w:t>
      </w:r>
      <w:r>
        <w:rPr>
          <w:lang w:val="es-ES"/>
        </w:rPr>
        <w:t xml:space="preserve"> </w:t>
      </w:r>
      <w:r>
        <w:rPr>
          <w:lang w:val="es-ES"/>
        </w:rPr>
        <w:t xml:space="preserve">“aprender”</w:t>
      </w:r>
      <w:r>
        <w:rPr>
          <w:lang w:val="es-ES"/>
        </w:rPr>
        <w:t xml:space="preserve">.</w:t>
      </w:r>
      <w:r>
        <w:rPr>
          <w:lang w:val="es-ES"/>
        </w:rPr>
        <w:t xml:space="preserve"> </w:t>
      </w:r>
      <w:r>
        <w:rPr>
          <w:lang w:val="es-ES"/>
        </w:rPr>
        <w:t xml:space="preserve">3.</w:t>
      </w:r>
      <w:r>
        <w:rPr>
          <w:lang w:val="es-ES"/>
        </w:rPr>
        <w:t xml:space="preserve"> </w:t>
      </w:r>
      <w:r>
        <w:rPr>
          <w:b/>
          <w:bCs/>
          <w:lang w:val="es-ES"/>
        </w:rPr>
        <w:t xml:space="preserve">Límite de competencia</w:t>
      </w:r>
      <w:r>
        <w:rPr>
          <w:lang w:val="es-ES"/>
        </w:rPr>
        <w:t xml:space="preserve">: la resignificación profunda de traumas es labor clínica; en el proyecto se trabaja la</w:t>
      </w:r>
      <w:r>
        <w:rPr>
          <w:lang w:val="es-ES"/>
        </w:rPr>
        <w:t xml:space="preserve"> </w:t>
      </w:r>
      <w:r>
        <w:rPr>
          <w:b/>
          <w:bCs/>
          <w:lang w:val="es-ES"/>
        </w:rPr>
        <w:t xml:space="preserve">comprensión profesional y el sentido</w:t>
      </w:r>
      <w:r>
        <w:rPr>
          <w:lang w:val="es-ES"/>
        </w:rPr>
        <w:t xml:space="preserve">, con derivación cuando corresponde (D1 §7).</w:t>
      </w:r>
    </w:p>
    <w:p>
      <w:pPr>
        <w:pStyle w:val="BodyText"/>
      </w:pPr>
      <w:r>
        <w:rPr>
          <w:b/>
          <w:bCs/>
          <w:lang w:val="es-ES"/>
        </w:rPr>
        <w:t xml:space="preserve">Consecuencias prácticas:</w:t>
      </w:r>
    </w:p>
    <w:p>
      <w:pPr>
        <w:pStyle w:val="BodyText"/>
      </w:pPr>
      <w:r>
        <w:rPr>
          <w:b/>
          <w:bCs/>
          <w:lang w:val="es-ES"/>
        </w:rPr>
        <w:t xml:space="preserve">Para los niños (paidagógico):</w:t>
      </w:r>
      <w:r>
        <w:rPr>
          <w:lang w:val="es-ES"/>
        </w:rPr>
        <w:t xml:space="preserve"> </w:t>
      </w:r>
      <w:r>
        <w:rPr>
          <w:lang w:val="es-ES"/>
        </w:rPr>
        <w:t xml:space="preserve">El currículo se contextualiza con matices: la realidad local, no lecciones universales (D2 §4.2 Punto 2). —</w:t>
      </w:r>
      <w:r>
        <w:rPr>
          <w:lang w:val="es-ES"/>
        </w:rPr>
        <w:t xml:space="preserve"> </w:t>
      </w:r>
      <w:r>
        <w:rPr>
          <w:b/>
          <w:bCs/>
          <w:lang w:val="es-ES"/>
        </w:rPr>
        <w:t xml:space="preserve">Para los adultos (andragógico):</w:t>
      </w:r>
      <w:r>
        <w:rPr>
          <w:lang w:val="es-ES"/>
        </w:rPr>
        <w:t xml:space="preserve"> </w:t>
      </w:r>
      <w:r>
        <w:rPr>
          <w:lang w:val="es-ES"/>
        </w:rPr>
        <w:t xml:space="preserve">Cada módulo del curso incluye revisión de una creencia propia (</w:t>
      </w:r>
      <w:r>
        <w:rPr>
          <w:lang w:val="es-ES"/>
        </w:rPr>
        <w:t xml:space="preserve">“¿qué daba por sentado?”</w:t>
      </w:r>
      <w:r>
        <w:rPr>
          <w:lang w:val="es-ES"/>
        </w:rPr>
        <w:t xml:space="preserve">).</w:t>
      </w:r>
    </w:p>
    <w:p>
      <w:pPr>
        <w:pStyle w:val="BodyText"/>
      </w:pPr>
      <w:r>
        <w:rPr>
          <w:b/>
          <w:bCs/>
          <w:lang w:val="es-ES"/>
        </w:rPr>
        <w:t xml:space="preserve">Para los niños (paidagógico):</w:t>
      </w:r>
      <w:r>
        <w:rPr>
          <w:lang w:val="es-ES"/>
        </w:rPr>
        <w:t xml:space="preserve"> </w:t>
      </w:r>
      <w:r>
        <w:rPr>
          <w:lang w:val="es-ES"/>
        </w:rPr>
        <w:t xml:space="preserve">Se enseña a mirar diferencias sin jerarquías (interculturalidad crítica, D5 C8). —</w:t>
      </w:r>
      <w:r>
        <w:rPr>
          <w:lang w:val="es-ES"/>
        </w:rPr>
        <w:t xml:space="preserve"> </w:t>
      </w:r>
      <w:r>
        <w:rPr>
          <w:b/>
          <w:bCs/>
          <w:lang w:val="es-ES"/>
        </w:rPr>
        <w:t xml:space="preserve">Para los adultos (andragógico):</w:t>
      </w:r>
      <w:r>
        <w:rPr>
          <w:lang w:val="es-ES"/>
        </w:rPr>
        <w:t xml:space="preserve"> </w:t>
      </w:r>
      <w:r>
        <w:rPr>
          <w:lang w:val="es-ES"/>
        </w:rPr>
        <w:t xml:space="preserve">El CTE practica doble bucle: revisar la regla, no solo el error (D4 G10).</w:t>
      </w:r>
    </w:p>
    <w:p>
      <w:pPr>
        <w:pStyle w:val="BodyText"/>
      </w:pPr>
      <w:r>
        <w:rPr>
          <w:b/>
          <w:bCs/>
          <w:lang w:val="es-ES"/>
        </w:rPr>
        <w:t xml:space="preserve">Para los niños (paidagógico):</w:t>
      </w:r>
      <w:r>
        <w:rPr>
          <w:lang w:val="es-ES"/>
        </w:rPr>
        <w:t xml:space="preserve"> </w:t>
      </w:r>
      <w:r>
        <w:rPr>
          <w:lang w:val="es-ES"/>
        </w:rPr>
        <w:t xml:space="preserve">Las crisis evolutivas del niño se acompañan, no se castigan (D3 §6). —</w:t>
      </w:r>
      <w:r>
        <w:rPr>
          <w:lang w:val="es-ES"/>
        </w:rPr>
        <w:t xml:space="preserve"> </w:t>
      </w:r>
      <w:r>
        <w:rPr>
          <w:b/>
          <w:bCs/>
          <w:lang w:val="es-ES"/>
        </w:rPr>
        <w:t xml:space="preserve">Para los adultos (andragógico):</w:t>
      </w:r>
      <w:r>
        <w:rPr>
          <w:lang w:val="es-ES"/>
        </w:rPr>
        <w:t xml:space="preserve"> </w:t>
      </w:r>
      <w:r>
        <w:rPr>
          <w:lang w:val="es-ES"/>
        </w:rPr>
        <w:t xml:space="preserve">El Acta Constitutiva puede actualizarse: el programa es un sistema que se resignifica (D6 R10).</w:t>
      </w:r>
    </w:p>
    <w:p>
      <w:r>
        <w:pict>
          <v:rect style="width:0;height:1.5pt" o:hralign="center" o:hrstd="t" o:hr="t"/>
        </w:pict>
      </w:r>
    </w:p>
    <w:bookmarkEnd w:id="12"/>
    <w:bookmarkEnd w:id="13"/>
    <w:bookmarkStart w:id="14" w:name="Xfa51565955a573ea6fea2a29781bfa07f7ce914"/>
    <w:p>
      <w:pPr>
        <w:pStyle w:val="Heading2"/>
      </w:pPr>
      <w:r>
        <w:rPr>
          <w:lang w:val="es-ES"/>
        </w:rPr>
        <w:t xml:space="preserve">2. Pilares filosóficos (fuente:</w:t>
      </w:r>
      <w:r>
        <w:rPr>
          <w:lang w:val="es-ES"/>
        </w:rPr>
        <w:t xml:space="preserve"> </w:t>
      </w:r>
      <w:r>
        <w:rPr>
          <w:rStyle w:val="VerbatimChar"/>
          <w:lang w:val="es-ES"/>
        </w:rPr>
        <w:t xml:space="preserve">Pilares-filosoficos.md</w:t>
      </w:r>
      <w:r>
        <w:rPr>
          <w:lang w:val="es-ES"/>
        </w:rPr>
        <w:t xml:space="preserve">)</w:t>
      </w:r>
    </w:p>
    <w:p>
      <w:pPr>
        <w:pStyle w:val="FirstParagraph"/>
      </w:pPr>
      <w:r>
        <w:rPr>
          <w:lang w:val="es-ES"/>
        </w:rPr>
        <w:t xml:space="preserve">Los axiomas (proposiciones) se sostienen sobre estos</w:t>
      </w:r>
      <w:r>
        <w:rPr>
          <w:lang w:val="es-ES"/>
        </w:rPr>
        <w:t xml:space="preserve"> </w:t>
      </w:r>
      <w:r>
        <w:rPr>
          <w:b/>
          <w:bCs/>
          <w:lang w:val="es-ES"/>
        </w:rPr>
        <w:t xml:space="preserve">pilares</w:t>
      </w:r>
      <w:r>
        <w:rPr>
          <w:lang w:val="es-ES"/>
        </w:rPr>
        <w:t xml:space="preserve"> </w:t>
      </w:r>
      <w:r>
        <w:rPr>
          <w:lang w:val="es-ES"/>
        </w:rPr>
        <w:t xml:space="preserve">(dominios de sentido):</w:t>
      </w:r>
    </w:p>
    <w:p>
      <w:pPr>
        <w:pStyle w:val="BodyText"/>
      </w:pPr>
      <w:r>
        <w:rPr>
          <w:b/>
          <w:bCs/>
          <w:lang w:val="es-ES"/>
        </w:rPr>
        <w:t xml:space="preserve">LAIRE — Legalidad.</w:t>
      </w:r>
      <w:r>
        <w:rPr>
          <w:lang w:val="es-ES"/>
        </w:rPr>
        <w:t xml:space="preserve"> </w:t>
      </w:r>
      <w:r>
        <w:rPr>
          <w:b/>
          <w:bCs/>
          <w:lang w:val="es-ES"/>
        </w:rPr>
        <w:t xml:space="preserve">Dominio:</w:t>
      </w:r>
      <w:r>
        <w:rPr>
          <w:lang w:val="es-ES"/>
        </w:rPr>
        <w:t xml:space="preserve"> </w:t>
      </w:r>
      <w:r>
        <w:rPr>
          <w:lang w:val="es-ES"/>
        </w:rPr>
        <w:t xml:space="preserve">El programa opera dentro de la norma (CPEUM, CDN, LGE) ·</w:t>
      </w:r>
      <w:r>
        <w:rPr>
          <w:lang w:val="es-ES"/>
        </w:rPr>
        <w:t xml:space="preserve"> </w:t>
      </w:r>
      <w:r>
        <w:rPr>
          <w:b/>
          <w:bCs/>
          <w:lang w:val="es-ES"/>
        </w:rPr>
        <w:t xml:space="preserve">Puente con la serie:</w:t>
      </w:r>
      <w:r>
        <w:rPr>
          <w:lang w:val="es-ES"/>
        </w:rPr>
        <w:t xml:space="preserve"> </w:t>
      </w:r>
      <w:r>
        <w:rPr>
          <w:lang w:val="es-ES"/>
        </w:rPr>
        <w:t xml:space="preserve">D6 §1; [GI bloque C]</w:t>
      </w:r>
    </w:p>
    <w:p>
      <w:pPr>
        <w:pStyle w:val="BodyText"/>
      </w:pPr>
      <w:r>
        <w:rPr>
          <w:b/>
          <w:bCs/>
          <w:lang w:val="es-ES"/>
        </w:rPr>
        <w:t xml:space="preserve">Ambientalidad.</w:t>
      </w:r>
      <w:r>
        <w:rPr>
          <w:lang w:val="es-ES"/>
        </w:rPr>
        <w:t xml:space="preserve"> </w:t>
      </w:r>
      <w:r>
        <w:rPr>
          <w:b/>
          <w:bCs/>
          <w:lang w:val="es-ES"/>
        </w:rPr>
        <w:t xml:space="preserve">Dominio:</w:t>
      </w:r>
      <w:r>
        <w:rPr>
          <w:lang w:val="es-ES"/>
        </w:rPr>
        <w:t xml:space="preserve"> </w:t>
      </w:r>
      <w:r>
        <w:rPr>
          <w:lang w:val="es-ES"/>
        </w:rPr>
        <w:t xml:space="preserve">El entorno natural y social es parte del desarrollo; derecho a ambiente sano ·</w:t>
      </w:r>
      <w:r>
        <w:rPr>
          <w:lang w:val="es-ES"/>
        </w:rPr>
        <w:t xml:space="preserve"> </w:t>
      </w:r>
      <w:r>
        <w:rPr>
          <w:b/>
          <w:bCs/>
          <w:lang w:val="es-ES"/>
        </w:rPr>
        <w:t xml:space="preserve">Puente con la serie:</w:t>
      </w:r>
      <w:r>
        <w:rPr>
          <w:lang w:val="es-ES"/>
        </w:rPr>
        <w:t xml:space="preserve"> </w:t>
      </w:r>
      <w:r>
        <w:rPr>
          <w:lang w:val="es-ES"/>
        </w:rPr>
        <w:t xml:space="preserve">D6 §3.3 (OG 26); [GI]</w:t>
      </w:r>
    </w:p>
    <w:p>
      <w:pPr>
        <w:pStyle w:val="BodyText"/>
      </w:pPr>
      <w:r>
        <w:rPr>
          <w:b/>
          <w:bCs/>
          <w:lang w:val="es-ES"/>
        </w:rPr>
        <w:t xml:space="preserve">Individualidad.</w:t>
      </w:r>
      <w:r>
        <w:rPr>
          <w:lang w:val="es-ES"/>
        </w:rPr>
        <w:t xml:space="preserve"> </w:t>
      </w:r>
      <w:r>
        <w:rPr>
          <w:b/>
          <w:bCs/>
          <w:lang w:val="es-ES"/>
        </w:rPr>
        <w:t xml:space="preserve">Dominio:</w:t>
      </w:r>
      <w:r>
        <w:rPr>
          <w:lang w:val="es-ES"/>
        </w:rPr>
        <w:t xml:space="preserve"> </w:t>
      </w:r>
      <w:r>
        <w:rPr>
          <w:lang w:val="es-ES"/>
        </w:rPr>
        <w:t xml:space="preserve">Cada niño/adulto es singular: ritmo, historia, perfil ·</w:t>
      </w:r>
      <w:r>
        <w:rPr>
          <w:lang w:val="es-ES"/>
        </w:rPr>
        <w:t xml:space="preserve"> </w:t>
      </w:r>
      <w:r>
        <w:rPr>
          <w:b/>
          <w:bCs/>
          <w:lang w:val="es-ES"/>
        </w:rPr>
        <w:t xml:space="preserve">Puente con la serie:</w:t>
      </w:r>
      <w:r>
        <w:rPr>
          <w:lang w:val="es-ES"/>
        </w:rPr>
        <w:t xml:space="preserve"> </w:t>
      </w:r>
      <w:r>
        <w:rPr>
          <w:lang w:val="es-ES"/>
        </w:rPr>
        <w:t xml:space="preserve">D1 §4 (estándares por edad + individualidad); DAP [GN E3]</w:t>
      </w:r>
    </w:p>
    <w:p>
      <w:pPr>
        <w:pStyle w:val="BodyText"/>
      </w:pPr>
      <w:r>
        <w:rPr>
          <w:b/>
          <w:bCs/>
          <w:lang w:val="es-ES"/>
        </w:rPr>
        <w:t xml:space="preserve">Relacionalidad.</w:t>
      </w:r>
      <w:r>
        <w:rPr>
          <w:lang w:val="es-ES"/>
        </w:rPr>
        <w:t xml:space="preserve"> </w:t>
      </w:r>
      <w:r>
        <w:rPr>
          <w:b/>
          <w:bCs/>
          <w:lang w:val="es-ES"/>
        </w:rPr>
        <w:t xml:space="preserve">Dominio:</w:t>
      </w:r>
      <w:r>
        <w:rPr>
          <w:lang w:val="es-ES"/>
        </w:rPr>
        <w:t xml:space="preserve"> </w:t>
      </w:r>
      <w:r>
        <w:rPr>
          <w:lang w:val="es-ES"/>
        </w:rPr>
        <w:t xml:space="preserve">Todo aprendizaje ocurre en vínculo (serve and return, ZDP, comunidad) ·</w:t>
      </w:r>
      <w:r>
        <w:rPr>
          <w:lang w:val="es-ES"/>
        </w:rPr>
        <w:t xml:space="preserve"> </w:t>
      </w:r>
      <w:r>
        <w:rPr>
          <w:b/>
          <w:bCs/>
          <w:lang w:val="es-ES"/>
        </w:rPr>
        <w:t xml:space="preserve">Puente con la serie:</w:t>
      </w:r>
      <w:r>
        <w:rPr>
          <w:lang w:val="es-ES"/>
        </w:rPr>
        <w:t xml:space="preserve"> </w:t>
      </w:r>
      <w:r>
        <w:rPr>
          <w:lang w:val="es-ES"/>
        </w:rPr>
        <w:t xml:space="preserve">D1 §3.2, §5; [GI C15]</w:t>
      </w:r>
    </w:p>
    <w:p>
      <w:pPr>
        <w:pStyle w:val="BodyText"/>
      </w:pPr>
      <w:r>
        <w:rPr>
          <w:b/>
          <w:bCs/>
          <w:lang w:val="es-ES"/>
        </w:rPr>
        <w:t xml:space="preserve">Ética.</w:t>
      </w:r>
      <w:r>
        <w:rPr>
          <w:lang w:val="es-ES"/>
        </w:rPr>
        <w:t xml:space="preserve"> </w:t>
      </w:r>
      <w:r>
        <w:rPr>
          <w:b/>
          <w:bCs/>
          <w:lang w:val="es-ES"/>
        </w:rPr>
        <w:t xml:space="preserve">Dominio:</w:t>
      </w:r>
      <w:r>
        <w:rPr>
          <w:lang w:val="es-ES"/>
        </w:rPr>
        <w:t xml:space="preserve"> </w:t>
      </w:r>
      <w:r>
        <w:rPr>
          <w:lang w:val="es-ES"/>
        </w:rPr>
        <w:t xml:space="preserve">No daño, interés superior, cuidado del otro ·</w:t>
      </w:r>
      <w:r>
        <w:rPr>
          <w:lang w:val="es-ES"/>
        </w:rPr>
        <w:t xml:space="preserve"> </w:t>
      </w:r>
      <w:r>
        <w:rPr>
          <w:b/>
          <w:bCs/>
          <w:lang w:val="es-ES"/>
        </w:rPr>
        <w:t xml:space="preserve">Puente con la serie:</w:t>
      </w:r>
      <w:r>
        <w:rPr>
          <w:lang w:val="es-ES"/>
        </w:rPr>
        <w:t xml:space="preserve"> </w:t>
      </w:r>
      <w:r>
        <w:rPr>
          <w:lang w:val="es-ES"/>
        </w:rPr>
        <w:t xml:space="preserve">D6 §0 P3; [D5 B26]</w:t>
      </w:r>
    </w:p>
    <w:p>
      <w:pPr>
        <w:pStyle w:val="BodyText"/>
      </w:pPr>
      <w:r>
        <w:rPr>
          <w:b/>
          <w:bCs/>
          <w:lang w:val="es-ES"/>
        </w:rPr>
        <w:t xml:space="preserve">Pilar:</w:t>
      </w:r>
      <w:r>
        <w:rPr>
          <w:lang w:val="es-ES"/>
        </w:rPr>
        <w:t xml:space="preserve"> </w:t>
      </w:r>
      <w:r>
        <w:rPr>
          <w:b/>
          <w:bCs/>
          <w:lang w:val="es-ES"/>
        </w:rPr>
        <w:t xml:space="preserve">Neurociencias</w:t>
      </w:r>
      <w:r>
        <w:rPr>
          <w:lang w:val="es-ES"/>
        </w:rPr>
        <w:t xml:space="preserve"> </w:t>
      </w:r>
      <w:r>
        <w:rPr>
          <w:lang w:val="es-ES"/>
        </w:rPr>
        <w:t xml:space="preserve">— neuroeducación, neuroandragogía, neuropaidagogía, neuropsicología, neurodesarrollo ·</w:t>
      </w:r>
      <w:r>
        <w:rPr>
          <w:lang w:val="es-ES"/>
        </w:rPr>
        <w:t xml:space="preserve"> </w:t>
      </w:r>
      <w:r>
        <w:rPr>
          <w:b/>
          <w:bCs/>
          <w:lang w:val="es-ES"/>
        </w:rPr>
        <w:t xml:space="preserve">Dominio:</w:t>
      </w:r>
      <w:r>
        <w:rPr>
          <w:lang w:val="es-ES"/>
        </w:rPr>
        <w:t xml:space="preserve"> </w:t>
      </w:r>
      <w:r>
        <w:rPr>
          <w:lang w:val="es-ES"/>
        </w:rPr>
        <w:t xml:space="preserve">La base empíica del cómo aprenden niños y adultos ·</w:t>
      </w:r>
      <w:r>
        <w:rPr>
          <w:lang w:val="es-ES"/>
        </w:rPr>
        <w:t xml:space="preserve"> </w:t>
      </w:r>
      <w:r>
        <w:rPr>
          <w:b/>
          <w:bCs/>
          <w:lang w:val="es-ES"/>
        </w:rPr>
        <w:t xml:space="preserve">Puente con la serie:</w:t>
      </w:r>
      <w:r>
        <w:rPr>
          <w:lang w:val="es-ES"/>
        </w:rPr>
        <w:t xml:space="preserve"> </w:t>
      </w:r>
      <w:r>
        <w:rPr>
          <w:lang w:val="es-ES"/>
        </w:rPr>
        <w:t xml:space="preserve">D1, D4 (bloques A y G), D6 §4</w:t>
      </w:r>
      <w:r>
        <w:rPr>
          <w:lang w:val="es-ES"/>
        </w:rPr>
        <w:t xml:space="preserve"> </w:t>
      </w:r>
      <w:r>
        <w:rPr>
          <w:b/>
          <w:bCs/>
          <w:lang w:val="es-ES"/>
        </w:rPr>
        <w:t xml:space="preserve">Pilar:</w:t>
      </w:r>
      <w:r>
        <w:rPr>
          <w:lang w:val="es-ES"/>
        </w:rPr>
        <w:t xml:space="preserve"> </w:t>
      </w:r>
      <w:r>
        <w:rPr>
          <w:b/>
          <w:bCs/>
          <w:lang w:val="es-ES"/>
        </w:rPr>
        <w:t xml:space="preserve">NeuroAxiología</w:t>
      </w:r>
      <w:r>
        <w:rPr>
          <w:lang w:val="es-ES"/>
        </w:rPr>
        <w:t xml:space="preserve"> </w:t>
      </w:r>
      <w:r>
        <w:rPr>
          <w:lang w:val="es-ES"/>
        </w:rPr>
        <w:t xml:space="preserve">— rama del eje de neurociencias dedicada a los</w:t>
      </w:r>
      <w:r>
        <w:rPr>
          <w:lang w:val="es-ES"/>
        </w:rPr>
        <w:t xml:space="preserve"> </w:t>
      </w:r>
      <w:r>
        <w:rPr>
          <w:b/>
          <w:bCs/>
          <w:lang w:val="es-ES"/>
        </w:rPr>
        <w:t xml:space="preserve">valores</w:t>
      </w:r>
      <w:r>
        <w:rPr>
          <w:lang w:val="es-ES"/>
        </w:rPr>
        <w:t xml:space="preserve"> </w:t>
      </w:r>
      <w:r>
        <w:rPr>
          <w:lang w:val="es-ES"/>
        </w:rPr>
        <w:t xml:space="preserve">del aprendizaje: qué es valioso para el cerebro y el desarrollo humano (y qué no lo es) ·</w:t>
      </w:r>
      <w:r>
        <w:rPr>
          <w:lang w:val="es-ES"/>
        </w:rPr>
        <w:t xml:space="preserve"> </w:t>
      </w:r>
      <w:r>
        <w:rPr>
          <w:b/>
          <w:bCs/>
          <w:lang w:val="es-ES"/>
        </w:rPr>
        <w:t xml:space="preserve">Dominio:</w:t>
      </w:r>
      <w:r>
        <w:rPr>
          <w:lang w:val="es-ES"/>
        </w:rPr>
        <w:t xml:space="preserve"> </w:t>
      </w:r>
      <w:r>
        <w:rPr>
          <w:lang w:val="es-ES"/>
        </w:rPr>
        <w:t xml:space="preserve">De qué ocupa y a qué renuncia el proyecto según evidencia, axiomas y ley; jerarquía para resolver conflictos de valor ·</w:t>
      </w:r>
      <w:r>
        <w:rPr>
          <w:lang w:val="es-ES"/>
        </w:rPr>
        <w:t xml:space="preserve"> </w:t>
      </w:r>
      <w:r>
        <w:rPr>
          <w:b/>
          <w:bCs/>
          <w:lang w:val="es-ES"/>
        </w:rPr>
        <w:t xml:space="preserve">Puente con la serie:</w:t>
      </w:r>
      <w:r>
        <w:rPr>
          <w:lang w:val="es-ES"/>
        </w:rPr>
        <w:t xml:space="preserve"> </w:t>
      </w:r>
      <w:r>
        <w:rPr>
          <w:rStyle w:val="VerbatimChar"/>
          <w:lang w:val="es-ES"/>
        </w:rPr>
        <w:t xml:space="preserve">neuroaxiologia-compendio.md</w:t>
      </w:r>
      <w:r>
        <w:rPr>
          <w:lang w:val="es-ES"/>
        </w:rPr>
        <w:t xml:space="preserve"> </w:t>
      </w:r>
      <w:r>
        <w:rPr>
          <w:lang w:val="es-ES"/>
        </w:rPr>
        <w:t xml:space="preserve">(compendio en construcción a partir de los planes y programas); Acta Arts. 15 y 19; D1 §5 y §8</w:t>
      </w:r>
      <w:r>
        <w:rPr>
          <w:lang w:val="es-ES"/>
        </w:rPr>
        <w:t xml:space="preserve"> </w:t>
      </w:r>
      <w:r>
        <w:rPr>
          <w:b/>
          <w:bCs/>
          <w:lang w:val="es-ES"/>
        </w:rPr>
        <w:t xml:space="preserve">Pilar:</w:t>
      </w:r>
      <w:r>
        <w:rPr>
          <w:lang w:val="es-ES"/>
        </w:rPr>
        <w:t xml:space="preserve"> </w:t>
      </w:r>
      <w:r>
        <w:rPr>
          <w:b/>
          <w:bCs/>
          <w:lang w:val="es-ES"/>
        </w:rPr>
        <w:t xml:space="preserve">NeuroEpistemología</w:t>
      </w:r>
      <w:r>
        <w:rPr>
          <w:lang w:val="es-ES"/>
        </w:rPr>
        <w:t xml:space="preserve"> </w:t>
      </w:r>
      <w:r>
        <w:rPr>
          <w:lang w:val="es-ES"/>
        </w:rPr>
        <w:t xml:space="preserve">— rama del eje de neurociencias dedicada al</w:t>
      </w:r>
      <w:r>
        <w:rPr>
          <w:lang w:val="es-ES"/>
        </w:rPr>
        <w:t xml:space="preserve"> </w:t>
      </w:r>
      <w:r>
        <w:rPr>
          <w:b/>
          <w:bCs/>
          <w:lang w:val="es-ES"/>
        </w:rPr>
        <w:t xml:space="preserve">modo de conocer</w:t>
      </w:r>
      <w:r>
        <w:rPr>
          <w:lang w:val="es-ES"/>
        </w:rPr>
        <w:t xml:space="preserve"> </w:t>
      </w:r>
      <w:r>
        <w:rPr>
          <w:lang w:val="es-ES"/>
        </w:rPr>
        <w:t xml:space="preserve">del proyecto: cómo se sabe lo que se sabe, con qué filtro entra una fuente y cómo se valida ·</w:t>
      </w:r>
      <w:r>
        <w:rPr>
          <w:lang w:val="es-ES"/>
        </w:rPr>
        <w:t xml:space="preserve"> </w:t>
      </w:r>
      <w:r>
        <w:rPr>
          <w:b/>
          <w:bCs/>
          <w:lang w:val="es-ES"/>
        </w:rPr>
        <w:t xml:space="preserve">Dominio:</w:t>
      </w:r>
      <w:r>
        <w:rPr>
          <w:lang w:val="es-ES"/>
        </w:rPr>
        <w:t xml:space="preserve"> </w:t>
      </w:r>
      <w:r>
        <w:rPr>
          <w:lang w:val="es-ES"/>
        </w:rPr>
        <w:t xml:space="preserve">Fuentes, filtros y validación del conocimiento educativo (evidencia, norma, experiencia, red) ·</w:t>
      </w:r>
      <w:r>
        <w:rPr>
          <w:lang w:val="es-ES"/>
        </w:rPr>
        <w:t xml:space="preserve"> </w:t>
      </w:r>
      <w:r>
        <w:rPr>
          <w:b/>
          <w:bCs/>
          <w:lang w:val="es-ES"/>
        </w:rPr>
        <w:t xml:space="preserve">Puente con la serie:</w:t>
      </w:r>
      <w:r>
        <w:rPr>
          <w:lang w:val="es-ES"/>
        </w:rPr>
        <w:t xml:space="preserve"> </w:t>
      </w:r>
      <w:r>
        <w:rPr>
          <w:rStyle w:val="VerbatimChar"/>
          <w:lang w:val="es-ES"/>
        </w:rPr>
        <w:t xml:space="preserve">neuroepistemologia-compendio.md</w:t>
      </w:r>
      <w:r>
        <w:rPr>
          <w:lang w:val="es-ES"/>
        </w:rPr>
        <w:t xml:space="preserve"> </w:t>
      </w:r>
      <w:r>
        <w:rPr>
          <w:lang w:val="es-ES"/>
        </w:rPr>
        <w:t xml:space="preserve">(compendio en construcción);</w:t>
      </w:r>
      <w:r>
        <w:rPr>
          <w:lang w:val="es-ES"/>
        </w:rPr>
        <w:t xml:space="preserve"> </w:t>
      </w:r>
      <w:r>
        <w:rPr>
          <w:rStyle w:val="VerbatimChar"/>
          <w:lang w:val="es-ES"/>
        </w:rPr>
        <w:t xml:space="preserve">propuesta-hibrida-de-posturas.md</w:t>
      </w:r>
      <w:r>
        <w:rPr>
          <w:lang w:val="es-ES"/>
        </w:rPr>
        <w:t xml:space="preserve"> </w:t>
      </w:r>
      <w:r>
        <w:rPr>
          <w:lang w:val="es-ES"/>
        </w:rPr>
        <w:t xml:space="preserve">§2 (Raíz–Red); Acta Arts. 11, 19 y 23</w:t>
      </w:r>
    </w:p>
    <w:p>
      <w:pPr>
        <w:pStyle w:val="BodyText"/>
      </w:pPr>
      <w:r>
        <w:rPr>
          <w:b/>
          <w:bCs/>
          <w:lang w:val="es-ES"/>
        </w:rPr>
        <w:t xml:space="preserve">Interseccionalidad.</w:t>
      </w:r>
      <w:r>
        <w:rPr>
          <w:lang w:val="es-ES"/>
        </w:rPr>
        <w:t xml:space="preserve"> </w:t>
      </w:r>
      <w:r>
        <w:rPr>
          <w:b/>
          <w:bCs/>
          <w:lang w:val="es-ES"/>
        </w:rPr>
        <w:t xml:space="preserve">Dominio:</w:t>
      </w:r>
      <w:r>
        <w:rPr>
          <w:lang w:val="es-ES"/>
        </w:rPr>
        <w:t xml:space="preserve"> </w:t>
      </w:r>
      <w:r>
        <w:rPr>
          <w:lang w:val="es-ES"/>
        </w:rPr>
        <w:t xml:space="preserve">Cruces de género, clase, etnia, lengua, capacidad, edad ·</w:t>
      </w:r>
      <w:r>
        <w:rPr>
          <w:lang w:val="es-ES"/>
        </w:rPr>
        <w:t xml:space="preserve"> </w:t>
      </w:r>
      <w:r>
        <w:rPr>
          <w:b/>
          <w:bCs/>
          <w:lang w:val="es-ES"/>
        </w:rPr>
        <w:t xml:space="preserve">Puente con la serie:</w:t>
      </w:r>
      <w:r>
        <w:rPr>
          <w:lang w:val="es-ES"/>
        </w:rPr>
        <w:t xml:space="preserve"> </w:t>
      </w:r>
      <w:r>
        <w:rPr>
          <w:lang w:val="es-ES"/>
        </w:rPr>
        <w:t xml:space="preserve">D5 completo</w:t>
      </w:r>
    </w:p>
    <w:p>
      <w:pPr>
        <w:pStyle w:val="BodyText"/>
      </w:pPr>
      <w:r>
        <w:rPr>
          <w:b/>
          <w:bCs/>
          <w:lang w:val="es-ES"/>
        </w:rPr>
        <w:t xml:space="preserve">Antipsiquiatría.</w:t>
      </w:r>
      <w:r>
        <w:rPr>
          <w:lang w:val="es-ES"/>
        </w:rPr>
        <w:t xml:space="preserve"> </w:t>
      </w:r>
      <w:r>
        <w:rPr>
          <w:b/>
          <w:bCs/>
          <w:lang w:val="es-ES"/>
        </w:rPr>
        <w:t xml:space="preserve">Dominio:</w:t>
      </w:r>
      <w:r>
        <w:rPr>
          <w:lang w:val="es-ES"/>
        </w:rPr>
        <w:t xml:space="preserve"> </w:t>
      </w:r>
      <w:r>
        <w:rPr>
          <w:lang w:val="es-ES"/>
        </w:rPr>
        <w:t xml:space="preserve">Crítica a la medicalización/psiquiatrización de la conducta: la crisis tiene sentido y contexto, no es automáticamente patología ·</w:t>
      </w:r>
      <w:r>
        <w:rPr>
          <w:lang w:val="es-ES"/>
        </w:rPr>
        <w:t xml:space="preserve"> </w:t>
      </w:r>
      <w:r>
        <w:rPr>
          <w:b/>
          <w:bCs/>
          <w:lang w:val="es-ES"/>
        </w:rPr>
        <w:t xml:space="preserve">Puente con la serie:</w:t>
      </w:r>
      <w:r>
        <w:rPr>
          <w:lang w:val="es-ES"/>
        </w:rPr>
        <w:t xml:space="preserve"> </w:t>
      </w:r>
      <w:r>
        <w:rPr>
          <w:lang w:val="es-ES"/>
        </w:rPr>
        <w:t xml:space="preserve">D3 §1.2 (meltdown ≠ patología); [D5 F7 diagnóstico como barrera]; modelo social de la discapacidad [D5 B18]</w:t>
      </w:r>
    </w:p>
    <w:p>
      <w:pPr>
        <w:pStyle w:val="BodyText"/>
      </w:pPr>
      <w:r>
        <w:rPr>
          <w:b/>
          <w:bCs/>
          <w:lang w:val="es-ES"/>
        </w:rPr>
        <w:t xml:space="preserve">Ideología y Aparatos Ideológicos.</w:t>
      </w:r>
      <w:r>
        <w:rPr>
          <w:lang w:val="es-ES"/>
        </w:rPr>
        <w:t xml:space="preserve"> </w:t>
      </w:r>
      <w:r>
        <w:rPr>
          <w:b/>
          <w:bCs/>
          <w:lang w:val="es-ES"/>
        </w:rPr>
        <w:t xml:space="preserve">Dominio:</w:t>
      </w:r>
      <w:r>
        <w:rPr>
          <w:lang w:val="es-ES"/>
        </w:rPr>
        <w:t xml:space="preserve"> </w:t>
      </w:r>
      <w:r>
        <w:rPr>
          <w:lang w:val="es-ES"/>
        </w:rPr>
        <w:t xml:space="preserve">Toda escuela es AIE: la neutralidad es imposible; se hace trazable la posición ·</w:t>
      </w:r>
      <w:r>
        <w:rPr>
          <w:lang w:val="es-ES"/>
        </w:rPr>
        <w:t xml:space="preserve"> </w:t>
      </w:r>
      <w:r>
        <w:rPr>
          <w:b/>
          <w:bCs/>
          <w:lang w:val="es-ES"/>
        </w:rPr>
        <w:t xml:space="preserve">Puente con la serie:</w:t>
      </w:r>
      <w:r>
        <w:rPr>
          <w:lang w:val="es-ES"/>
        </w:rPr>
        <w:t xml:space="preserve"> </w:t>
      </w:r>
      <w:r>
        <w:rPr>
          <w:lang w:val="es-ES"/>
        </w:rPr>
        <w:t xml:space="preserve">D5 bloque B</w:t>
      </w:r>
    </w:p>
    <w:p>
      <w:pPr>
        <w:pStyle w:val="BodyText"/>
      </w:pPr>
      <w:r>
        <w:rPr>
          <w:b/>
          <w:bCs/>
          <w:lang w:val="es-ES"/>
        </w:rPr>
        <w:t xml:space="preserve">Materialismo Histórico.</w:t>
      </w:r>
      <w:r>
        <w:rPr>
          <w:lang w:val="es-ES"/>
        </w:rPr>
        <w:t xml:space="preserve"> </w:t>
      </w:r>
      <w:r>
        <w:rPr>
          <w:b/>
          <w:bCs/>
          <w:lang w:val="es-ES"/>
        </w:rPr>
        <w:t xml:space="preserve">Dominio:</w:t>
      </w:r>
      <w:r>
        <w:rPr>
          <w:lang w:val="es-ES"/>
        </w:rPr>
        <w:t xml:space="preserve"> </w:t>
      </w:r>
      <w:r>
        <w:rPr>
          <w:lang w:val="es-ES"/>
        </w:rPr>
        <w:t xml:space="preserve">La realidad material histórica condiciona — pero se comprende y se resignifica (AX-2) ·</w:t>
      </w:r>
      <w:r>
        <w:rPr>
          <w:lang w:val="es-ES"/>
        </w:rPr>
        <w:t xml:space="preserve"> </w:t>
      </w:r>
      <w:r>
        <w:rPr>
          <w:b/>
          <w:bCs/>
          <w:lang w:val="es-ES"/>
        </w:rPr>
        <w:t xml:space="preserve">Puente con la serie:</w:t>
      </w:r>
      <w:r>
        <w:rPr>
          <w:lang w:val="es-ES"/>
        </w:rPr>
        <w:t xml:space="preserve"> </w:t>
      </w:r>
      <w:r>
        <w:rPr>
          <w:lang w:val="es-ES"/>
        </w:rPr>
        <w:t xml:space="preserve">D5 A19; AX-2</w:t>
      </w:r>
    </w:p>
    <w:p>
      <w:pPr>
        <w:pStyle w:val="BodyText"/>
      </w:pPr>
      <w:r>
        <w:rPr>
          <w:b/>
          <w:bCs/>
          <w:lang w:val="es-ES"/>
        </w:rPr>
        <w:t xml:space="preserve">Escuela Mexicana (NEM/Plan 2022).</w:t>
      </w:r>
      <w:r>
        <w:rPr>
          <w:lang w:val="es-ES"/>
        </w:rPr>
        <w:t xml:space="preserve"> </w:t>
      </w:r>
      <w:r>
        <w:rPr>
          <w:b/>
          <w:bCs/>
          <w:lang w:val="es-ES"/>
        </w:rPr>
        <w:t xml:space="preserve">Dominio:</w:t>
      </w:r>
      <w:r>
        <w:rPr>
          <w:lang w:val="es-ES"/>
        </w:rPr>
        <w:t xml:space="preserve"> </w:t>
      </w:r>
      <w:r>
        <w:rPr>
          <w:lang w:val="es-ES"/>
        </w:rPr>
        <w:t xml:space="preserve">El marco curricular vigente que acoge el programa ·</w:t>
      </w:r>
      <w:r>
        <w:rPr>
          <w:lang w:val="es-ES"/>
        </w:rPr>
        <w:t xml:space="preserve"> </w:t>
      </w:r>
      <w:r>
        <w:rPr>
          <w:b/>
          <w:bCs/>
          <w:lang w:val="es-ES"/>
        </w:rPr>
        <w:t xml:space="preserve">Puente con la serie:</w:t>
      </w:r>
      <w:r>
        <w:rPr>
          <w:lang w:val="es-ES"/>
        </w:rPr>
        <w:t xml:space="preserve"> </w:t>
      </w:r>
      <w:r>
        <w:rPr>
          <w:lang w:val="es-ES"/>
        </w:rPr>
        <w:t xml:space="preserve">D2; [PE]</w:t>
      </w:r>
    </w:p>
    <w:p>
      <w:pPr>
        <w:pStyle w:val="BodyText"/>
      </w:pPr>
      <w:r>
        <w:rPr>
          <w:b/>
          <w:bCs/>
          <w:lang w:val="es-ES"/>
        </w:rPr>
        <w:t xml:space="preserve">Convenciones de los Niños (CDN).</w:t>
      </w:r>
      <w:r>
        <w:rPr>
          <w:lang w:val="es-ES"/>
        </w:rPr>
        <w:t xml:space="preserve"> </w:t>
      </w:r>
      <w:r>
        <w:rPr>
          <w:b/>
          <w:bCs/>
          <w:lang w:val="es-ES"/>
        </w:rPr>
        <w:t xml:space="preserve">Dominio:</w:t>
      </w:r>
      <w:r>
        <w:rPr>
          <w:lang w:val="es-ES"/>
        </w:rPr>
        <w:t xml:space="preserve"> </w:t>
      </w:r>
      <w:r>
        <w:rPr>
          <w:lang w:val="es-ES"/>
        </w:rPr>
        <w:t xml:space="preserve">El horizonte de derechos que gobierna todas las decisiones ·</w:t>
      </w:r>
      <w:r>
        <w:rPr>
          <w:lang w:val="es-ES"/>
        </w:rPr>
        <w:t xml:space="preserve"> </w:t>
      </w:r>
      <w:r>
        <w:rPr>
          <w:b/>
          <w:bCs/>
          <w:lang w:val="es-ES"/>
        </w:rPr>
        <w:t xml:space="preserve">Puente con la serie:</w:t>
      </w:r>
      <w:r>
        <w:rPr>
          <w:lang w:val="es-ES"/>
        </w:rPr>
        <w:t xml:space="preserve"> </w:t>
      </w:r>
      <w:r>
        <w:rPr>
          <w:lang w:val="es-ES"/>
        </w:rPr>
        <w:t xml:space="preserve">D6 §1.2; P3</w:t>
      </w:r>
      <w:r>
        <w:rPr>
          <w:lang w:val="es-ES"/>
        </w:rPr>
        <w:t xml:space="preserve"> </w:t>
      </w:r>
      <w:r>
        <w:rPr>
          <w:b/>
          <w:bCs/>
          <w:lang w:val="es-ES"/>
        </w:rPr>
        <w:t xml:space="preserve">Ley Mexicana.</w:t>
      </w:r>
      <w:r>
        <w:rPr>
          <w:lang w:val="es-ES"/>
        </w:rPr>
        <w:t xml:space="preserve"> </w:t>
      </w:r>
      <w:r>
        <w:rPr>
          <w:b/>
          <w:bCs/>
          <w:lang w:val="es-ES"/>
        </w:rPr>
        <w:t xml:space="preserve">Dominio:</w:t>
      </w:r>
      <w:r>
        <w:rPr>
          <w:lang w:val="es-ES"/>
        </w:rPr>
        <w:t xml:space="preserve"> </w:t>
      </w:r>
      <w:r>
        <w:rPr>
          <w:lang w:val="es-ES"/>
        </w:rPr>
        <w:t xml:space="preserve">El marco jurídico vigente que gobierna el proyecto (CPEUM, LGE, LGDNNA y su reforma de 2026) ·</w:t>
      </w:r>
      <w:r>
        <w:rPr>
          <w:lang w:val="es-ES"/>
        </w:rPr>
        <w:t xml:space="preserve"> </w:t>
      </w:r>
      <w:r>
        <w:rPr>
          <w:b/>
          <w:bCs/>
          <w:lang w:val="es-ES"/>
        </w:rPr>
        <w:t xml:space="preserve">Puente con la serie:</w:t>
      </w:r>
      <w:r>
        <w:rPr>
          <w:lang w:val="es-ES"/>
        </w:rPr>
        <w:t xml:space="preserve"> </w:t>
      </w:r>
      <w:r>
        <w:rPr>
          <w:lang w:val="es-ES"/>
        </w:rPr>
        <w:t xml:space="preserve">D6 §1; Acta Art. 4</w:t>
      </w:r>
      <w:r>
        <w:rPr>
          <w:lang w:val="es-ES"/>
        </w:rPr>
        <w:t xml:space="preserve"> </w:t>
      </w:r>
      <w:r>
        <w:rPr>
          <w:b/>
          <w:bCs/>
          <w:lang w:val="es-ES"/>
        </w:rPr>
        <w:t xml:space="preserve">Conectivismo.</w:t>
      </w:r>
      <w:r>
        <w:rPr>
          <w:lang w:val="es-ES"/>
        </w:rPr>
        <w:t xml:space="preserve"> </w:t>
      </w:r>
      <w:r>
        <w:rPr>
          <w:b/>
          <w:bCs/>
          <w:lang w:val="es-ES"/>
        </w:rPr>
        <w:t xml:space="preserve">Dominio:</w:t>
      </w:r>
      <w:r>
        <w:rPr>
          <w:lang w:val="es-ES"/>
        </w:rPr>
        <w:t xml:space="preserve"> </w:t>
      </w:r>
      <w:r>
        <w:rPr>
          <w:lang w:val="es-ES"/>
        </w:rPr>
        <w:t xml:space="preserve">Pensamiento en red y conocimiento distribuido en nodos humanos, comunitarios y documentales ·</w:t>
      </w:r>
      <w:r>
        <w:rPr>
          <w:lang w:val="es-ES"/>
        </w:rPr>
        <w:t xml:space="preserve"> </w:t>
      </w:r>
      <w:r>
        <w:rPr>
          <w:b/>
          <w:bCs/>
          <w:lang w:val="es-ES"/>
        </w:rPr>
        <w:t xml:space="preserve">Puente con la serie:</w:t>
      </w:r>
      <w:r>
        <w:rPr>
          <w:lang w:val="es-ES"/>
        </w:rPr>
        <w:t xml:space="preserve"> </w:t>
      </w:r>
      <w:r>
        <w:rPr>
          <w:lang w:val="es-ES"/>
        </w:rPr>
        <w:t xml:space="preserve">CTE, comunidad y familias como red;</w:t>
      </w:r>
      <w:r>
        <w:rPr>
          <w:lang w:val="es-ES"/>
        </w:rPr>
        <w:t xml:space="preserve"> </w:t>
      </w:r>
      <w:r>
        <w:rPr>
          <w:rStyle w:val="VerbatimChar"/>
          <w:lang w:val="es-ES"/>
        </w:rPr>
        <w:t xml:space="preserve">propuesta-hibrida-de-posturas.md</w:t>
      </w:r>
      <w:r>
        <w:rPr>
          <w:lang w:val="es-ES"/>
        </w:rPr>
        <w:t xml:space="preserve"> </w:t>
      </w:r>
      <w:r>
        <w:rPr>
          <w:lang w:val="es-ES"/>
        </w:rPr>
        <w:t xml:space="preserve">§2</w:t>
      </w:r>
      <w:r>
        <w:rPr>
          <w:lang w:val="es-ES"/>
        </w:rPr>
        <w:t xml:space="preserve"> </w:t>
      </w:r>
      <w:r>
        <w:rPr>
          <w:b/>
          <w:bCs/>
          <w:lang w:val="es-ES"/>
        </w:rPr>
        <w:t xml:space="preserve">Pluralismo epistemológico (híbrido Raíz–Red).</w:t>
      </w:r>
      <w:r>
        <w:rPr>
          <w:lang w:val="es-ES"/>
        </w:rPr>
        <w:t xml:space="preserve"> </w:t>
      </w:r>
      <w:r>
        <w:rPr>
          <w:b/>
          <w:bCs/>
          <w:lang w:val="es-ES"/>
        </w:rPr>
        <w:t xml:space="preserve">Dominio:</w:t>
      </w:r>
      <w:r>
        <w:rPr>
          <w:lang w:val="es-ES"/>
        </w:rPr>
        <w:t xml:space="preserve"> </w:t>
      </w:r>
      <w:r>
        <w:rPr>
          <w:lang w:val="es-ES"/>
        </w:rPr>
        <w:t xml:space="preserve">Orden secuencial y emergencia de la red, ambos necesarios; toda postura pedagógica pasa por evidencia y derechos ·</w:t>
      </w:r>
      <w:r>
        <w:rPr>
          <w:lang w:val="es-ES"/>
        </w:rPr>
        <w:t xml:space="preserve"> </w:t>
      </w:r>
      <w:r>
        <w:rPr>
          <w:b/>
          <w:bCs/>
          <w:lang w:val="es-ES"/>
        </w:rPr>
        <w:t xml:space="preserve">Puente con la serie:</w:t>
      </w:r>
      <w:r>
        <w:rPr>
          <w:lang w:val="es-ES"/>
        </w:rPr>
        <w:t xml:space="preserve"> </w:t>
      </w:r>
      <w:r>
        <w:rPr>
          <w:lang w:val="es-ES"/>
        </w:rPr>
        <w:t xml:space="preserve">AX-3, doble bucle, evaluación formativa; Acta v0.2 (Arts. 2, 15, 16, 19)</w:t>
      </w:r>
    </w:p>
    <w:p>
      <w:r>
        <w:pict>
          <v:rect style="width:0;height:1.5pt" o:hralign="center" o:hrstd="t" o:hr="t"/>
        </w:pict>
      </w:r>
    </w:p>
    <w:bookmarkEnd w:id="14"/>
    <w:bookmarkStart w:id="15" w:name="Xa7c0ab928fd2d50dba67ec7c69038f5ef5debfc"/>
    <w:p>
      <w:pPr>
        <w:pStyle w:val="Heading2"/>
      </w:pPr>
      <w:r>
        <w:rPr>
          <w:lang w:val="es-ES"/>
        </w:rPr>
        <w:t xml:space="preserve">3. Mapa unificado de principios del programa</w:t>
      </w:r>
    </w:p>
    <w:p>
      <w:pPr>
        <w:pStyle w:val="FirstParagraph"/>
      </w:pPr>
      <w:r>
        <w:rPr>
          <w:b/>
          <w:bCs/>
          <w:lang w:val="es-ES"/>
        </w:rPr>
        <w:t xml:space="preserve">Fundacional.</w:t>
      </w:r>
      <w:r>
        <w:rPr>
          <w:lang w:val="es-ES"/>
        </w:rPr>
        <w:t xml:space="preserve"> </w:t>
      </w:r>
      <w:r>
        <w:rPr>
          <w:b/>
          <w:bCs/>
          <w:lang w:val="es-ES"/>
        </w:rPr>
        <w:t xml:space="preserve">Principios:</w:t>
      </w:r>
      <w:r>
        <w:rPr>
          <w:lang w:val="es-ES"/>
        </w:rPr>
        <w:t xml:space="preserve"> </w:t>
      </w:r>
      <w:r>
        <w:rPr>
          <w:b/>
          <w:bCs/>
          <w:lang w:val="es-ES"/>
        </w:rPr>
        <w:t xml:space="preserve">AX-1, AX-2, AX-3</w:t>
      </w:r>
      <w:r>
        <w:rPr>
          <w:lang w:val="es-ES"/>
        </w:rPr>
        <w:t xml:space="preserve"> </w:t>
      </w:r>
      <w:r>
        <w:rPr>
          <w:lang w:val="es-ES"/>
        </w:rPr>
        <w:t xml:space="preserve">·</w:t>
      </w:r>
      <w:r>
        <w:rPr>
          <w:lang w:val="es-ES"/>
        </w:rPr>
        <w:t xml:space="preserve"> </w:t>
      </w:r>
      <w:r>
        <w:rPr>
          <w:b/>
          <w:bCs/>
          <w:lang w:val="es-ES"/>
        </w:rPr>
        <w:t xml:space="preserve">Fuente:</w:t>
      </w:r>
      <w:r>
        <w:rPr>
          <w:lang w:val="es-ES"/>
        </w:rPr>
        <w:t xml:space="preserve"> </w:t>
      </w:r>
      <w:r>
        <w:rPr>
          <w:lang w:val="es-ES"/>
        </w:rPr>
        <w:t xml:space="preserve">Este documento ·</w:t>
      </w:r>
      <w:r>
        <w:rPr>
          <w:lang w:val="es-ES"/>
        </w:rPr>
        <w:t xml:space="preserve"> </w:t>
      </w:r>
      <w:r>
        <w:rPr>
          <w:b/>
          <w:bCs/>
          <w:lang w:val="es-ES"/>
        </w:rPr>
        <w:t xml:space="preserve">Dónde se aplican:</w:t>
      </w:r>
      <w:r>
        <w:rPr>
          <w:lang w:val="es-ES"/>
        </w:rPr>
        <w:t xml:space="preserve"> </w:t>
      </w:r>
      <w:r>
        <w:rPr>
          <w:lang w:val="es-ES"/>
        </w:rPr>
        <w:t xml:space="preserve">D1–D6 (secciones transversales), M1 del curso, AD-0 del ADR, FODA/SOACH</w:t>
      </w:r>
    </w:p>
    <w:p>
      <w:pPr>
        <w:pStyle w:val="BodyText"/>
      </w:pPr>
      <w:r>
        <w:rPr>
          <w:b/>
          <w:bCs/>
          <w:lang w:val="es-ES"/>
        </w:rPr>
        <w:t xml:space="preserve">Operativo derivado.</w:t>
      </w:r>
      <w:r>
        <w:rPr>
          <w:lang w:val="es-ES"/>
        </w:rPr>
        <w:t xml:space="preserve"> </w:t>
      </w:r>
      <w:r>
        <w:rPr>
          <w:b/>
          <w:bCs/>
          <w:lang w:val="es-ES"/>
        </w:rPr>
        <w:t xml:space="preserve">Principios:</w:t>
      </w:r>
      <w:r>
        <w:rPr>
          <w:lang w:val="es-ES"/>
        </w:rPr>
        <w:t xml:space="preserve"> </w:t>
      </w:r>
      <w:r>
        <w:rPr>
          <w:lang w:val="es-ES"/>
        </w:rPr>
        <w:t xml:space="preserve">P0–P3 ·</w:t>
      </w:r>
      <w:r>
        <w:rPr>
          <w:lang w:val="es-ES"/>
        </w:rPr>
        <w:t xml:space="preserve"> </w:t>
      </w:r>
      <w:r>
        <w:rPr>
          <w:b/>
          <w:bCs/>
          <w:lang w:val="es-ES"/>
        </w:rPr>
        <w:t xml:space="preserve">Fuente:</w:t>
      </w:r>
      <w:r>
        <w:rPr>
          <w:lang w:val="es-ES"/>
        </w:rPr>
        <w:t xml:space="preserve"> </w:t>
      </w:r>
      <w:r>
        <w:rPr>
          <w:lang w:val="es-ES"/>
        </w:rPr>
        <w:t xml:space="preserve">D4 preámbulo ·</w:t>
      </w:r>
      <w:r>
        <w:rPr>
          <w:lang w:val="es-ES"/>
        </w:rPr>
        <w:t xml:space="preserve"> </w:t>
      </w:r>
      <w:r>
        <w:rPr>
          <w:b/>
          <w:bCs/>
          <w:lang w:val="es-ES"/>
        </w:rPr>
        <w:t xml:space="preserve">Dónde se aplican:</w:t>
      </w:r>
      <w:r>
        <w:rPr>
          <w:lang w:val="es-ES"/>
        </w:rPr>
        <w:t xml:space="preserve"> </w:t>
      </w:r>
      <w:r>
        <w:rPr>
          <w:lang w:val="es-ES"/>
        </w:rPr>
        <w:t xml:space="preserve">Todo el curso; decisiones de aula</w:t>
      </w:r>
    </w:p>
    <w:p>
      <w:pPr>
        <w:pStyle w:val="BodyText"/>
      </w:pPr>
      <w:r>
        <w:rPr>
          <w:b/>
          <w:bCs/>
          <w:lang w:val="es-ES"/>
        </w:rPr>
        <w:t xml:space="preserve">Principios:</w:t>
      </w:r>
      <w:r>
        <w:rPr>
          <w:lang w:val="es-ES"/>
        </w:rPr>
        <w:t xml:space="preserve"> </w:t>
      </w:r>
      <w:r>
        <w:rPr>
          <w:lang w:val="es-ES"/>
        </w:rPr>
        <w:t xml:space="preserve">T1–T4 ·</w:t>
      </w:r>
      <w:r>
        <w:rPr>
          <w:lang w:val="es-ES"/>
        </w:rPr>
        <w:t xml:space="preserve"> </w:t>
      </w:r>
      <w:r>
        <w:rPr>
          <w:b/>
          <w:bCs/>
          <w:lang w:val="es-ES"/>
        </w:rPr>
        <w:t xml:space="preserve">Fuente:</w:t>
      </w:r>
      <w:r>
        <w:rPr>
          <w:lang w:val="es-ES"/>
        </w:rPr>
        <w:t xml:space="preserve"> </w:t>
      </w:r>
      <w:r>
        <w:rPr>
          <w:lang w:val="es-ES"/>
        </w:rPr>
        <w:t xml:space="preserve">D6 §0 ·</w:t>
      </w:r>
      <w:r>
        <w:rPr>
          <w:lang w:val="es-ES"/>
        </w:rPr>
        <w:t xml:space="preserve"> </w:t>
      </w:r>
      <w:r>
        <w:rPr>
          <w:b/>
          <w:bCs/>
          <w:lang w:val="es-ES"/>
        </w:rPr>
        <w:t xml:space="preserve">Dónde se aplican:</w:t>
      </w:r>
      <w:r>
        <w:rPr>
          <w:lang w:val="es-ES"/>
        </w:rPr>
        <w:t xml:space="preserve"> </w:t>
      </w:r>
      <w:r>
        <w:rPr>
          <w:lang w:val="es-ES"/>
        </w:rPr>
        <w:t xml:space="preserve">Trazabilidad jurídica; política de IA</w:t>
      </w:r>
    </w:p>
    <w:p>
      <w:pPr>
        <w:pStyle w:val="BodyText"/>
      </w:pPr>
      <w:r>
        <w:rPr>
          <w:b/>
          <w:bCs/>
          <w:lang w:val="es-ES"/>
        </w:rPr>
        <w:t xml:space="preserve">Principios:</w:t>
      </w:r>
      <w:r>
        <w:rPr>
          <w:lang w:val="es-ES"/>
        </w:rPr>
        <w:t xml:space="preserve"> </w:t>
      </w:r>
      <w:r>
        <w:rPr>
          <w:lang w:val="es-ES"/>
        </w:rPr>
        <w:t xml:space="preserve">Principio de Consecuencia Adulta (P0/G22) = AX-2 operativo ·</w:t>
      </w:r>
      <w:r>
        <w:rPr>
          <w:lang w:val="es-ES"/>
        </w:rPr>
        <w:t xml:space="preserve"> </w:t>
      </w:r>
      <w:r>
        <w:rPr>
          <w:b/>
          <w:bCs/>
          <w:lang w:val="es-ES"/>
        </w:rPr>
        <w:t xml:space="preserve">Fuente:</w:t>
      </w:r>
      <w:r>
        <w:rPr>
          <w:lang w:val="es-ES"/>
        </w:rPr>
        <w:t xml:space="preserve"> </w:t>
      </w:r>
      <w:r>
        <w:rPr>
          <w:lang w:val="es-ES"/>
        </w:rPr>
        <w:t xml:space="preserve">D4 G22 ·</w:t>
      </w:r>
      <w:r>
        <w:rPr>
          <w:lang w:val="es-ES"/>
        </w:rPr>
        <w:t xml:space="preserve"> </w:t>
      </w:r>
      <w:r>
        <w:rPr>
          <w:b/>
          <w:bCs/>
          <w:lang w:val="es-ES"/>
        </w:rPr>
        <w:t xml:space="preserve">Dónde se aplican:</w:t>
      </w:r>
      <w:r>
        <w:rPr>
          <w:lang w:val="es-ES"/>
        </w:rPr>
        <w:t xml:space="preserve"> </w:t>
      </w:r>
      <w:r>
        <w:rPr>
          <w:lang w:val="es-ES"/>
        </w:rPr>
        <w:t xml:space="preserve">Gobernanza, formación docente</w:t>
      </w:r>
    </w:p>
    <w:p>
      <w:pPr>
        <w:pStyle w:val="BodyText"/>
      </w:pPr>
      <w:r>
        <w:rPr>
          <w:b/>
          <w:bCs/>
          <w:lang w:val="es-ES"/>
        </w:rPr>
        <w:t xml:space="preserve">Principios:</w:t>
      </w:r>
      <w:r>
        <w:rPr>
          <w:lang w:val="es-ES"/>
        </w:rPr>
        <w:t xml:space="preserve"> </w:t>
      </w:r>
      <w:r>
        <w:rPr>
          <w:lang w:val="es-ES"/>
        </w:rPr>
        <w:t xml:space="preserve">No daño (B26) + EBP (B19) ·</w:t>
      </w:r>
      <w:r>
        <w:rPr>
          <w:lang w:val="es-ES"/>
        </w:rPr>
        <w:t xml:space="preserve"> </w:t>
      </w:r>
      <w:r>
        <w:rPr>
          <w:b/>
          <w:bCs/>
          <w:lang w:val="es-ES"/>
        </w:rPr>
        <w:t xml:space="preserve">Fuente:</w:t>
      </w:r>
      <w:r>
        <w:rPr>
          <w:lang w:val="es-ES"/>
        </w:rPr>
        <w:t xml:space="preserve"> </w:t>
      </w:r>
      <w:r>
        <w:rPr>
          <w:lang w:val="es-ES"/>
        </w:rPr>
        <w:t xml:space="preserve">D5 ·</w:t>
      </w:r>
      <w:r>
        <w:rPr>
          <w:lang w:val="es-ES"/>
        </w:rPr>
        <w:t xml:space="preserve"> </w:t>
      </w:r>
      <w:r>
        <w:rPr>
          <w:b/>
          <w:bCs/>
          <w:lang w:val="es-ES"/>
        </w:rPr>
        <w:t xml:space="preserve">Dónde se aplican:</w:t>
      </w:r>
      <w:r>
        <w:rPr>
          <w:lang w:val="es-ES"/>
        </w:rPr>
        <w:t xml:space="preserve"> </w:t>
      </w:r>
      <w:r>
        <w:rPr>
          <w:lang w:val="es-ES"/>
        </w:rPr>
        <w:t xml:space="preserve">Guarda de AX-1; materiales</w:t>
      </w:r>
    </w:p>
    <w:p>
      <w:pPr>
        <w:pStyle w:val="BodyText"/>
      </w:pPr>
      <w:r>
        <w:rPr>
          <w:b/>
          <w:bCs/>
          <w:lang w:val="es-ES"/>
        </w:rPr>
        <w:t xml:space="preserve">Principios:</w:t>
      </w:r>
      <w:r>
        <w:rPr>
          <w:lang w:val="es-ES"/>
        </w:rPr>
        <w:t xml:space="preserve"> </w:t>
      </w:r>
      <w:r>
        <w:rPr>
          <w:lang w:val="es-ES"/>
        </w:rPr>
        <w:t xml:space="preserve">6 principios de IA ·</w:t>
      </w:r>
      <w:r>
        <w:rPr>
          <w:lang w:val="es-ES"/>
        </w:rPr>
        <w:t xml:space="preserve"> </w:t>
      </w:r>
      <w:r>
        <w:rPr>
          <w:b/>
          <w:bCs/>
          <w:lang w:val="es-ES"/>
        </w:rPr>
        <w:t xml:space="preserve">Fuente:</w:t>
      </w:r>
      <w:r>
        <w:rPr>
          <w:lang w:val="es-ES"/>
        </w:rPr>
        <w:t xml:space="preserve"> </w:t>
      </w:r>
      <w:r>
        <w:rPr>
          <w:lang w:val="es-ES"/>
        </w:rPr>
        <w:t xml:space="preserve">D6 §5.5 ·</w:t>
      </w:r>
      <w:r>
        <w:rPr>
          <w:lang w:val="es-ES"/>
        </w:rPr>
        <w:t xml:space="preserve"> </w:t>
      </w:r>
      <w:r>
        <w:rPr>
          <w:b/>
          <w:bCs/>
          <w:lang w:val="es-ES"/>
        </w:rPr>
        <w:t xml:space="preserve">Dónde se aplican:</w:t>
      </w:r>
      <w:r>
        <w:rPr>
          <w:lang w:val="es-ES"/>
        </w:rPr>
        <w:t xml:space="preserve"> </w:t>
      </w:r>
      <w:r>
        <w:rPr>
          <w:lang w:val="es-ES"/>
        </w:rPr>
        <w:t xml:space="preserve">Política tecnológica</w:t>
      </w:r>
    </w:p>
    <w:p>
      <w:pPr>
        <w:pStyle w:val="BodyText"/>
      </w:pPr>
      <w:r>
        <w:rPr>
          <w:b/>
          <w:bCs/>
          <w:lang w:val="es-ES"/>
        </w:rPr>
        <w:t xml:space="preserve">Principios:</w:t>
      </w:r>
      <w:r>
        <w:rPr>
          <w:lang w:val="es-ES"/>
        </w:rPr>
        <w:t xml:space="preserve"> </w:t>
      </w:r>
      <w:r>
        <w:rPr>
          <w:lang w:val="es-ES"/>
        </w:rPr>
        <w:t xml:space="preserve">Filtro de neuromitos (bloque J) ·</w:t>
      </w:r>
      <w:r>
        <w:rPr>
          <w:lang w:val="es-ES"/>
        </w:rPr>
        <w:t xml:space="preserve"> </w:t>
      </w:r>
      <w:r>
        <w:rPr>
          <w:b/>
          <w:bCs/>
          <w:lang w:val="es-ES"/>
        </w:rPr>
        <w:t xml:space="preserve">Fuente:</w:t>
      </w:r>
      <w:r>
        <w:rPr>
          <w:lang w:val="es-ES"/>
        </w:rPr>
        <w:t xml:space="preserve"> </w:t>
      </w:r>
      <w:r>
        <w:rPr>
          <w:lang w:val="es-ES"/>
        </w:rPr>
        <w:t xml:space="preserve">D4 ·</w:t>
      </w:r>
      <w:r>
        <w:rPr>
          <w:lang w:val="es-ES"/>
        </w:rPr>
        <w:t xml:space="preserve"> </w:t>
      </w:r>
      <w:r>
        <w:rPr>
          <w:b/>
          <w:bCs/>
          <w:lang w:val="es-ES"/>
        </w:rPr>
        <w:t xml:space="preserve">Dónde se aplican:</w:t>
      </w:r>
      <w:r>
        <w:rPr>
          <w:lang w:val="es-ES"/>
        </w:rPr>
        <w:t xml:space="preserve"> </w:t>
      </w:r>
      <w:r>
        <w:rPr>
          <w:lang w:val="es-ES"/>
        </w:rPr>
        <w:t xml:space="preserve">Auditoría de materiales = tarea de AX-3</w:t>
      </w:r>
    </w:p>
    <w:p>
      <w:pPr>
        <w:pStyle w:val="BodyText"/>
      </w:pPr>
      <w:r>
        <w:rPr>
          <w:b/>
          <w:bCs/>
          <w:lang w:val="es-ES"/>
        </w:rPr>
        <w:t xml:space="preserve">Regla de jerarquía</w:t>
      </w:r>
      <w:r>
        <w:rPr>
          <w:lang w:val="es-ES"/>
        </w:rPr>
        <w:t xml:space="preserve">: en conflicto, el</w:t>
      </w:r>
      <w:r>
        <w:rPr>
          <w:lang w:val="es-ES"/>
        </w:rPr>
        <w:t xml:space="preserve"> </w:t>
      </w:r>
      <w:r>
        <w:rPr>
          <w:b/>
          <w:bCs/>
          <w:lang w:val="es-ES"/>
        </w:rPr>
        <w:t xml:space="preserve">nivel fundacional orienta</w:t>
      </w:r>
      <w:r>
        <w:rPr>
          <w:lang w:val="es-ES"/>
        </w:rPr>
        <w:t xml:space="preserve"> </w:t>
      </w:r>
      <w:r>
        <w:rPr>
          <w:lang w:val="es-ES"/>
        </w:rPr>
        <w:t xml:space="preserve">y el</w:t>
      </w:r>
      <w:r>
        <w:rPr>
          <w:lang w:val="es-ES"/>
        </w:rPr>
        <w:t xml:space="preserve"> </w:t>
      </w:r>
      <w:r>
        <w:rPr>
          <w:b/>
          <w:bCs/>
          <w:lang w:val="es-ES"/>
        </w:rPr>
        <w:t xml:space="preserve">operativo ejecuta</w:t>
      </w:r>
      <w:r>
        <w:rPr>
          <w:lang w:val="es-ES"/>
        </w:rPr>
        <w:t xml:space="preserve">; si un operativo contradice a un axioma, se revisa el operativo (con trazabilidad, no a discreción).</w:t>
      </w:r>
    </w:p>
    <w:p>
      <w:r>
        <w:pict>
          <v:rect style="width:0;height:1.5pt" o:hralign="center" o:hrstd="t" o:hr="t"/>
        </w:pict>
      </w:r>
    </w:p>
    <w:bookmarkEnd w:id="15"/>
    <w:bookmarkStart w:id="16" w:name="reglas-de-uso-anti-performatividad"/>
    <w:p>
      <w:pPr>
        <w:pStyle w:val="Heading2"/>
      </w:pPr>
      <w:r>
        <w:rPr>
          <w:lang w:val="es-ES"/>
        </w:rPr>
        <w:t xml:space="preserve">4. Reglas de uso (anti-performatividad)</w:t>
      </w:r>
    </w:p>
    <w:p>
      <w:pPr>
        <w:pStyle w:val="Compact"/>
        <w:numPr>
          <w:ilvl w:val="0"/>
          <w:numId w:val="1001"/>
        </w:numPr>
      </w:pPr>
      <w:r>
        <w:rPr>
          <w:b/>
          <w:bCs/>
          <w:lang w:val="es-ES"/>
        </w:rPr>
        <w:t xml:space="preserve">No son slogan</w:t>
      </w:r>
      <w:r>
        <w:rPr>
          <w:lang w:val="es-ES"/>
        </w:rPr>
        <w:t xml:space="preserve">: toda invocación de AX-1..3 debe poder</w:t>
      </w:r>
      <w:r>
        <w:rPr>
          <w:lang w:val="es-ES"/>
        </w:rPr>
        <w:t xml:space="preserve"> </w:t>
      </w:r>
      <w:r>
        <w:rPr>
          <w:b/>
          <w:bCs/>
          <w:lang w:val="es-ES"/>
        </w:rPr>
        <w:t xml:space="preserve">ejemplificarse</w:t>
      </w:r>
      <w:r>
        <w:rPr>
          <w:lang w:val="es-ES"/>
        </w:rPr>
        <w:t xml:space="preserve"> </w:t>
      </w:r>
      <w:r>
        <w:rPr>
          <w:lang w:val="es-ES"/>
        </w:rPr>
        <w:t xml:space="preserve">en el aula o en el CTE (coherente con F9 [D5]: brecha discurso–práctica).</w:t>
      </w:r>
    </w:p>
    <w:p>
      <w:pPr>
        <w:pStyle w:val="Compact"/>
        <w:numPr>
          <w:ilvl w:val="0"/>
          <w:numId w:val="1001"/>
        </w:numPr>
      </w:pPr>
      <w:r>
        <w:rPr>
          <w:b/>
          <w:bCs/>
          <w:lang w:val="es-ES"/>
        </w:rPr>
        <w:t xml:space="preserve">Son texto de discusión, no de fe</w:t>
      </w:r>
      <w:r>
        <w:rPr>
          <w:lang w:val="es-ES"/>
        </w:rPr>
        <w:t xml:space="preserve">: en M1 se leen, se discuten (</w:t>
      </w:r>
      <w:r>
        <w:rPr>
          <w:lang w:val="es-ES"/>
        </w:rPr>
        <w:t xml:space="preserve">“¿qué cambiaría en tu práctica si AX-1 fuera cierto?”</w:t>
      </w:r>
      <w:r>
        <w:rPr>
          <w:lang w:val="es-ES"/>
        </w:rPr>
        <w:t xml:space="preserve">) y se pueden matizar — la discusión es compatible con la adopción formal en el Acta.</w:t>
      </w:r>
    </w:p>
    <w:p>
      <w:pPr>
        <w:pStyle w:val="Compact"/>
        <w:numPr>
          <w:ilvl w:val="0"/>
          <w:numId w:val="1001"/>
        </w:numPr>
      </w:pPr>
      <w:r>
        <w:rPr>
          <w:b/>
          <w:bCs/>
          <w:lang w:val="es-ES"/>
        </w:rPr>
        <w:t xml:space="preserve">Se citan con su ID</w:t>
      </w:r>
      <w:r>
        <w:rPr>
          <w:lang w:val="es-ES"/>
        </w:rPr>
        <w:t xml:space="preserve"> </w:t>
      </w:r>
      <w:r>
        <w:rPr>
          <w:lang w:val="es-ES"/>
        </w:rPr>
        <w:t xml:space="preserve">(AX-1, AX-2, AX-3) en toda decisión que se apoye en ellos: trazabilidad.</w:t>
      </w:r>
    </w:p>
    <w:p>
      <w:pPr>
        <w:pStyle w:val="Compact"/>
        <w:numPr>
          <w:ilvl w:val="0"/>
          <w:numId w:val="1001"/>
        </w:numPr>
      </w:pPr>
      <w:r>
        <w:rPr>
          <w:b/>
          <w:bCs/>
          <w:lang w:val="es-ES"/>
        </w:rPr>
        <w:t xml:space="preserve">Las guardas viajan con el axioma</w:t>
      </w:r>
      <w:r>
        <w:rPr>
          <w:lang w:val="es-ES"/>
        </w:rPr>
        <w:t xml:space="preserve">: citar AX-1 sin la guarda de no daño es uso incompleto; citar AX-2 sin la cláusula de no culpa, incorrecto.</w:t>
      </w:r>
    </w:p>
    <w:p>
      <w:r>
        <w:pict>
          <v:rect style="width:0;height:1.5pt" o:hralign="center" o:hrstd="t" o:hr="t"/>
        </w:pict>
      </w:r>
    </w:p>
    <w:bookmarkEnd w:id="16"/>
    <w:bookmarkStart w:id="17" w:name="ruta-de-trazabilidad"/>
    <w:p>
      <w:pPr>
        <w:pStyle w:val="Heading2"/>
      </w:pPr>
      <w:r>
        <w:rPr>
          <w:lang w:val="es-ES"/>
        </w:rPr>
        <w:t xml:space="preserve">5. Ruta de trazabilidad</w:t>
      </w:r>
    </w:p>
    <w:p>
      <w:pPr>
        <w:pStyle w:val="FirstParagraph"/>
      </w:pPr>
      <w:r>
        <w:rPr>
          <w:b/>
          <w:bCs/>
          <w:lang w:val="es-ES"/>
        </w:rPr>
        <w:t xml:space="preserve">Serie D1–D6.</w:t>
      </w:r>
      <w:r>
        <w:rPr>
          <w:lang w:val="es-ES"/>
        </w:rPr>
        <w:t xml:space="preserve"> </w:t>
      </w:r>
      <w:r>
        <w:rPr>
          <w:lang w:val="es-ES"/>
        </w:rPr>
        <w:t xml:space="preserve">Sección</w:t>
      </w:r>
      <w:r>
        <w:rPr>
          <w:lang w:val="es-ES"/>
        </w:rPr>
        <w:t xml:space="preserve"> </w:t>
      </w:r>
      <w:r>
        <w:rPr>
          <w:lang w:val="es-ES"/>
        </w:rPr>
        <w:t xml:space="preserve">“Fundamentos transversales — Axiomas del programa (AX-1..3)”</w:t>
      </w:r>
      <w:r>
        <w:rPr>
          <w:lang w:val="es-ES"/>
        </w:rPr>
        <w:t xml:space="preserve"> </w:t>
      </w:r>
      <w:r>
        <w:rPr>
          <w:lang w:val="es-ES"/>
        </w:rPr>
        <w:t xml:space="preserve">+ anclajes inline [AX-n]</w:t>
      </w:r>
    </w:p>
    <w:p>
      <w:pPr>
        <w:pStyle w:val="BodyText"/>
      </w:pPr>
      <w:r>
        <w:rPr>
          <w:rStyle w:val="VerbatimChar"/>
          <w:b/>
          <w:bCs/>
          <w:lang w:val="es-ES"/>
        </w:rPr>
        <w:t xml:space="preserve">adr-modelo-construccion-programa-analitico-curso.md</w:t>
      </w:r>
      <w:r>
        <w:rPr>
          <w:b/>
          <w:bCs/>
          <w:lang w:val="es-ES"/>
        </w:rPr>
        <w:t xml:space="preserve">.</w:t>
      </w:r>
      <w:r>
        <w:rPr>
          <w:lang w:val="es-ES"/>
        </w:rPr>
        <w:t xml:space="preserve"> </w:t>
      </w:r>
      <w:r>
        <w:rPr>
          <w:b/>
          <w:bCs/>
          <w:lang w:val="es-ES"/>
        </w:rPr>
        <w:t xml:space="preserve">AD-0</w:t>
      </w:r>
      <w:r>
        <w:rPr>
          <w:lang w:val="es-ES"/>
        </w:rPr>
        <w:t xml:space="preserve"> </w:t>
      </w:r>
      <w:r>
        <w:rPr>
          <w:lang w:val="es-ES"/>
        </w:rPr>
        <w:t xml:space="preserve">(adopción formal; Estado: Propuesta para el Acta)</w:t>
      </w:r>
    </w:p>
    <w:p>
      <w:pPr>
        <w:pStyle w:val="BodyText"/>
      </w:pPr>
      <w:r>
        <w:rPr>
          <w:rStyle w:val="VerbatimChar"/>
          <w:b/>
          <w:bCs/>
          <w:lang w:val="es-ES"/>
        </w:rPr>
        <w:t xml:space="preserve">roadmap-cronograma-proyecto.md</w:t>
      </w:r>
      <w:r>
        <w:rPr>
          <w:b/>
          <w:bCs/>
          <w:lang w:val="es-ES"/>
        </w:rPr>
        <w:t xml:space="preserve">.</w:t>
      </w:r>
      <w:r>
        <w:rPr>
          <w:lang w:val="es-ES"/>
        </w:rPr>
        <w:t xml:space="preserve"> </w:t>
      </w:r>
      <w:r>
        <w:rPr>
          <w:lang w:val="es-ES"/>
        </w:rPr>
        <w:t xml:space="preserve">Fase F0 (aprobación) + sección de principios</w:t>
      </w:r>
    </w:p>
    <w:p>
      <w:pPr>
        <w:pStyle w:val="BodyText"/>
      </w:pPr>
      <w:r>
        <w:rPr>
          <w:rStyle w:val="VerbatimChar"/>
          <w:b/>
          <w:bCs/>
          <w:lang w:val="es-ES"/>
        </w:rPr>
        <w:t xml:space="preserve">foda-programa-neuroeducacion-preescolar.md</w:t>
      </w:r>
      <w:r>
        <w:rPr>
          <w:b/>
          <w:bCs/>
          <w:lang w:val="es-ES"/>
        </w:rPr>
        <w:t xml:space="preserve">.</w:t>
      </w:r>
      <w:r>
        <w:rPr>
          <w:lang w:val="es-ES"/>
        </w:rPr>
        <w:t xml:space="preserve"> </w:t>
      </w:r>
      <w:r>
        <w:rPr>
          <w:lang w:val="es-ES"/>
        </w:rPr>
        <w:t xml:space="preserve">Fortaleza: fundamento axiomático explícito</w:t>
      </w:r>
    </w:p>
    <w:p>
      <w:pPr>
        <w:pStyle w:val="BodyText"/>
      </w:pPr>
      <w:r>
        <w:rPr>
          <w:rStyle w:val="VerbatimChar"/>
          <w:b/>
          <w:bCs/>
          <w:lang w:val="es-ES"/>
        </w:rPr>
        <w:t xml:space="preserve">soach-estrategias-programa-neuroeducacion.md</w:t>
      </w:r>
      <w:r>
        <w:rPr>
          <w:b/>
          <w:bCs/>
          <w:lang w:val="es-ES"/>
        </w:rPr>
        <w:t xml:space="preserve">.</w:t>
      </w:r>
      <w:r>
        <w:rPr>
          <w:lang w:val="es-ES"/>
        </w:rPr>
        <w:t xml:space="preserve"> </w:t>
      </w:r>
      <w:r>
        <w:rPr>
          <w:lang w:val="es-ES"/>
        </w:rPr>
        <w:t xml:space="preserve">Ejes FO (AX-1) y DA (AX-3)</w:t>
      </w:r>
    </w:p>
    <w:p>
      <w:pPr>
        <w:pStyle w:val="BodyText"/>
      </w:pPr>
      <w:r>
        <w:rPr>
          <w:rStyle w:val="VerbatimChar"/>
          <w:b/>
          <w:bCs/>
          <w:lang w:val="es-ES"/>
        </w:rPr>
        <w:t xml:space="preserve">plan-de-estudios-curso-andragogia-neuroeducacion.md</w:t>
      </w:r>
      <w:r>
        <w:rPr>
          <w:b/>
          <w:bCs/>
          <w:lang w:val="es-ES"/>
        </w:rPr>
        <w:t xml:space="preserve">.</w:t>
      </w:r>
      <w:r>
        <w:rPr>
          <w:lang w:val="es-ES"/>
        </w:rPr>
        <w:t xml:space="preserve"> </w:t>
      </w:r>
      <w:r>
        <w:rPr>
          <w:lang w:val="es-ES"/>
        </w:rPr>
        <w:t xml:space="preserve">Bloque inicial de M1 + matriz de trazabilidad</w:t>
      </w:r>
    </w:p>
    <w:p>
      <w:pPr>
        <w:pStyle w:val="BodyText"/>
      </w:pPr>
      <w:r>
        <w:rPr>
          <w:b/>
          <w:bCs/>
          <w:lang w:val="es-ES"/>
        </w:rPr>
        <w:t xml:space="preserve">Acta Constitutiva (fase siguiente).</w:t>
      </w:r>
      <w:r>
        <w:rPr>
          <w:lang w:val="es-ES"/>
        </w:rPr>
        <w:t xml:space="preserve"> </w:t>
      </w:r>
      <w:r>
        <w:rPr>
          <w:lang w:val="es-ES"/>
        </w:rPr>
        <w:t xml:space="preserve">Preámbulo/fundamento, vía D6 R11</w:t>
      </w:r>
    </w:p>
    <w:p>
      <w:r>
        <w:pict>
          <v:rect style="width:0;height:1.5pt" o:hralign="center" o:hrstd="t" o:hr="t"/>
        </w:pict>
      </w:r>
    </w:p>
    <w:p>
      <w:pPr>
        <w:pStyle w:val="FirstParagraph"/>
      </w:pPr>
      <w:r>
        <w:rPr>
          <w:i/>
          <w:iCs/>
          <w:lang w:val="es-ES"/>
        </w:rPr>
        <w:t xml:space="preserve">Versión controlada · Mantenimiento por CTE · Cambios al texto verbatim: prohibidos sin decisión registrada (el verbatim vive en</w:t>
      </w:r>
      <w:r>
        <w:rPr>
          <w:i/>
          <w:iCs/>
          <w:lang w:val="es-ES"/>
        </w:rPr>
        <w:t xml:space="preserve"> </w:t>
      </w:r>
      <w:r>
        <w:rPr>
          <w:rStyle w:val="VerbatimChar"/>
          <w:i/>
          <w:iCs/>
          <w:lang w:val="es-ES"/>
        </w:rPr>
        <w:t xml:space="preserve">Primera Tanda/basesconceptuales.md</w:t>
      </w:r>
      <w:r>
        <w:rPr>
          <w:i/>
          <w:iCs/>
          <w:lang w:val="es-ES"/>
        </w:rPr>
        <w:t xml:space="preserve">); cambios a anclajes, guardas o mapa: por control de cambios del Acta.</w:t>
      </w:r>
    </w:p>
    <w:bookmarkEnd w:id="17"/>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Axiomas del Programa</dc:title>
  <dc:creator>Serie de Neuroeducación · Proyecto Programa Sintético</dc:creator>
  <dc:language>es-ES</dc:language>
  <cp:keywords/>
  <dcterms:created xsi:type="dcterms:W3CDTF">2026-09-28T01:14:01Z</dcterms:created>
  <dcterms:modified xsi:type="dcterms:W3CDTF">2026-09-28T01:14:01Z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Tercera Tanda · edición visual · 26 de septiembre de 2026</vt:lpwstr>
  </property>
  <property fmtid="{D5CDD505-2E9C-101B-9397-08002B2CF9AE}" pid="3" name="subtitle">
    <vt:lpwstr>La base de todo el aprendizaje — andragógico y paidagógico</vt:lpwstr>
  </property>
</Properties>
</file>