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SOACH (FODA cruzado) — Estrategias del Programa de Neuroeducación Preescolar</w:t>
      </w:r>
    </w:p>
    <w:p>
      <w:pPr>
        <w:pStyle w:val="Subtitle"/>
      </w:pPr>
      <w:r>
        <w:rPr>
          <w:lang w:val="es-ES"/>
        </w:rPr>
        <w:t xml:space="preserve">Matriz de estrategias: FO · DO · FA · DA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gobernanza · Segunda Tanda · Versión 1.0 · 26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Derivado 1:1 de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foda-programa-neuroeducacion-preescolar.md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(IDs F, O, D, 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Cada estrategia: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Acción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Responsable (rol)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Métrica</w:t>
      </w:r>
      <w:r>
        <w:rPr>
          <w:i/>
          <w:iCs/>
          <w:lang w:val="es-ES"/>
        </w:rPr>
        <w:t xml:space="preserve">. Ejes axiológicos marcados [AX-n].</w:t>
      </w:r>
    </w:p>
    <w:p>
      <w:r>
        <w:pict>
          <v:rect style="width:0;height:1.5pt" o:hralign="center" o:hrstd="t" o:hr="t"/>
        </w:pict>
      </w:r>
    </w:p>
    <w:bookmarkStart w:id="9" w:name="X66c77d9777f8fefa29c324324d6ac37fd5b0de3"/>
    <w:p>
      <w:pPr>
        <w:pStyle w:val="Heading2"/>
      </w:pPr>
      <w:r>
        <w:rPr>
          <w:lang w:val="es-ES"/>
        </w:rPr>
        <w:t xml:space="preserve">FO — Estrategias de aprovechamiento (Fortalezas × Oportunidades)</w:t>
      </w:r>
    </w:p>
    <w:p>
      <w:pPr>
        <w:pStyle w:val="FirstParagraph"/>
      </w:pPr>
      <w:r>
        <w:rPr>
          <w:b/>
          <w:bCs/>
          <w:lang w:val="es-ES"/>
        </w:rPr>
        <w:t xml:space="preserve">FO-1 · Axiomas como preámbulo del Acta.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F×O:</w:t>
      </w:r>
      <w:r>
        <w:rPr>
          <w:lang w:val="es-ES"/>
        </w:rPr>
        <w:t xml:space="preserve"> </w:t>
      </w:r>
      <w:r>
        <w:rPr>
          <w:lang w:val="es-ES"/>
        </w:rPr>
        <w:t xml:space="preserve">F3×O8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Presentar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 </w:t>
      </w:r>
      <w:r>
        <w:rPr>
          <w:lang w:val="es-ES"/>
        </w:rPr>
        <w:t xml:space="preserve">(AX-1..3 + pilares) como preámbulo fundacional del Acta Constitutiva, con AD-0 en estado</w:t>
      </w:r>
      <w:r>
        <w:rPr>
          <w:lang w:val="es-ES"/>
        </w:rPr>
        <w:t xml:space="preserve"> </w:t>
      </w:r>
      <w:r>
        <w:rPr>
          <w:lang w:val="es-ES"/>
        </w:rPr>
        <w:t xml:space="preserve">“Aceptada”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Sponsor + 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AD-0 firmado; texto incluido en el borrador del Acta</w:t>
      </w:r>
    </w:p>
    <w:p>
      <w:pPr>
        <w:pStyle w:val="BodyText"/>
      </w:pPr>
      <w:r>
        <w:rPr>
          <w:b/>
          <w:bCs/>
          <w:lang w:val="es-ES"/>
        </w:rPr>
        <w:t xml:space="preserve">FO-2 · Programa de ética de IA como bandera.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F×O:</w:t>
      </w:r>
      <w:r>
        <w:rPr>
          <w:lang w:val="es-ES"/>
        </w:rPr>
        <w:t xml:space="preserve"> </w:t>
      </w:r>
      <w:r>
        <w:rPr>
          <w:lang w:val="es-ES"/>
        </w:rPr>
        <w:t xml:space="preserve">F6×O2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Publicar internamente la política de 6 principios de IA + prohibición de perfilar menores; ofrecerla a la comunidad educativa como referente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Política publicada; 0 incidentes de datos infantiles (auditoría quincenal)</w:t>
      </w:r>
    </w:p>
    <w:p>
      <w:pPr>
        <w:pStyle w:val="BodyText"/>
      </w:pPr>
      <w:r>
        <w:rPr>
          <w:b/>
          <w:bCs/>
          <w:lang w:val="es-ES"/>
        </w:rPr>
        <w:t xml:space="preserve">FO-3 · Traducción de OG 25 y OG 26 al aula.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F×O:</w:t>
      </w:r>
      <w:r>
        <w:rPr>
          <w:lang w:val="es-ES"/>
        </w:rPr>
        <w:t xml:space="preserve"> </w:t>
      </w:r>
      <w:r>
        <w:rPr>
          <w:lang w:val="es-ES"/>
        </w:rPr>
        <w:t xml:space="preserve">F1×O3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Diseñar 2 contenidos nuevos por ciclo: uso responsable de pantalla familiar (OG 25) y cuidado ambiental cotidiano (OG 26) en el Analítico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Equipo docente (CTE)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2 contenidos nuevos aprobados en F2; evidencias de práctica en aula</w:t>
      </w:r>
    </w:p>
    <w:p>
      <w:pPr>
        <w:pStyle w:val="BodyText"/>
      </w:pPr>
      <w:r>
        <w:rPr>
          <w:b/>
          <w:bCs/>
          <w:lang w:val="es-ES"/>
        </w:rPr>
        <w:t xml:space="preserve">FO-4 · Formación con respaldo normativo.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F×O:</w:t>
      </w:r>
      <w:r>
        <w:rPr>
          <w:lang w:val="es-ES"/>
        </w:rPr>
        <w:t xml:space="preserve"> </w:t>
      </w:r>
      <w:r>
        <w:rPr>
          <w:lang w:val="es-ES"/>
        </w:rPr>
        <w:t xml:space="preserve">F2×F4×O1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Presentar el curso M1–M8 como cumplimiento del art. 3 (formación docente) ante la comunidad y la autoridad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Sponsor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Carta de presentación emitida; asistencia registrada ≥80%</w:t>
      </w:r>
    </w:p>
    <w:p>
      <w:pPr>
        <w:pStyle w:val="BodyText"/>
      </w:pPr>
      <w:r>
        <w:rPr>
          <w:b/>
          <w:bCs/>
          <w:lang w:val="es-ES"/>
        </w:rPr>
        <w:t xml:space="preserve">FO-5 · Serie como capital del plantel.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F×O:</w:t>
      </w:r>
      <w:r>
        <w:rPr>
          <w:lang w:val="es-ES"/>
        </w:rPr>
        <w:t xml:space="preserve"> </w:t>
      </w:r>
      <w:r>
        <w:rPr>
          <w:lang w:val="es-ES"/>
        </w:rPr>
        <w:t xml:space="preserve">F1×O5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Institucionalizar la serie como biblioteca de trabajo del CTE (acceso, índice, rutas por rol) y citarla en todo Analítico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100% del equipo con ruta de lectura asignada; citaciones en el Analítico</w:t>
      </w:r>
    </w:p>
    <w:bookmarkEnd w:id="9"/>
    <w:bookmarkStart w:id="10" w:name="Xb44b51cc02ac496b30c6abe6f91bf20894160f3"/>
    <w:p>
      <w:pPr>
        <w:pStyle w:val="Heading2"/>
      </w:pPr>
      <w:r>
        <w:rPr>
          <w:lang w:val="es-ES"/>
        </w:rPr>
        <w:t xml:space="preserve">DO — Estrategias de superación de debilidades aprovechando oportunidades</w:t>
      </w:r>
    </w:p>
    <w:p>
      <w:pPr>
        <w:pStyle w:val="FirstParagraph"/>
      </w:pPr>
      <w:r>
        <w:rPr>
          <w:b/>
          <w:bCs/>
          <w:lang w:val="es-ES"/>
        </w:rPr>
        <w:t xml:space="preserve">DO-1 · Línea base vía CTE.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D×O:</w:t>
      </w:r>
      <w:r>
        <w:rPr>
          <w:lang w:val="es-ES"/>
        </w:rPr>
        <w:t xml:space="preserve"> </w:t>
      </w:r>
      <w:r>
        <w:rPr>
          <w:lang w:val="es-ES"/>
        </w:rPr>
        <w:t xml:space="preserve">D1×O4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Aplicar el instrumento de línea base (prácticas, clima, conocimiento de axiomas) en F0 usando la estructura del CTE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Baseline completo antes de M2; % de error en filtro de neuromitos pre/post</w:t>
      </w:r>
    </w:p>
    <w:p>
      <w:pPr>
        <w:pStyle w:val="BodyText"/>
      </w:pPr>
      <w:r>
        <w:rPr>
          <w:b/>
          <w:bCs/>
          <w:lang w:val="es-ES"/>
        </w:rPr>
        <w:t xml:space="preserve">DO-2 · Curso en ciclo vigente.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D×O:</w:t>
      </w:r>
      <w:r>
        <w:rPr>
          <w:lang w:val="es-ES"/>
        </w:rPr>
        <w:t xml:space="preserve"> </w:t>
      </w:r>
      <w:r>
        <w:rPr>
          <w:lang w:val="es-ES"/>
        </w:rPr>
        <w:t xml:space="preserve">D2×O5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Correr M1–M8 en las sesiones quincenales ya normadas de CTE (sin crear instancias nuevas)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+ Dirección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8 sesiones realizadas; 1 entregable por módulo</w:t>
      </w:r>
    </w:p>
    <w:p>
      <w:pPr>
        <w:pStyle w:val="BodyText"/>
      </w:pPr>
      <w:r>
        <w:rPr>
          <w:b/>
          <w:bCs/>
          <w:lang w:val="es-ES"/>
        </w:rPr>
        <w:t xml:space="preserve">DO-3 · Rutas por rol para la carga de lectura.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D×O:</w:t>
      </w:r>
      <w:r>
        <w:rPr>
          <w:lang w:val="es-ES"/>
        </w:rPr>
        <w:t xml:space="preserve"> </w:t>
      </w:r>
      <w:r>
        <w:rPr>
          <w:lang w:val="es-ES"/>
        </w:rPr>
        <w:t xml:space="preserve">D6×O5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Segmentar la serie: briefings ejecutivos (M1/M2/M8) para sponsors/managers; lectura profunda para docentes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≥90% completó su ruta; encuesta de carga percibida ≤media</w:t>
      </w:r>
    </w:p>
    <w:p>
      <w:pPr>
        <w:pStyle w:val="BodyText"/>
      </w:pPr>
      <w:r>
        <w:rPr>
          <w:b/>
          <w:bCs/>
          <w:lang w:val="es-ES"/>
        </w:rPr>
        <w:t xml:space="preserve">DO-4 · Validación externa del material.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D×O:</w:t>
      </w:r>
      <w:r>
        <w:rPr>
          <w:lang w:val="es-ES"/>
        </w:rPr>
        <w:t xml:space="preserve"> </w:t>
      </w:r>
      <w:r>
        <w:rPr>
          <w:lang w:val="es-ES"/>
        </w:rPr>
        <w:t xml:space="preserve">D4×O3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Someter la serie y el Analítico a revisión de un par externo (docente/académico ajeno) antes de F3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Sponsor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Revisión documentada; observaciones cerradas en retrospectiva</w:t>
      </w:r>
    </w:p>
    <w:p>
      <w:pPr>
        <w:pStyle w:val="BodyText"/>
      </w:pPr>
      <w:r>
        <w:rPr>
          <w:b/>
          <w:bCs/>
          <w:lang w:val="es-ES"/>
        </w:rPr>
        <w:t xml:space="preserve">DO-5 · Comprometer recursos con hitos.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D×O:</w:t>
      </w:r>
      <w:r>
        <w:rPr>
          <w:lang w:val="es-ES"/>
        </w:rPr>
        <w:t xml:space="preserve"> </w:t>
      </w:r>
      <w:r>
        <w:rPr>
          <w:lang w:val="es-ES"/>
        </w:rPr>
        <w:t xml:space="preserve">D5×O1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Convertir semanas relativas a compromisos con hitos H1–H5 ante la autoridad/comunidad (no fechas internas, sí hitos exigibles)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Sponsor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H1–H5 con evidencia; presupuesto mínimo cubierto</w:t>
      </w:r>
    </w:p>
    <w:p>
      <w:pPr>
        <w:pStyle w:val="BodyText"/>
      </w:pPr>
      <w:r>
        <w:rPr>
          <w:b/>
          <w:bCs/>
          <w:lang w:val="es-ES"/>
        </w:rPr>
        <w:t xml:space="preserve">DO-6 · Multiplicadores desde el piloto.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D×O:</w:t>
      </w:r>
      <w:r>
        <w:rPr>
          <w:lang w:val="es-ES"/>
        </w:rPr>
        <w:t xml:space="preserve"> </w:t>
      </w:r>
      <w:r>
        <w:rPr>
          <w:lang w:val="es-ES"/>
        </w:rPr>
        <w:t xml:space="preserve">D7×O7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Formar 2 referentes internos con disponibilidad de acompañar (base del F5 escalamiento)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Dirección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2 referentes acreditados al cierre de M8</w:t>
      </w:r>
    </w:p>
    <w:bookmarkEnd w:id="10"/>
    <w:bookmarkStart w:id="11" w:name="X18570f64893a307895a8e0f97566c74db24e9b5"/>
    <w:p>
      <w:pPr>
        <w:pStyle w:val="Heading2"/>
      </w:pPr>
      <w:r>
        <w:rPr>
          <w:lang w:val="es-ES"/>
        </w:rPr>
        <w:t xml:space="preserve">FA — Estrategias de uso de fortalezas para minimizar amenazas</w:t>
      </w:r>
    </w:p>
    <w:p>
      <w:pPr>
        <w:pStyle w:val="FirstParagraph"/>
      </w:pPr>
      <w:r>
        <w:rPr>
          <w:b/>
          <w:bCs/>
          <w:lang w:val="es-ES"/>
        </w:rPr>
        <w:t xml:space="preserve">FA-1 · Protocolos como defensa del juego.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F×A:</w:t>
      </w:r>
      <w:r>
        <w:rPr>
          <w:lang w:val="es-ES"/>
        </w:rPr>
        <w:t xml:space="preserve"> </w:t>
      </w:r>
      <w:r>
        <w:rPr>
          <w:lang w:val="es-ES"/>
        </w:rPr>
        <w:t xml:space="preserve">F5×A1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Usar D3/D1 para responder a presión académica: mostrar evidencia de que el juego construye EF; auditar horario (≥30% juego libre)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Equipo docente + 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Auditoría de horario trimestral; % de juego libre ≥30%</w:t>
      </w:r>
    </w:p>
    <w:p>
      <w:pPr>
        <w:pStyle w:val="BodyText"/>
      </w:pPr>
      <w:r>
        <w:rPr>
          <w:b/>
          <w:bCs/>
          <w:lang w:val="es-ES"/>
        </w:rPr>
        <w:t xml:space="preserve">FA-2 · Filtro anti-neuromitos en materiales.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F×A:</w:t>
      </w:r>
      <w:r>
        <w:rPr>
          <w:lang w:val="es-ES"/>
        </w:rPr>
        <w:t xml:space="preserve"> </w:t>
      </w:r>
      <w:r>
        <w:rPr>
          <w:lang w:val="es-ES"/>
        </w:rPr>
        <w:t xml:space="preserve">F6×A2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Checklist del bloque J obligatorio para todo material/curso externo que entre al plantel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Equipo docente (CTE)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100% de materiales nuevos con checklist; ≥1 corrección por ciclo</w:t>
      </w:r>
    </w:p>
    <w:p>
      <w:pPr>
        <w:pStyle w:val="BodyText"/>
      </w:pPr>
      <w:r>
        <w:rPr>
          <w:b/>
          <w:bCs/>
          <w:lang w:val="es-ES"/>
        </w:rPr>
        <w:t xml:space="preserve">FA-3 · RACI anti-rotación.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F×A:</w:t>
      </w:r>
      <w:r>
        <w:rPr>
          <w:lang w:val="es-ES"/>
        </w:rPr>
        <w:t xml:space="preserve"> </w:t>
      </w:r>
      <w:r>
        <w:rPr>
          <w:lang w:val="es-ES"/>
        </w:rPr>
        <w:t xml:space="preserve">F7×A5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Distribuir roles (sponsor, coordinador, referentes) con suplentes designados y documentación viva (README, ADR)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Sponsor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Cada rol con suplente nombrado; README actualizado</w:t>
      </w:r>
    </w:p>
    <w:p>
      <w:pPr>
        <w:pStyle w:val="BodyText"/>
      </w:pPr>
      <w:r>
        <w:rPr>
          <w:b/>
          <w:bCs/>
          <w:lang w:val="es-ES"/>
        </w:rPr>
        <w:t xml:space="preserve">FA-4 · Diplomacia con familias (AIE).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F×A:</w:t>
      </w:r>
      <w:r>
        <w:rPr>
          <w:lang w:val="es-ES"/>
        </w:rPr>
        <w:t xml:space="preserve"> </w:t>
      </w:r>
      <w:r>
        <w:rPr>
          <w:lang w:val="es-ES"/>
        </w:rPr>
        <w:t xml:space="preserve">F8×A6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Antes de presentar ejes/axiomas a familias: sesión informativa con lenguaje llano, preguntas abiertas y norma citada (art. 4, CDN)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+ Dirección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Sesión realizada; registro de preguntas y compromisos</w:t>
      </w:r>
    </w:p>
    <w:p>
      <w:pPr>
        <w:pStyle w:val="BodyText"/>
      </w:pPr>
      <w:r>
        <w:rPr>
          <w:b/>
          <w:bCs/>
          <w:lang w:val="es-ES"/>
        </w:rPr>
        <w:t xml:space="preserve">FA-5 · Protección de datos por diseño.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F×A:</w:t>
      </w:r>
      <w:r>
        <w:rPr>
          <w:lang w:val="es-ES"/>
        </w:rPr>
        <w:t xml:space="preserve"> </w:t>
      </w:r>
      <w:r>
        <w:rPr>
          <w:lang w:val="es-ES"/>
        </w:rPr>
        <w:t xml:space="preserve">F6×A4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Auditoría quincenal de herramientas digitales: ¿alguna IA/app con datos de niños? Sustituir o anonimizar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0 casos abiertos &gt;2 semanas; inventario de herramientas actualizado</w:t>
      </w:r>
    </w:p>
    <w:p>
      <w:pPr>
        <w:pStyle w:val="BodyText"/>
      </w:pPr>
      <w:r>
        <w:rPr>
          <w:b/>
          <w:bCs/>
          <w:lang w:val="es-ES"/>
        </w:rPr>
        <w:t xml:space="preserve">FA-6 · Ambiente preparado con bajo costo.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F×A:</w:t>
      </w:r>
      <w:r>
        <w:rPr>
          <w:lang w:val="es-ES"/>
        </w:rPr>
        <w:t xml:space="preserve"> </w:t>
      </w:r>
      <w:r>
        <w:rPr>
          <w:lang w:val="es-ES"/>
        </w:rPr>
        <w:t xml:space="preserve">F1×F5×A7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Rediseñar con lo disponible (orden, zonas, rincón de calma) antes que pedir compra; usar vida práctica y materiales reales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Equipo docente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Checklist de ambiente (D3 §4.1) en verde en F3</w:t>
      </w:r>
    </w:p>
    <w:bookmarkEnd w:id="11"/>
    <w:bookmarkStart w:id="12" w:name="X56b04c10f9182034fa8cfeefba83ab2c1c4dfb1"/>
    <w:p>
      <w:pPr>
        <w:pStyle w:val="Heading2"/>
      </w:pPr>
      <w:r>
        <w:rPr>
          <w:lang w:val="es-ES"/>
        </w:rPr>
        <w:t xml:space="preserve">DA — Estrategias de minimización de debilidades y amenazas</w:t>
      </w:r>
    </w:p>
    <w:p>
      <w:pPr>
        <w:pStyle w:val="FirstParagraph"/>
      </w:pPr>
      <w:r>
        <w:rPr>
          <w:b/>
          <w:bCs/>
          <w:lang w:val="es-ES"/>
        </w:rPr>
        <w:t xml:space="preserve">DA-1 · Medir para no disimular.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D×A:</w:t>
      </w:r>
      <w:r>
        <w:rPr>
          <w:lang w:val="es-ES"/>
        </w:rPr>
        <w:t xml:space="preserve"> </w:t>
      </w:r>
      <w:r>
        <w:rPr>
          <w:lang w:val="es-ES"/>
        </w:rPr>
        <w:t xml:space="preserve">D1×A8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Línea base + retrospectiva por módulo: los resultados malos se publican internamente (AX-1); reglas anti-slogan verificadas por ejemplos concretos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Retrospectivas documentadas; 0 slogans sin ejemplo verificable en M1</w:t>
      </w:r>
    </w:p>
    <w:p>
      <w:pPr>
        <w:pStyle w:val="BodyText"/>
      </w:pPr>
      <w:r>
        <w:rPr>
          <w:b/>
          <w:bCs/>
          <w:lang w:val="es-ES"/>
        </w:rPr>
        <w:t xml:space="preserve">DA-2 · Seguridad psicológica del equipo.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D×A:</w:t>
      </w:r>
      <w:r>
        <w:rPr>
          <w:lang w:val="es-ES"/>
        </w:rPr>
        <w:t xml:space="preserve"> </w:t>
      </w:r>
      <w:r>
        <w:rPr>
          <w:lang w:val="es-ES"/>
        </w:rPr>
        <w:t xml:space="preserve">D3×A3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Carga quincenal moderada, acuerdos de confidencialidad del error, apoyo visible del sponsor ante fracasos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Sponsor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Encuesta de clima del CTE ≥7/10; ausentismo &lt;15%</w:t>
      </w:r>
    </w:p>
    <w:p>
      <w:pPr>
        <w:pStyle w:val="BodyText"/>
      </w:pPr>
      <w:r>
        <w:rPr>
          <w:b/>
          <w:bCs/>
          <w:lang w:val="es-ES"/>
        </w:rPr>
        <w:t xml:space="preserve">DA-3 · Acuerdos mínimo viables con familias.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D×A:</w:t>
      </w:r>
      <w:r>
        <w:rPr>
          <w:lang w:val="es-ES"/>
        </w:rPr>
        <w:t xml:space="preserve"> </w:t>
      </w:r>
      <w:r>
        <w:rPr>
          <w:lang w:val="es-ES"/>
        </w:rPr>
        <w:t xml:space="preserve">D7×A6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En conflicto: partir de acuerdo mínimo compartido (seguridad, calidez, respeto) y diferir lo opinable; nunca confrontar al niño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Incidentes familiares cerrados con acuerdo; 0 escalaciones sin registro</w:t>
      </w:r>
    </w:p>
    <w:p>
      <w:pPr>
        <w:pStyle w:val="BodyText"/>
      </w:pPr>
      <w:r>
        <w:rPr>
          <w:b/>
          <w:bCs/>
          <w:lang w:val="es-ES"/>
        </w:rPr>
        <w:t xml:space="preserve">DA-4 · Contención de alcance.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D×A:</w:t>
      </w:r>
      <w:r>
        <w:rPr>
          <w:lang w:val="es-ES"/>
        </w:rPr>
        <w:t xml:space="preserve"> </w:t>
      </w:r>
      <w:r>
        <w:rPr>
          <w:lang w:val="es-ES"/>
        </w:rPr>
        <w:t xml:space="preserve">D5×A5×A7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Todo</w:t>
      </w:r>
      <w:r>
        <w:rPr>
          <w:lang w:val="es-ES"/>
        </w:rPr>
        <w:t xml:space="preserve"> </w:t>
      </w:r>
      <w:r>
        <w:rPr>
          <w:lang w:val="es-ES"/>
        </w:rPr>
        <w:t xml:space="preserve">“queremos agregar”</w:t>
      </w:r>
      <w:r>
        <w:rPr>
          <w:lang w:val="es-ES"/>
        </w:rPr>
        <w:t xml:space="preserve"> </w:t>
      </w:r>
      <w:r>
        <w:rPr>
          <w:lang w:val="es-ES"/>
        </w:rPr>
        <w:t xml:space="preserve">pasa por control de cambios (AD-6): se registra, se decide, o se pospone con fecha — sin consumir la fase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Coordinador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Registro de cambios al día; 0 derivas de alcance abiertas</w:t>
      </w:r>
    </w:p>
    <w:p>
      <w:pPr>
        <w:pStyle w:val="BodyText"/>
      </w:pPr>
      <w:r>
        <w:rPr>
          <w:b/>
          <w:bCs/>
          <w:lang w:val="es-ES"/>
        </w:rPr>
        <w:t xml:space="preserve">DA-5 · Plan B de escalamiento prudente.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D×A:</w:t>
      </w:r>
      <w:r>
        <w:rPr>
          <w:lang w:val="es-ES"/>
        </w:rPr>
        <w:t xml:space="preserve"> </w:t>
      </w:r>
      <w:r>
        <w:rPr>
          <w:lang w:val="es-ES"/>
        </w:rPr>
        <w:t xml:space="preserve">D4×A1×A4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Acción concreta:</w:t>
      </w:r>
      <w:r>
        <w:rPr>
          <w:lang w:val="es-ES"/>
        </w:rPr>
        <w:t xml:space="preserve"> </w:t>
      </w:r>
      <w:r>
        <w:rPr>
          <w:lang w:val="es-ES"/>
        </w:rPr>
        <w:t xml:space="preserve">Si la presión externa o el marco de IA cambian: reforzar revisión externa y pausar adopción de herramientas hasta criterio (AD-5)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Sponsor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Métrica:</w:t>
      </w:r>
      <w:r>
        <w:rPr>
          <w:lang w:val="es-ES"/>
        </w:rPr>
        <w:t xml:space="preserve"> </w:t>
      </w:r>
      <w:r>
        <w:rPr>
          <w:lang w:val="es-ES"/>
        </w:rPr>
        <w:t xml:space="preserve">Disparador definido (2 señales) + decisión registrada en retrospectiva</w:t>
      </w:r>
    </w:p>
    <w:p>
      <w:r>
        <w:pict>
          <v:rect style="width:0;height:1.5pt" o:hralign="center" o:hrstd="t" o:hr="t"/>
        </w:pict>
      </w:r>
    </w:p>
    <w:bookmarkEnd w:id="12"/>
    <w:bookmarkStart w:id="13" w:name="cuadro-resumen-por-eje-axiológico"/>
    <w:p>
      <w:pPr>
        <w:pStyle w:val="Heading2"/>
      </w:pPr>
      <w:r>
        <w:rPr>
          <w:lang w:val="es-ES"/>
        </w:rPr>
        <w:t xml:space="preserve">Cuadro resumen por eje axiológico</w:t>
      </w:r>
    </w:p>
    <w:p>
      <w:pPr>
        <w:pStyle w:val="FirstParagraph"/>
      </w:pPr>
      <w:r>
        <w:rPr>
          <w:b/>
          <w:bCs/>
          <w:lang w:val="es-ES"/>
        </w:rPr>
        <w:t xml:space="preserve">[AX-1] Toda información es útil.</w:t>
      </w:r>
      <w:r>
        <w:rPr>
          <w:lang w:val="es-ES"/>
        </w:rPr>
        <w:t xml:space="preserve"> </w:t>
      </w:r>
      <w:r>
        <w:rPr>
          <w:lang w:val="es-ES"/>
        </w:rPr>
        <w:t xml:space="preserve">DO-1 (línea base), DA-1 (medir y publicar), FA-2 (errores de material), DA-4 (control de cambios)</w:t>
      </w:r>
    </w:p>
    <w:p>
      <w:pPr>
        <w:pStyle w:val="BodyText"/>
      </w:pPr>
      <w:r>
        <w:rPr>
          <w:b/>
          <w:bCs/>
          <w:lang w:val="es-ES"/>
        </w:rPr>
        <w:t xml:space="preserve">[AX-2] Niños = adultos + realidad material.</w:t>
      </w:r>
      <w:r>
        <w:rPr>
          <w:lang w:val="es-ES"/>
        </w:rPr>
        <w:t xml:space="preserve"> </w:t>
      </w:r>
      <w:r>
        <w:rPr>
          <w:lang w:val="es-ES"/>
        </w:rPr>
        <w:t xml:space="preserve">FO-4 (formación de adultos), FA-4 (familias/AIE), DA-2 (clima del equipo), FO-1 (axiomas en el Acta)</w:t>
      </w:r>
    </w:p>
    <w:p>
      <w:pPr>
        <w:pStyle w:val="BodyText"/>
      </w:pPr>
      <w:r>
        <w:rPr>
          <w:b/>
          <w:bCs/>
          <w:lang w:val="es-ES"/>
        </w:rPr>
        <w:t xml:space="preserve">[AX-3] Resignificación con matices.</w:t>
      </w:r>
      <w:r>
        <w:rPr>
          <w:lang w:val="es-ES"/>
        </w:rPr>
        <w:t xml:space="preserve"> </w:t>
      </w:r>
      <w:r>
        <w:rPr>
          <w:lang w:val="es-ES"/>
        </w:rPr>
        <w:t xml:space="preserve">DA-3 (acuerdos mínimos, diferir lo opinable), FA-4 (diálogo), DA-1 (reglas anti-slogan), FO-3 (nuevos contenidos con matices)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Uso: revisión trimestral en CTE junto con el FODA; toda estrategia con métrica sin dato se considera no ejecutada (AX-1: sin información no hay gestión).</w:t>
      </w:r>
    </w:p>
    <w:bookmarkEnd w:id="13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SOACH (FODA cruzado) — Estrategias del Programa de Neuroeducación Preescolar</dc:title>
  <dc:creator>Serie de Neuroeducación · Proyecto Programa Sintético</dc:creator>
  <dc:language>es-ES</dc:language>
  <cp:keywords/>
  <dcterms:created xsi:type="dcterms:W3CDTF">2026-09-28T01:14:06Z</dcterms:created>
  <dcterms:modified xsi:type="dcterms:W3CDTF">2026-09-28T01:14:06Z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Matriz de estrategias: FO · DO · FA · DA</vt:lpwstr>
  </property>
</Properties>
</file>