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40"/>
        <w:gridCol w:w="9106"/>
      </w:tblGrid>
      <w:tr>
        <w:tc>
          <w:tcPr>
            <w:tcW w:type="dxa" w:w="640"/>
            <w:tcBorders>
              <w:top w:val="none" w:color="FFFFFF" w:sz="0"/>
              <w:left w:val="none" w:color="FFFFFF" w:sz="0"/>
              <w:bottom w:val="none" w:color="FFFFFF" w:sz="0"/>
              <w:right w:val="none" w:color="FFFFFF" w:sz="0"/>
            </w:tcBorders>
            <w:shd w:fill="042F52" w:color="auto" w:val="clear"/>
            <w:tcMar>
              <w:top w:type="dxa" w:w="120"/>
              <w:left w:type="dxa" w:w="160"/>
              <w:bottom w:type="dxa" w:w="120"/>
            </w:tcMar>
            <w:vAlign w:val="center"/>
          </w:tcPr>
          <w:p>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 cy="323850"/>
                          </a:xfrm>
                          <a:prstGeom prst="rect">
                            <a:avLst/>
                          </a:prstGeom>
                        </pic:spPr>
                      </pic:pic>
                    </a:graphicData>
                  </a:graphic>
                </wp:inline>
              </w:drawing>
            </w:r>
          </w:p>
        </w:tc>
        <w:tc>
          <w:tcPr>
            <w:tcW w:type="dxa" w:w="9106"/>
            <w:tcBorders>
              <w:top w:val="none" w:color="FFFFFF" w:sz="0"/>
              <w:left w:val="none" w:color="FFFFFF" w:sz="0"/>
              <w:bottom w:val="none" w:color="FFFFFF" w:sz="0"/>
              <w:right w:val="none" w:color="FFFFFF" w:sz="0"/>
            </w:tcBorders>
            <w:shd w:fill="042F52" w:color="auto" w:val="clear"/>
            <w:tcMar>
              <w:top w:type="dxa" w:w="120"/>
              <w:left w:type="dxa" w:w="60"/>
              <w:bottom w:type="dxa" w:w="120"/>
              <w:right w:type="dxa" w:w="160"/>
            </w:tcMar>
            <w:vAlign w:val="center"/>
          </w:tcPr>
          <w:p>
            <w:r>
              <w:rPr>
                <w:rFonts w:ascii="Segoe UI" w:cs="Segoe UI" w:eastAsia="Segoe UI" w:hAnsi="Segoe UI"/>
                <w:b/>
                <w:bCs/>
                <w:i w:val="false"/>
                <w:iCs w:val="false"/>
                <w:caps/>
                <w:color w:val="FFFFFF"/>
                <w:spacing w:val="60"/>
                <w:sz w:val="18"/>
                <w:szCs w:val="18"/>
              </w:rPr>
              <w:t xml:space="preserve">SOFT SERVICES TECHNOLOGIQUES</w:t>
            </w:r>
          </w:p>
          <w:p>
            <w:r>
              <w:rPr>
                <w:rFonts w:ascii="Segoe UI" w:cs="Segoe UI" w:eastAsia="Segoe UI" w:hAnsi="Segoe UI"/>
                <w:b w:val="false"/>
                <w:bCs w:val="false"/>
                <w:i w:val="false"/>
                <w:iCs w:val="false"/>
                <w:caps w:val="false"/>
                <w:color w:val="9FC2EE"/>
                <w:sz w:val="15"/>
                <w:szCs w:val="15"/>
              </w:rPr>
              <w:t xml:space="preserve">Pôle Santé Numérique · Déploiements UEMOA &amp; Afrique</w:t>
            </w:r>
          </w:p>
        </w:tc>
      </w:tr>
    </w:tbl>
    <w:p>
      <w:pPr>
        <w:spacing w:before="360"/>
        <w:jc w:val="center"/>
      </w:pPr>
      <w:r>
        <w:drawing>
          <wp:inline distT="0" distB="0" distL="0" distR="0">
            <wp:extent cx="16764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76400" cy="1676400"/>
                    </a:xfrm>
                    <a:prstGeom prst="rect">
                      <a:avLst/>
                    </a:prstGeom>
                  </pic:spPr>
                </pic:pic>
              </a:graphicData>
            </a:graphic>
          </wp:inline>
        </w:drawing>
      </w:r>
    </w:p>
    <w:p>
      <w:pPr>
        <w:spacing w:after="0" w:before="100"/>
        <w:jc w:val="center"/>
      </w:pPr>
      <w:r>
        <w:rPr>
          <w:rFonts w:ascii="Segoe UI Semibold" w:cs="Segoe UI Semibold" w:eastAsia="Segoe UI Semibold" w:hAnsi="Segoe UI Semibold"/>
          <w:b/>
          <w:bCs/>
          <w:i w:val="false"/>
          <w:iCs w:val="false"/>
          <w:caps w:val="false"/>
          <w:color w:val="042F52"/>
          <w:spacing w:val="40"/>
          <w:sz w:val="46"/>
          <w:szCs w:val="46"/>
        </w:rPr>
        <w:t xml:space="preserve">PROPOSITION</w:t>
      </w:r>
    </w:p>
    <w:p>
      <w:pPr>
        <w:spacing w:after="40"/>
        <w:jc w:val="center"/>
      </w:pPr>
      <w:r>
        <w:rPr>
          <w:rFonts w:ascii="Segoe UI Semibold" w:cs="Segoe UI Semibold" w:eastAsia="Segoe UI Semibold" w:hAnsi="Segoe UI Semibold"/>
          <w:b/>
          <w:bCs/>
          <w:i w:val="false"/>
          <w:iCs w:val="false"/>
          <w:caps w:val="false"/>
          <w:color w:val="1D6FE3"/>
          <w:spacing w:val="80"/>
          <w:sz w:val="30"/>
          <w:szCs w:val="30"/>
        </w:rPr>
        <w:t xml:space="preserve">COMMERCIALE &amp; TECHNIQUE</w:t>
      </w:r>
    </w:p>
    <w:p>
      <w:pPr>
        <w:spacing w:after="30"/>
        <w:jc w:val="center"/>
      </w:pPr>
      <w:r>
        <w:rPr>
          <w:rFonts w:ascii="Segoe UI" w:cs="Segoe UI" w:eastAsia="Segoe UI" w:hAnsi="Segoe UI"/>
          <w:b w:val="false"/>
          <w:bCs w:val="false"/>
          <w:i w:val="false"/>
          <w:iCs w:val="false"/>
          <w:caps w:val="false"/>
          <w:color w:val="5B6B7C"/>
          <w:sz w:val="22"/>
          <w:szCs w:val="22"/>
        </w:rPr>
        <w:t xml:space="preserve">Transformation digitale &amp; excellence opérationnelle des établissements de santé</w:t>
      </w:r>
    </w:p>
    <w:p>
      <w:pPr>
        <w:pBdr>
          <w:bottom w:val="single" w:color="1D6FE3" w:sz="12" w:space="6"/>
        </w:pBdr>
        <w:spacing w:after="40"/>
        <w:jc w:val="center"/>
      </w:pPr>
      <w:r>
        <w:rPr>
          <w:rFonts w:ascii="Segoe UI" w:cs="Segoe UI" w:eastAsia="Segoe UI" w:hAnsi="Segoe UI"/>
          <w:b w:val="false"/>
          <w:bCs w:val="false"/>
          <w:i w:val="false"/>
          <w:iCs w:val="false"/>
          <w:caps w:val="false"/>
          <w:color w:val="1E2A38"/>
          <w:sz w:val="2"/>
          <w:szCs w:val="2"/>
        </w:rPr>
        <w:t xml:space="preserve"/>
      </w:r>
    </w:p>
    <w:p>
      <w:pPr>
        <w:spacing w:after="200" w:before="200"/>
      </w:pPr>
    </w:p>
    <w:tbl>
      <w:tblPr>
        <w:tblW w:type="dxa" w:w="9746"/>
        <w:tblBorders>
          <w:top w:val="none" w:color="FFFFFF" w:sz="0"/>
          <w:left w:val="single" w:color="1D6FE3" w:sz="24"/>
          <w:bottom w:val="none" w:color="FFFFFF" w:sz="0"/>
          <w:right w:val="none" w:color="FFFFFF" w:sz="0"/>
          <w:insideH w:val="none" w:color="FFFFFF" w:sz="0"/>
          <w:insideV w:val="none" w:color="FFFFFF" w:sz="0"/>
        </w:tblBorders>
        <w:tblLayout w:type="fixed"/>
      </w:tblPr>
      <w:tblGrid>
        <w:gridCol w:w="9746"/>
      </w:tblGrid>
      <w:tr>
        <w:tc>
          <w:tcPr>
            <w:tcW w:type="dxa" w:w="9746"/>
            <w:shd w:fill="EDF3FB" w:color="auto" w:val="clear"/>
            <w:tcMar>
              <w:top w:type="dxa" w:w="160"/>
              <w:left w:type="dxa" w:w="220"/>
              <w:bottom w:type="dxa" w:w="160"/>
              <w:right w:type="dxa" w:w="200"/>
            </w:tcMar>
          </w:tcPr>
          <w:p>
            <w:pPr>
              <w:spacing w:after="60"/>
            </w:pPr>
            <w:r>
              <w:rPr>
                <w:rFonts w:ascii="Segoe UI Semibold" w:cs="Segoe UI Semibold" w:eastAsia="Segoe UI Semibold" w:hAnsi="Segoe UI Semibold"/>
                <w:b/>
                <w:bCs/>
                <w:i w:val="false"/>
                <w:iCs w:val="false"/>
                <w:caps w:val="false"/>
                <w:color w:val="042F52"/>
                <w:sz w:val="22"/>
                <w:szCs w:val="22"/>
              </w:rPr>
              <w:t xml:space="preserve">🌟  L’écosystème médical intégré nouvelle génération</w:t>
            </w:r>
          </w:p>
          <w:p>
            <w:r>
              <w:rPr>
                <w:rFonts w:ascii="Segoe UI" w:cs="Segoe UI" w:eastAsia="Segoe UI" w:hAnsi="Segoe UI"/>
                <w:b w:val="false"/>
                <w:bCs w:val="false"/>
                <w:i w:val="false"/>
                <w:iCs w:val="false"/>
                <w:caps w:val="false"/>
                <w:color w:val="1E2A38"/>
                <w:sz w:val="20"/>
                <w:szCs w:val="20"/>
              </w:rPr>
              <w:t xml:space="preserve">SoftMed réinvente la gestion des cliniques, polycliniques et cabinets médicaux en réunissant l’intelligence artificielle médicale, la sécurisation anti-fraude des prescriptions, la gestion financière Tiers-Payant (IPM) et la télétransmission automatisée, en temps réel.</w:t>
            </w:r>
          </w:p>
        </w:tc>
      </w:tr>
    </w:tbl>
    <w:p>
      <w:pPr>
        <w:spacing w:before="200"/>
      </w:pPr>
    </w:p>
    <w:tbl>
      <w:tblPr>
        <w:tblW w:type="dxa" w:w="9746"/>
        <w:tblBorders>
          <w:top w:val="none" w:color="FFFFFF" w:sz="0"/>
          <w:left w:val="single" w:color="1D6FE3" w:sz="26"/>
          <w:bottom w:val="none" w:color="FFFFFF" w:sz="0"/>
          <w:right w:val="none" w:color="FFFFFF" w:sz="0"/>
          <w:insideH w:val="none" w:color="FFFFFF" w:sz="0"/>
          <w:insideV w:val="none" w:color="FFFFFF" w:sz="0"/>
        </w:tblBorders>
        <w:tblLayout w:type="fixed"/>
      </w:tblPr>
      <w:tblGrid>
        <w:gridCol w:w="9746"/>
      </w:tblGrid>
      <w:tr>
        <w:tc>
          <w:tcPr>
            <w:tcW w:type="dxa" w:w="9746"/>
            <w:shd w:fill="042F52" w:color="auto" w:val="clear"/>
            <w:tcMar>
              <w:top w:type="dxa" w:w="200"/>
              <w:left w:type="dxa" w:w="240"/>
              <w:bottom w:type="dxa" w:w="200"/>
              <w:right w:type="dxa" w:w="200"/>
            </w:tcMar>
          </w:tcPr>
          <w:p>
            <w:pPr>
              <w:spacing w:after="40"/>
            </w:pPr>
            <w:r>
              <w:rPr>
                <w:rFonts w:ascii="Segoe UI Semibold" w:cs="Segoe UI Semibold" w:eastAsia="Segoe UI Semibold" w:hAnsi="Segoe UI Semibold"/>
                <w:b/>
                <w:bCs/>
                <w:i w:val="false"/>
                <w:iCs w:val="false"/>
                <w:caps w:val="false"/>
                <w:color w:val="FFFFFF"/>
                <w:sz w:val="24"/>
                <w:szCs w:val="24"/>
              </w:rPr>
              <w:t xml:space="preserve">SoftMed</w:t>
            </w:r>
            <w:r>
              <w:rPr>
                <w:rFonts w:ascii="Segoe UI" w:cs="Segoe UI" w:eastAsia="Segoe UI" w:hAnsi="Segoe UI"/>
                <w:b w:val="false"/>
                <w:bCs w:val="false"/>
                <w:i w:val="false"/>
                <w:iCs w:val="false"/>
                <w:caps w:val="false"/>
                <w:color w:val="9FC2EE"/>
                <w:sz w:val="18"/>
                <w:szCs w:val="18"/>
              </w:rPr>
              <w:t xml:space="preserve">  —  Version 2.0 · Cloud Multi-Tenant</w:t>
            </w:r>
          </w:p>
          <w:p>
            <w:pPr>
              <w:spacing w:after="16"/>
            </w:pPr>
            <w:r>
              <w:rPr>
                <w:rFonts w:ascii="Segoe UI" w:cs="Segoe UI" w:eastAsia="Segoe UI" w:hAnsi="Segoe UI"/>
                <w:b/>
                <w:bCs/>
                <w:i w:val="false"/>
                <w:iCs w:val="false"/>
                <w:caps w:val="false"/>
                <w:color w:val="BFD6F2"/>
                <w:sz w:val="18"/>
                <w:szCs w:val="18"/>
              </w:rPr>
              <w:t xml:space="preserve">Destinataire : </w:t>
            </w:r>
            <w:r>
              <w:rPr>
                <w:rFonts w:ascii="Segoe UI" w:cs="Segoe UI" w:eastAsia="Segoe UI" w:hAnsi="Segoe UI"/>
                <w:b w:val="false"/>
                <w:bCs w:val="false"/>
                <w:i w:val="false"/>
                <w:iCs w:val="false"/>
                <w:caps w:val="false"/>
                <w:color w:val="FFFFFF"/>
                <w:sz w:val="18"/>
                <w:szCs w:val="18"/>
              </w:rPr>
              <w:t xml:space="preserve">Direction générale, médecins-chefs &amp; gestionnaires de cliniques</w:t>
            </w:r>
          </w:p>
          <w:p>
            <w:pPr>
              <w:spacing w:after="16"/>
            </w:pPr>
            <w:r>
              <w:rPr>
                <w:rFonts w:ascii="Segoe UI" w:cs="Segoe UI" w:eastAsia="Segoe UI" w:hAnsi="Segoe UI"/>
                <w:b/>
                <w:bCs/>
                <w:i w:val="false"/>
                <w:iCs w:val="false"/>
                <w:caps w:val="false"/>
                <w:color w:val="BFD6F2"/>
                <w:sz w:val="18"/>
                <w:szCs w:val="18"/>
              </w:rPr>
              <w:t xml:space="preserve">Émetteur : </w:t>
            </w:r>
            <w:r>
              <w:rPr>
                <w:rFonts w:ascii="Segoe UI" w:cs="Segoe UI" w:eastAsia="Segoe UI" w:hAnsi="Segoe UI"/>
                <w:b w:val="false"/>
                <w:bCs w:val="false"/>
                <w:i w:val="false"/>
                <w:iCs w:val="false"/>
                <w:caps w:val="false"/>
                <w:color w:val="FFFFFF"/>
                <w:sz w:val="18"/>
                <w:szCs w:val="18"/>
              </w:rPr>
              <w:t xml:space="preserve">Soft Services Technologiques (SST) — Pôle Santé Numérique</w:t>
            </w:r>
          </w:p>
          <w:p>
            <w:r>
              <w:rPr>
                <w:rFonts w:ascii="Segoe UI" w:cs="Segoe UI" w:eastAsia="Segoe UI" w:hAnsi="Segoe UI"/>
                <w:b/>
                <w:bCs/>
                <w:i w:val="false"/>
                <w:iCs w:val="false"/>
                <w:caps w:val="false"/>
                <w:color w:val="BFD6F2"/>
                <w:sz w:val="18"/>
                <w:szCs w:val="18"/>
              </w:rPr>
              <w:t xml:space="preserve">Contact : </w:t>
            </w:r>
            <w:r>
              <w:rPr>
                <w:rFonts w:ascii="Segoe UI" w:cs="Segoe UI" w:eastAsia="Segoe UI" w:hAnsi="Segoe UI"/>
                <w:b w:val="false"/>
                <w:bCs w:val="false"/>
                <w:i w:val="false"/>
                <w:iCs w:val="false"/>
                <w:caps w:val="false"/>
                <w:color w:val="FFFFFF"/>
                <w:sz w:val="18"/>
                <w:szCs w:val="18"/>
              </w:rPr>
              <w:t xml:space="preserve">sst@sst.best  |  mbndiaye@sst.best  ·  www.sst.best</w:t>
            </w:r>
          </w:p>
        </w:tc>
      </w:tr>
    </w:tbl>
    <w:p>
      <w:r>
        <w:br w:type="page"/>
      </w:r>
    </w:p>
    <w:tbl>
      <w:tblPr>
        <w:tblW w:type="dxa" w:w="9746"/>
        <w:tblBorders>
          <w:top w:val="none" w:color="FFFFFF" w:sz="0"/>
          <w:left w:val="single" w:color="1D6FE3" w:sz="26"/>
          <w:bottom w:val="none" w:color="FFFFFF" w:sz="0"/>
          <w:right w:val="none" w:color="FFFFFF" w:sz="0"/>
          <w:insideH w:val="none" w:color="FFFFFF" w:sz="0"/>
          <w:insideV w:val="none" w:color="FFFFFF" w:sz="0"/>
        </w:tblBorders>
        <w:tblLayout w:type="fixed"/>
      </w:tblPr>
      <w:tblGrid>
        <w:gridCol w:w="9746"/>
      </w:tblGrid>
      <w:tr>
        <w:tc>
          <w:tcPr>
            <w:tcW w:type="dxa" w:w="9746"/>
            <w:shd w:fill="042F52" w:color="auto" w:val="clear"/>
            <w:tcMar>
              <w:top w:type="dxa" w:w="150"/>
              <w:left w:type="dxa" w:w="230"/>
              <w:bottom w:type="dxa" w:w="150"/>
              <w:right w:type="dxa" w:w="200"/>
            </w:tcMar>
          </w:tcPr>
          <w:p>
            <w:pPr>
              <w:spacing w:after="20"/>
            </w:pPr>
            <w:r>
              <w:rPr>
                <w:rFonts w:ascii="Segoe UI" w:cs="Segoe UI" w:eastAsia="Segoe UI" w:hAnsi="Segoe UI"/>
                <w:b/>
                <w:bCs/>
                <w:i w:val="false"/>
                <w:iCs w:val="false"/>
                <w:caps/>
                <w:color w:val="9FC2EE"/>
                <w:spacing w:val="40"/>
                <w:sz w:val="15"/>
                <w:szCs w:val="15"/>
              </w:rPr>
              <w:t xml:space="preserve">Section 01</w:t>
            </w:r>
          </w:p>
          <w:p>
            <w:r>
              <w:rPr>
                <w:rFonts w:ascii="Segoe UI Semibold" w:cs="Segoe UI Semibold" w:eastAsia="Segoe UI Semibold" w:hAnsi="Segoe UI Semibold"/>
                <w:b/>
                <w:bCs/>
                <w:i w:val="false"/>
                <w:iCs w:val="false"/>
                <w:caps w:val="false"/>
                <w:color w:val="FFFFFF"/>
                <w:sz w:val="27"/>
                <w:szCs w:val="27"/>
              </w:rPr>
              <w:t xml:space="preserve">1.  Résumé exécutif &amp; vision stratégique</w:t>
            </w:r>
          </w:p>
        </w:tc>
      </w:tr>
    </w:tbl>
    <w:p>
      <w:pPr>
        <w:spacing w:after="100" w:line="276"/>
      </w:pPr>
      <w:r>
        <w:rPr>
          <w:rFonts w:ascii="Segoe UI" w:cs="Segoe UI" w:eastAsia="Segoe UI" w:hAnsi="Segoe UI"/>
          <w:b w:val="false"/>
          <w:bCs w:val="false"/>
          <w:i w:val="false"/>
          <w:iCs w:val="false"/>
          <w:caps w:val="false"/>
          <w:color w:val="1E2A38"/>
          <w:sz w:val="21"/>
          <w:szCs w:val="21"/>
        </w:rPr>
        <w:t xml:space="preserve">Dans un environnement médical où la rapidité, la traçabilité médico-légale et la rigueur financière sont devenues primordiales, les établissements de santé font face à des défis majeurs :</w:t>
      </w:r>
    </w:p>
    <w:p>
      <w:pPr>
        <w:pStyle w:val="ListParagraph"/>
        <w:numPr>
          <w:ilvl w:val="0"/>
          <w:numId w:val="2"/>
        </w:numPr>
        <w:spacing w:after="70" w:line="270"/>
      </w:pPr>
      <w:r>
        <w:rPr>
          <w:rFonts w:ascii="Segoe UI" w:cs="Segoe UI" w:eastAsia="Segoe UI" w:hAnsi="Segoe UI"/>
          <w:b w:val="false"/>
          <w:bCs w:val="false"/>
          <w:i w:val="false"/>
          <w:iCs w:val="false"/>
          <w:caps w:val="false"/>
          <w:color w:val="1E2A38"/>
          <w:sz w:val="21"/>
          <w:szCs w:val="21"/>
        </w:rPr>
        <w:t xml:space="preserve">Pertes ou dispersion des dossiers médicaux papier et des résultats d’analyses de laboratoire.</w:t>
      </w:r>
    </w:p>
    <w:p>
      <w:pPr>
        <w:pStyle w:val="ListParagraph"/>
        <w:numPr>
          <w:ilvl w:val="0"/>
          <w:numId w:val="2"/>
        </w:numPr>
        <w:spacing w:after="70" w:line="270"/>
      </w:pPr>
      <w:r>
        <w:rPr>
          <w:rFonts w:ascii="Segoe UI" w:cs="Segoe UI" w:eastAsia="Segoe UI" w:hAnsi="Segoe UI"/>
          <w:b w:val="false"/>
          <w:bCs w:val="false"/>
          <w:i w:val="false"/>
          <w:iCs w:val="false"/>
          <w:caps w:val="false"/>
          <w:color w:val="1E2A38"/>
          <w:sz w:val="21"/>
          <w:szCs w:val="21"/>
        </w:rPr>
        <w:t xml:space="preserve">Complexité et retards importants dans le recouvrement des factures Tiers-Payant (IPM, assurances, mutuelles).</w:t>
      </w:r>
    </w:p>
    <w:p>
      <w:pPr>
        <w:pStyle w:val="ListParagraph"/>
        <w:numPr>
          <w:ilvl w:val="0"/>
          <w:numId w:val="2"/>
        </w:numPr>
        <w:spacing w:after="70" w:line="270"/>
      </w:pPr>
      <w:r>
        <w:rPr>
          <w:rFonts w:ascii="Segoe UI" w:cs="Segoe UI" w:eastAsia="Segoe UI" w:hAnsi="Segoe UI"/>
          <w:b w:val="false"/>
          <w:bCs w:val="false"/>
          <w:i w:val="false"/>
          <w:iCs w:val="false"/>
          <w:caps w:val="false"/>
          <w:color w:val="1E2A38"/>
          <w:sz w:val="21"/>
          <w:szCs w:val="21"/>
        </w:rPr>
        <w:t xml:space="preserve">Risques croissants de fraude et d’altération des ordonnances et feuilles de soins.</w:t>
      </w:r>
    </w:p>
    <w:p>
      <w:pPr>
        <w:pStyle w:val="ListParagraph"/>
        <w:numPr>
          <w:ilvl w:val="0"/>
          <w:numId w:val="2"/>
        </w:numPr>
        <w:spacing w:after="70" w:line="270"/>
      </w:pPr>
      <w:r>
        <w:rPr>
          <w:rFonts w:ascii="Segoe UI" w:cs="Segoe UI" w:eastAsia="Segoe UI" w:hAnsi="Segoe UI"/>
          <w:b w:val="false"/>
          <w:bCs w:val="false"/>
          <w:i w:val="false"/>
          <w:iCs w:val="false"/>
          <w:caps w:val="false"/>
          <w:color w:val="1E2A38"/>
          <w:sz w:val="21"/>
          <w:szCs w:val="21"/>
        </w:rPr>
        <w:t xml:space="preserve">Surcharge administrative des médecins lors de la saisie des comptes-rendus de consultation.</w:t>
      </w:r>
    </w:p>
    <w:p>
      <w:pPr>
        <w:spacing w:before="120"/>
      </w:pPr>
    </w:p>
    <w:tbl>
      <w:tblPr>
        <w:tblW w:type="dxa" w:w="9746"/>
        <w:tblBorders>
          <w:top w:val="none" w:color="FFFFFF" w:sz="0"/>
          <w:left w:val="single" w:color="1D6FE3" w:sz="24"/>
          <w:bottom w:val="none" w:color="FFFFFF" w:sz="0"/>
          <w:right w:val="none" w:color="FFFFFF" w:sz="0"/>
          <w:insideH w:val="none" w:color="FFFFFF" w:sz="0"/>
          <w:insideV w:val="none" w:color="FFFFFF" w:sz="0"/>
        </w:tblBorders>
        <w:tblLayout w:type="fixed"/>
      </w:tblPr>
      <w:tblGrid>
        <w:gridCol w:w="9746"/>
      </w:tblGrid>
      <w:tr>
        <w:tc>
          <w:tcPr>
            <w:tcW w:type="dxa" w:w="9746"/>
            <w:shd w:fill="EDF3FB" w:color="auto" w:val="clear"/>
            <w:tcMar>
              <w:top w:type="dxa" w:w="120"/>
              <w:left w:type="dxa" w:w="200"/>
              <w:bottom w:type="dxa" w:w="120"/>
              <w:right w:type="dxa" w:w="180"/>
            </w:tcMar>
          </w:tcPr>
          <w:p>
            <w:pPr>
              <w:spacing w:after="40"/>
            </w:pPr>
            <w:r>
              <w:rPr>
                <w:rFonts w:ascii="Segoe UI" w:cs="Segoe UI" w:eastAsia="Segoe UI" w:hAnsi="Segoe UI"/>
                <w:b/>
                <w:bCs/>
                <w:i w:val="false"/>
                <w:iCs w:val="false"/>
                <w:caps w:val="false"/>
                <w:color w:val="155CBF"/>
                <w:sz w:val="20"/>
                <w:szCs w:val="20"/>
              </w:rPr>
              <w:t xml:space="preserve">ℹ️  À savoir</w:t>
            </w:r>
          </w:p>
          <w:p>
            <w:r>
              <w:rPr>
                <w:rFonts w:ascii="Segoe UI" w:cs="Segoe UI" w:eastAsia="Segoe UI" w:hAnsi="Segoe UI"/>
                <w:b w:val="false"/>
                <w:bCs w:val="false"/>
                <w:i w:val="false"/>
                <w:iCs w:val="false"/>
                <w:caps w:val="false"/>
                <w:color w:val="1E2A38"/>
                <w:sz w:val="20"/>
                <w:szCs w:val="20"/>
              </w:rPr>
              <w:t xml:space="preserve">La réponse SoftMed — SoftMed apporte une réponse globale, clé en main et immédiatement opérationnelle. Conçu avec et pour les praticiens, il modernise l’ensemble du parcours patient, décharge le personnel soignant des tâches répétitives et sécurise 100 % des revenus de la clinique.</w:t>
            </w:r>
          </w:p>
        </w:tc>
      </w:tr>
    </w:tbl>
    <w:p>
      <w:r>
        <w:br w:type="page"/>
      </w:r>
    </w:p>
    <w:tbl>
      <w:tblPr>
        <w:tblW w:type="dxa" w:w="9746"/>
        <w:tblBorders>
          <w:top w:val="none" w:color="FFFFFF" w:sz="0"/>
          <w:left w:val="single" w:color="1D6FE3" w:sz="26"/>
          <w:bottom w:val="none" w:color="FFFFFF" w:sz="0"/>
          <w:right w:val="none" w:color="FFFFFF" w:sz="0"/>
          <w:insideH w:val="none" w:color="FFFFFF" w:sz="0"/>
          <w:insideV w:val="none" w:color="FFFFFF" w:sz="0"/>
        </w:tblBorders>
        <w:tblLayout w:type="fixed"/>
      </w:tblPr>
      <w:tblGrid>
        <w:gridCol w:w="9746"/>
      </w:tblGrid>
      <w:tr>
        <w:tc>
          <w:tcPr>
            <w:tcW w:type="dxa" w:w="9746"/>
            <w:shd w:fill="042F52" w:color="auto" w:val="clear"/>
            <w:tcMar>
              <w:top w:type="dxa" w:w="150"/>
              <w:left w:type="dxa" w:w="230"/>
              <w:bottom w:type="dxa" w:w="150"/>
              <w:right w:type="dxa" w:w="200"/>
            </w:tcMar>
          </w:tcPr>
          <w:p>
            <w:pPr>
              <w:spacing w:after="20"/>
            </w:pPr>
            <w:r>
              <w:rPr>
                <w:rFonts w:ascii="Segoe UI" w:cs="Segoe UI" w:eastAsia="Segoe UI" w:hAnsi="Segoe UI"/>
                <w:b/>
                <w:bCs/>
                <w:i w:val="false"/>
                <w:iCs w:val="false"/>
                <w:caps/>
                <w:color w:val="9FC2EE"/>
                <w:spacing w:val="40"/>
                <w:sz w:val="15"/>
                <w:szCs w:val="15"/>
              </w:rPr>
              <w:t xml:space="preserve">Bénéfices métier</w:t>
            </w:r>
          </w:p>
          <w:p>
            <w:r>
              <w:rPr>
                <w:rFonts w:ascii="Segoe UI Semibold" w:cs="Segoe UI Semibold" w:eastAsia="Segoe UI Semibold" w:hAnsi="Segoe UI Semibold"/>
                <w:b/>
                <w:bCs/>
                <w:i w:val="false"/>
                <w:iCs w:val="false"/>
                <w:caps w:val="false"/>
                <w:color w:val="FFFFFF"/>
                <w:sz w:val="27"/>
                <w:szCs w:val="27"/>
              </w:rPr>
              <w:t xml:space="preserve">2.  Ce que SoftMed apporte aux praticiens &amp; soignants</w:t>
            </w:r>
          </w:p>
        </w:tc>
      </w:tr>
    </w:tbl>
    <w:p>
      <w:pPr>
        <w:spacing w:after="10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73"/>
        <w:gridCol w:w="4973"/>
      </w:tblGrid>
      <w:tr>
        <w:trPr>
          <w:cantSplit/>
        </w:trPr>
        <w:tc>
          <w:tcPr>
            <w:tcW w:type="dxa" w:w="4773"/>
            <w:tcBorders>
              <w:top w:val="single" w:color="CBD8E7" w:sz="4"/>
              <w:left w:val="single" w:color="1D6FE3" w:sz="22"/>
              <w:bottom w:val="single" w:color="CBD8E7" w:sz="4"/>
              <w:right w:val="single" w:color="CBD8E7" w:sz="4"/>
            </w:tcBorders>
            <w:shd w:fill="FFFFFF" w:color="auto" w:val="clear"/>
            <w:tcMar>
              <w:top w:type="dxa" w:w="150"/>
              <w:left w:type="dxa" w:w="170"/>
              <w:bottom w:type="dxa" w:w="150"/>
              <w:right w:type="dxa" w:w="150"/>
            </w:tcMar>
          </w:tcPr>
          <w:p>
            <w:pPr>
              <w:spacing w:after="60"/>
            </w:pPr>
            <w:r>
              <w:rPr>
                <w:rFonts w:ascii="Segoe UI Semibold" w:cs="Segoe UI Semibold" w:eastAsia="Segoe UI Semibold" w:hAnsi="Segoe UI Semibold"/>
                <w:b/>
                <w:bCs/>
                <w:i w:val="false"/>
                <w:iCs w:val="false"/>
                <w:caps w:val="false"/>
                <w:color w:val="042F52"/>
                <w:sz w:val="20"/>
                <w:szCs w:val="20"/>
              </w:rPr>
              <w:t xml:space="preserve">🩺  Dossier Patient Informatisé 360°</w:t>
            </w:r>
          </w:p>
          <w:p>
            <w:pPr>
              <w:pBdr>
                <w:top w:val="single" w:color="DCE8F7" w:sz="2"/>
                <w:bottom w:val="single" w:color="DCE8F7" w:sz="2"/>
                <w:left w:val="single" w:color="DCE8F7" w:sz="2"/>
                <w:right w:val="single" w:color="DCE8F7" w:sz="2"/>
              </w:pBdr>
              <w:shd w:fill="EDF3FB" w:color="auto" w:val="clear"/>
              <w:spacing w:after="80"/>
              <w:ind w:left="40"/>
            </w:pPr>
            <w:r>
              <w:rPr>
                <w:rFonts w:ascii="Segoe UI" w:cs="Segoe UI" w:eastAsia="Segoe UI" w:hAnsi="Segoe UI"/>
                <w:b/>
                <w:bCs/>
                <w:i w:val="false"/>
                <w:iCs w:val="false"/>
                <w:caps/>
                <w:color w:val="155CBF"/>
                <w:spacing w:val="20"/>
                <w:sz w:val="15"/>
                <w:szCs w:val="15"/>
              </w:rPr>
              <w:t xml:space="preserve">Gain de temps clinique : +40 %</w:t>
            </w:r>
          </w:p>
          <w:p>
            <w:pPr>
              <w:spacing w:line="258"/>
            </w:pPr>
            <w:r>
              <w:rPr>
                <w:rFonts w:ascii="Segoe UI" w:cs="Segoe UI" w:eastAsia="Segoe UI" w:hAnsi="Segoe UI"/>
                <w:b w:val="false"/>
                <w:bCs w:val="false"/>
                <w:i w:val="false"/>
                <w:iCs w:val="false"/>
                <w:caps w:val="false"/>
                <w:color w:val="1E2A38"/>
                <w:sz w:val="18"/>
                <w:szCs w:val="18"/>
              </w:rPr>
              <w:t xml:space="preserve">Accès instantané à l’historique médical complet en 1 clic : antécédents, allergies médicamenteuses en alerte rouge, constantes vitales (TA, pouls, glycémie, IMC) et chronologie de toutes les consultations.</w:t>
            </w:r>
          </w:p>
        </w:tc>
        <w:tc>
          <w:tcPr>
            <w:tcW w:type="dxa" w:w="4773"/>
            <w:tcBorders>
              <w:top w:val="single" w:color="CBD8E7" w:sz="4"/>
              <w:left w:val="single" w:color="1D6FE3" w:sz="22"/>
              <w:bottom w:val="single" w:color="CBD8E7" w:sz="4"/>
              <w:right w:val="single" w:color="CBD8E7" w:sz="4"/>
            </w:tcBorders>
            <w:shd w:fill="FFFFFF" w:color="auto" w:val="clear"/>
            <w:tcMar>
              <w:top w:type="dxa" w:w="150"/>
              <w:left w:type="dxa" w:w="170"/>
              <w:bottom w:type="dxa" w:w="150"/>
              <w:right w:type="dxa" w:w="150"/>
            </w:tcMar>
          </w:tcPr>
          <w:p>
            <w:pPr>
              <w:spacing w:after="60"/>
            </w:pPr>
            <w:r>
              <w:rPr>
                <w:rFonts w:ascii="Segoe UI Semibold" w:cs="Segoe UI Semibold" w:eastAsia="Segoe UI Semibold" w:hAnsi="Segoe UI Semibold"/>
                <w:b/>
                <w:bCs/>
                <w:i w:val="false"/>
                <w:iCs w:val="false"/>
                <w:caps w:val="false"/>
                <w:color w:val="042F52"/>
                <w:sz w:val="20"/>
                <w:szCs w:val="20"/>
              </w:rPr>
              <w:t xml:space="preserve">🎙️  Dictée vocale intelligente par IA</w:t>
            </w:r>
          </w:p>
          <w:p>
            <w:pPr>
              <w:pBdr>
                <w:top w:val="single" w:color="DCE8F7" w:sz="2"/>
                <w:bottom w:val="single" w:color="DCE8F7" w:sz="2"/>
                <w:left w:val="single" w:color="DCE8F7" w:sz="2"/>
                <w:right w:val="single" w:color="DCE8F7" w:sz="2"/>
              </w:pBdr>
              <w:shd w:fill="EDF3FB" w:color="auto" w:val="clear"/>
              <w:spacing w:after="80"/>
              <w:ind w:left="40"/>
            </w:pPr>
            <w:r>
              <w:rPr>
                <w:rFonts w:ascii="Segoe UI" w:cs="Segoe UI" w:eastAsia="Segoe UI" w:hAnsi="Segoe UI"/>
                <w:b/>
                <w:bCs/>
                <w:i w:val="false"/>
                <w:iCs w:val="false"/>
                <w:caps/>
                <w:color w:val="155CBF"/>
                <w:spacing w:val="20"/>
                <w:sz w:val="15"/>
                <w:szCs w:val="15"/>
              </w:rPr>
              <w:t xml:space="preserve">Saisie ultra-rapide, sans clavier</w:t>
            </w:r>
          </w:p>
          <w:p>
            <w:pPr>
              <w:spacing w:line="258"/>
            </w:pPr>
            <w:r>
              <w:rPr>
                <w:rFonts w:ascii="Segoe UI" w:cs="Segoe UI" w:eastAsia="Segoe UI" w:hAnsi="Segoe UI"/>
                <w:b w:val="false"/>
                <w:bCs w:val="false"/>
                <w:i w:val="false"/>
                <w:iCs w:val="false"/>
                <w:caps w:val="false"/>
                <w:color w:val="1E2A38"/>
                <w:sz w:val="18"/>
                <w:szCs w:val="18"/>
              </w:rPr>
              <w:t xml:space="preserve">Le praticien dicte librement ses observations et diagnostics : le moteur d’IA médicale structure le compte-rendu et pré-remplit l’ordonnance, sans aucune saisie manuelle.</w:t>
            </w:r>
          </w:p>
        </w:tc>
      </w:tr>
      <w:tr>
        <w:tc>
          <w:tcPr>
            <w:tcW w:type="dxa" w:w="4773"/>
            <w:tcBorders>
              <w:top w:val="none" w:color="FFFFFF" w:sz="0"/>
              <w:left w:val="none" w:color="FFFFFF" w:sz="0"/>
              <w:bottom w:val="none" w:color="FFFFFF" w:sz="0"/>
              <w:right w:val="none" w:color="FFFFFF" w:sz="0"/>
            </w:tcBorders>
            <w:tcMar>
              <w:top w:type="dxa" w:w="0"/>
              <w:bottom w:type="dxa" w:w="0"/>
            </w:tcMar>
          </w:tcPr>
          <w:p>
            <w:pPr>
              <w:spacing w:after="0"/>
            </w:pPr>
            <w:r>
              <w:rPr>
                <w:rFonts w:ascii="Segoe UI" w:cs="Segoe UI" w:eastAsia="Segoe UI" w:hAnsi="Segoe UI"/>
                <w:b w:val="false"/>
                <w:bCs w:val="false"/>
                <w:i w:val="false"/>
                <w:iCs w:val="false"/>
                <w:caps w:val="false"/>
                <w:color w:val="1E2A38"/>
                <w:sz w:val="8"/>
                <w:szCs w:val="8"/>
              </w:rPr>
              <w:t xml:space="preserve"/>
            </w:r>
          </w:p>
        </w:tc>
        <w:tc>
          <w:tcPr>
            <w:tcW w:type="dxa" w:w="4773"/>
            <w:tcBorders>
              <w:top w:val="none" w:color="FFFFFF" w:sz="0"/>
              <w:left w:val="none" w:color="FFFFFF" w:sz="0"/>
              <w:bottom w:val="none" w:color="FFFFFF" w:sz="0"/>
              <w:right w:val="none" w:color="FFFFFF" w:sz="0"/>
            </w:tcBorders>
            <w:tcMar>
              <w:top w:type="dxa" w:w="0"/>
              <w:bottom w:type="dxa" w:w="0"/>
            </w:tcMar>
          </w:tcPr>
          <w:p>
            <w:pPr>
              <w:spacing w:after="0"/>
            </w:pPr>
            <w:r>
              <w:rPr>
                <w:rFonts w:ascii="Segoe UI" w:cs="Segoe UI" w:eastAsia="Segoe UI" w:hAnsi="Segoe UI"/>
                <w:b w:val="false"/>
                <w:bCs w:val="false"/>
                <w:i w:val="false"/>
                <w:iCs w:val="false"/>
                <w:caps w:val="false"/>
                <w:color w:val="1E2A38"/>
                <w:sz w:val="8"/>
                <w:szCs w:val="8"/>
              </w:rPr>
              <w:t xml:space="preserve"/>
            </w:r>
          </w:p>
        </w:tc>
      </w:tr>
      <w:tr>
        <w:trPr>
          <w:cantSplit/>
        </w:trPr>
        <w:tc>
          <w:tcPr>
            <w:tcW w:type="dxa" w:w="4773"/>
            <w:tcBorders>
              <w:top w:val="single" w:color="CBD8E7" w:sz="4"/>
              <w:left w:val="single" w:color="1D6FE3" w:sz="22"/>
              <w:bottom w:val="single" w:color="CBD8E7" w:sz="4"/>
              <w:right w:val="single" w:color="CBD8E7" w:sz="4"/>
            </w:tcBorders>
            <w:shd w:fill="FFFFFF" w:color="auto" w:val="clear"/>
            <w:tcMar>
              <w:top w:type="dxa" w:w="150"/>
              <w:left w:type="dxa" w:w="170"/>
              <w:bottom w:type="dxa" w:w="150"/>
              <w:right w:type="dxa" w:w="150"/>
            </w:tcMar>
          </w:tcPr>
          <w:p>
            <w:pPr>
              <w:spacing w:after="60"/>
            </w:pPr>
            <w:r>
              <w:rPr>
                <w:rFonts w:ascii="Segoe UI Semibold" w:cs="Segoe UI Semibold" w:eastAsia="Segoe UI Semibold" w:hAnsi="Segoe UI Semibold"/>
                <w:b/>
                <w:bCs/>
                <w:i w:val="false"/>
                <w:iCs w:val="false"/>
                <w:caps w:val="false"/>
                <w:color w:val="042F52"/>
                <w:sz w:val="20"/>
                <w:szCs w:val="20"/>
              </w:rPr>
              <w:t xml:space="preserve">🔒  Ordonnances sécurisées &amp; anti-fraude</w:t>
            </w:r>
          </w:p>
          <w:p>
            <w:pPr>
              <w:pBdr>
                <w:top w:val="single" w:color="DCE8F7" w:sz="2"/>
                <w:bottom w:val="single" w:color="DCE8F7" w:sz="2"/>
                <w:left w:val="single" w:color="DCE8F7" w:sz="2"/>
                <w:right w:val="single" w:color="DCE8F7" w:sz="2"/>
              </w:pBdr>
              <w:shd w:fill="EDF3FB" w:color="auto" w:val="clear"/>
              <w:spacing w:after="80"/>
              <w:ind w:left="40"/>
            </w:pPr>
            <w:r>
              <w:rPr>
                <w:rFonts w:ascii="Segoe UI" w:cs="Segoe UI" w:eastAsia="Segoe UI" w:hAnsi="Segoe UI"/>
                <w:b/>
                <w:bCs/>
                <w:i w:val="false"/>
                <w:iCs w:val="false"/>
                <w:caps/>
                <w:color w:val="155CBF"/>
                <w:spacing w:val="20"/>
                <w:sz w:val="15"/>
                <w:szCs w:val="15"/>
              </w:rPr>
              <w:t xml:space="preserve">Sécurité médico-légale absolue</w:t>
            </w:r>
          </w:p>
          <w:p>
            <w:pPr>
              <w:spacing w:line="258"/>
            </w:pPr>
            <w:r>
              <w:rPr>
                <w:rFonts w:ascii="Segoe UI" w:cs="Segoe UI" w:eastAsia="Segoe UI" w:hAnsi="Segoe UI"/>
                <w:b w:val="false"/>
                <w:bCs w:val="false"/>
                <w:i w:val="false"/>
                <w:iCs w:val="false"/>
                <w:caps w:val="false"/>
                <w:color w:val="1E2A38"/>
                <w:sz w:val="18"/>
                <w:szCs w:val="18"/>
              </w:rPr>
              <w:t xml:space="preserve">Chaque ordonnance comporte une signature cryptographique et un QR code officiel infalsifiable. Pharmaciens et organismes payeurs vérifient l’authenticité de la prescription instantanément, en ligne.</w:t>
            </w:r>
          </w:p>
        </w:tc>
        <w:tc>
          <w:tcPr>
            <w:tcW w:type="dxa" w:w="4773"/>
            <w:tcBorders>
              <w:top w:val="single" w:color="CBD8E7" w:sz="4"/>
              <w:left w:val="single" w:color="1D6FE3" w:sz="22"/>
              <w:bottom w:val="single" w:color="CBD8E7" w:sz="4"/>
              <w:right w:val="single" w:color="CBD8E7" w:sz="4"/>
            </w:tcBorders>
            <w:shd w:fill="FFFFFF" w:color="auto" w:val="clear"/>
            <w:tcMar>
              <w:top w:type="dxa" w:w="150"/>
              <w:left w:type="dxa" w:w="170"/>
              <w:bottom w:type="dxa" w:w="150"/>
              <w:right w:type="dxa" w:w="150"/>
            </w:tcMar>
          </w:tcPr>
          <w:p>
            <w:pPr>
              <w:spacing w:after="60"/>
            </w:pPr>
            <w:r>
              <w:rPr>
                <w:rFonts w:ascii="Segoe UI Semibold" w:cs="Segoe UI Semibold" w:eastAsia="Segoe UI Semibold" w:hAnsi="Segoe UI Semibold"/>
                <w:b/>
                <w:bCs/>
                <w:i w:val="false"/>
                <w:iCs w:val="false"/>
                <w:caps w:val="false"/>
                <w:color w:val="042F52"/>
                <w:sz w:val="20"/>
                <w:szCs w:val="20"/>
              </w:rPr>
              <w:t xml:space="preserve">📋  Renouvellement &amp; duplication en 1 clic</w:t>
            </w:r>
          </w:p>
          <w:p>
            <w:pPr>
              <w:pBdr>
                <w:top w:val="single" w:color="DCE8F7" w:sz="2"/>
                <w:bottom w:val="single" w:color="DCE8F7" w:sz="2"/>
                <w:left w:val="single" w:color="DCE8F7" w:sz="2"/>
                <w:right w:val="single" w:color="DCE8F7" w:sz="2"/>
              </w:pBdr>
              <w:shd w:fill="EDF3FB" w:color="auto" w:val="clear"/>
              <w:spacing w:after="80"/>
              <w:ind w:left="40"/>
            </w:pPr>
            <w:r>
              <w:rPr>
                <w:rFonts w:ascii="Segoe UI" w:cs="Segoe UI" w:eastAsia="Segoe UI" w:hAnsi="Segoe UI"/>
                <w:b/>
                <w:bCs/>
                <w:i w:val="false"/>
                <w:iCs w:val="false"/>
                <w:caps/>
                <w:color w:val="155CBF"/>
                <w:spacing w:val="20"/>
                <w:sz w:val="15"/>
                <w:szCs w:val="15"/>
              </w:rPr>
              <w:t xml:space="preserve">Fluidité pour les patients chroniques</w:t>
            </w:r>
          </w:p>
          <w:p>
            <w:pPr>
              <w:spacing w:line="258"/>
            </w:pPr>
            <w:r>
              <w:rPr>
                <w:rFonts w:ascii="Segoe UI" w:cs="Segoe UI" w:eastAsia="Segoe UI" w:hAnsi="Segoe UI"/>
                <w:b w:val="false"/>
                <w:bCs w:val="false"/>
                <w:i w:val="false"/>
                <w:iCs w:val="false"/>
                <w:caps w:val="false"/>
                <w:color w:val="1E2A38"/>
                <w:sz w:val="18"/>
                <w:szCs w:val="18"/>
              </w:rPr>
              <w:t xml:space="preserve">Pour les traitements chroniques (HTA, diabète…), le médecin recharge la prescription précédente en un clic, ajuste les posologies si besoin et réimprime immédiatement.</w:t>
            </w:r>
          </w:p>
        </w:tc>
      </w:tr>
      <w:tr>
        <w:tc>
          <w:tcPr>
            <w:tcW w:type="dxa" w:w="4773"/>
            <w:tcBorders>
              <w:top w:val="none" w:color="FFFFFF" w:sz="0"/>
              <w:left w:val="none" w:color="FFFFFF" w:sz="0"/>
              <w:bottom w:val="none" w:color="FFFFFF" w:sz="0"/>
              <w:right w:val="none" w:color="FFFFFF" w:sz="0"/>
            </w:tcBorders>
            <w:tcMar>
              <w:top w:type="dxa" w:w="0"/>
              <w:bottom w:type="dxa" w:w="0"/>
            </w:tcMar>
          </w:tcPr>
          <w:p>
            <w:pPr>
              <w:spacing w:after="0"/>
            </w:pPr>
            <w:r>
              <w:rPr>
                <w:rFonts w:ascii="Segoe UI" w:cs="Segoe UI" w:eastAsia="Segoe UI" w:hAnsi="Segoe UI"/>
                <w:b w:val="false"/>
                <w:bCs w:val="false"/>
                <w:i w:val="false"/>
                <w:iCs w:val="false"/>
                <w:caps w:val="false"/>
                <w:color w:val="1E2A38"/>
                <w:sz w:val="8"/>
                <w:szCs w:val="8"/>
              </w:rPr>
              <w:t xml:space="preserve"/>
            </w:r>
          </w:p>
        </w:tc>
        <w:tc>
          <w:tcPr>
            <w:tcW w:type="dxa" w:w="4773"/>
            <w:tcBorders>
              <w:top w:val="none" w:color="FFFFFF" w:sz="0"/>
              <w:left w:val="none" w:color="FFFFFF" w:sz="0"/>
              <w:bottom w:val="none" w:color="FFFFFF" w:sz="0"/>
              <w:right w:val="none" w:color="FFFFFF" w:sz="0"/>
            </w:tcBorders>
            <w:tcMar>
              <w:top w:type="dxa" w:w="0"/>
              <w:bottom w:type="dxa" w:w="0"/>
            </w:tcMar>
          </w:tcPr>
          <w:p>
            <w:pPr>
              <w:spacing w:after="0"/>
            </w:pPr>
            <w:r>
              <w:rPr>
                <w:rFonts w:ascii="Segoe UI" w:cs="Segoe UI" w:eastAsia="Segoe UI" w:hAnsi="Segoe UI"/>
                <w:b w:val="false"/>
                <w:bCs w:val="false"/>
                <w:i w:val="false"/>
                <w:iCs w:val="false"/>
                <w:caps w:val="false"/>
                <w:color w:val="1E2A38"/>
                <w:sz w:val="8"/>
                <w:szCs w:val="8"/>
              </w:rPr>
              <w:t xml:space="preserve"/>
            </w:r>
          </w:p>
        </w:tc>
      </w:tr>
      <w:tr>
        <w:trPr>
          <w:cantSplit/>
        </w:trPr>
        <w:tc>
          <w:tcPr>
            <w:tcW w:type="dxa" w:w="4773"/>
            <w:tcBorders>
              <w:top w:val="single" w:color="CBD8E7" w:sz="4"/>
              <w:left w:val="single" w:color="1D6FE3" w:sz="22"/>
              <w:bottom w:val="single" w:color="CBD8E7" w:sz="4"/>
              <w:right w:val="single" w:color="CBD8E7" w:sz="4"/>
            </w:tcBorders>
            <w:shd w:fill="FFFFFF" w:color="auto" w:val="clear"/>
            <w:tcMar>
              <w:top w:type="dxa" w:w="150"/>
              <w:left w:type="dxa" w:w="170"/>
              <w:bottom w:type="dxa" w:w="150"/>
              <w:right w:type="dxa" w:w="150"/>
            </w:tcMar>
          </w:tcPr>
          <w:p>
            <w:pPr>
              <w:spacing w:after="60"/>
            </w:pPr>
            <w:r>
              <w:rPr>
                <w:rFonts w:ascii="Segoe UI Semibold" w:cs="Segoe UI Semibold" w:eastAsia="Segoe UI Semibold" w:hAnsi="Segoe UI Semibold"/>
                <w:b/>
                <w:bCs/>
                <w:i w:val="false"/>
                <w:iCs w:val="false"/>
                <w:caps w:val="false"/>
                <w:color w:val="042F52"/>
                <w:sz w:val="20"/>
                <w:szCs w:val="20"/>
              </w:rPr>
              <w:t xml:space="preserve">📂  Zéro perte d’analyses &amp; imagerie</w:t>
            </w:r>
          </w:p>
          <w:p>
            <w:pPr>
              <w:pBdr>
                <w:top w:val="single" w:color="DCE8F7" w:sz="2"/>
                <w:bottom w:val="single" w:color="DCE8F7" w:sz="2"/>
                <w:left w:val="single" w:color="DCE8F7" w:sz="2"/>
                <w:right w:val="single" w:color="DCE8F7" w:sz="2"/>
              </w:pBdr>
              <w:shd w:fill="EDF3FB" w:color="auto" w:val="clear"/>
              <w:spacing w:after="80"/>
              <w:ind w:left="40"/>
            </w:pPr>
            <w:r>
              <w:rPr>
                <w:rFonts w:ascii="Segoe UI" w:cs="Segoe UI" w:eastAsia="Segoe UI" w:hAnsi="Segoe UI"/>
                <w:b/>
                <w:bCs/>
                <w:i w:val="false"/>
                <w:iCs w:val="false"/>
                <w:caps/>
                <w:color w:val="155CBF"/>
                <w:spacing w:val="20"/>
                <w:sz w:val="15"/>
                <w:szCs w:val="15"/>
              </w:rPr>
              <w:t xml:space="preserve">Archivage à vie des bilans</w:t>
            </w:r>
          </w:p>
          <w:p>
            <w:pPr>
              <w:spacing w:line="258"/>
            </w:pPr>
            <w:r>
              <w:rPr>
                <w:rFonts w:ascii="Segoe UI" w:cs="Segoe UI" w:eastAsia="Segoe UI" w:hAnsi="Segoe UI"/>
                <w:b w:val="false"/>
                <w:bCs w:val="false"/>
                <w:i w:val="false"/>
                <w:iCs w:val="false"/>
                <w:caps w:val="false"/>
                <w:color w:val="1E2A38"/>
                <w:sz w:val="18"/>
                <w:szCs w:val="18"/>
              </w:rPr>
              <w:t xml:space="preserve">Finie la perte des résultats papier : numérisez ou photographiez les bilans et radiographies (jusqu’à 25 Mo). Le praticien consulte les scans en plein écran, directement dans le dossier.</w:t>
            </w:r>
          </w:p>
        </w:tc>
        <w:tc>
          <w:tcPr>
            <w:tcW w:type="dxa" w:w="4773"/>
            <w:tcBorders>
              <w:top w:val="none" w:color="FFFFFF" w:sz="0"/>
              <w:left w:val="none" w:color="FFFFFF" w:sz="0"/>
              <w:bottom w:val="none" w:color="FFFFFF" w:sz="0"/>
              <w:right w:val="none" w:color="FFFFFF" w:sz="0"/>
            </w:tcBorders>
          </w:tcPr>
          <w:p>
            <w:r>
              <w:t xml:space="preserve"/>
            </w:r>
          </w:p>
        </w:tc>
      </w:tr>
      <w:tr>
        <w:tc>
          <w:tcPr>
            <w:tcW w:type="dxa" w:w="4773"/>
            <w:tcBorders>
              <w:top w:val="none" w:color="FFFFFF" w:sz="0"/>
              <w:left w:val="none" w:color="FFFFFF" w:sz="0"/>
              <w:bottom w:val="none" w:color="FFFFFF" w:sz="0"/>
              <w:right w:val="none" w:color="FFFFFF" w:sz="0"/>
            </w:tcBorders>
            <w:tcMar>
              <w:top w:type="dxa" w:w="0"/>
              <w:bottom w:type="dxa" w:w="0"/>
            </w:tcMar>
          </w:tcPr>
          <w:p>
            <w:pPr>
              <w:spacing w:after="0"/>
            </w:pPr>
            <w:r>
              <w:rPr>
                <w:rFonts w:ascii="Segoe UI" w:cs="Segoe UI" w:eastAsia="Segoe UI" w:hAnsi="Segoe UI"/>
                <w:b w:val="false"/>
                <w:bCs w:val="false"/>
                <w:i w:val="false"/>
                <w:iCs w:val="false"/>
                <w:caps w:val="false"/>
                <w:color w:val="1E2A38"/>
                <w:sz w:val="8"/>
                <w:szCs w:val="8"/>
              </w:rPr>
              <w:t xml:space="preserve"/>
            </w:r>
          </w:p>
        </w:tc>
        <w:tc>
          <w:tcPr>
            <w:tcW w:type="dxa" w:w="4773"/>
            <w:tcBorders>
              <w:top w:val="none" w:color="FFFFFF" w:sz="0"/>
              <w:left w:val="none" w:color="FFFFFF" w:sz="0"/>
              <w:bottom w:val="none" w:color="FFFFFF" w:sz="0"/>
              <w:right w:val="none" w:color="FFFFFF" w:sz="0"/>
            </w:tcBorders>
            <w:tcMar>
              <w:top w:type="dxa" w:w="0"/>
              <w:bottom w:type="dxa" w:w="0"/>
            </w:tcMar>
          </w:tcPr>
          <w:p>
            <w:pPr>
              <w:spacing w:after="0"/>
            </w:pPr>
            <w:r>
              <w:rPr>
                <w:rFonts w:ascii="Segoe UI" w:cs="Segoe UI" w:eastAsia="Segoe UI" w:hAnsi="Segoe UI"/>
                <w:b w:val="false"/>
                <w:bCs w:val="false"/>
                <w:i w:val="false"/>
                <w:iCs w:val="false"/>
                <w:caps w:val="false"/>
                <w:color w:val="1E2A38"/>
                <w:sz w:val="8"/>
                <w:szCs w:val="8"/>
              </w:rPr>
              <w:t xml:space="preserve"/>
            </w:r>
          </w:p>
        </w:tc>
      </w:tr>
    </w:tbl>
    <w:p>
      <w:r>
        <w:br w:type="page"/>
      </w:r>
    </w:p>
    <w:tbl>
      <w:tblPr>
        <w:tblW w:type="dxa" w:w="9746"/>
        <w:tblBorders>
          <w:top w:val="none" w:color="FFFFFF" w:sz="0"/>
          <w:left w:val="single" w:color="1D6FE3" w:sz="26"/>
          <w:bottom w:val="none" w:color="FFFFFF" w:sz="0"/>
          <w:right w:val="none" w:color="FFFFFF" w:sz="0"/>
          <w:insideH w:val="none" w:color="FFFFFF" w:sz="0"/>
          <w:insideV w:val="none" w:color="FFFFFF" w:sz="0"/>
        </w:tblBorders>
        <w:tblLayout w:type="fixed"/>
      </w:tblPr>
      <w:tblGrid>
        <w:gridCol w:w="9746"/>
      </w:tblGrid>
      <w:tr>
        <w:tc>
          <w:tcPr>
            <w:tcW w:type="dxa" w:w="9746"/>
            <w:shd w:fill="042F52" w:color="auto" w:val="clear"/>
            <w:tcMar>
              <w:top w:type="dxa" w:w="150"/>
              <w:left w:type="dxa" w:w="230"/>
              <w:bottom w:type="dxa" w:w="150"/>
              <w:right w:type="dxa" w:w="200"/>
            </w:tcMar>
          </w:tcPr>
          <w:p>
            <w:pPr>
              <w:spacing w:after="20"/>
            </w:pPr>
            <w:r>
              <w:rPr>
                <w:rFonts w:ascii="Segoe UI" w:cs="Segoe UI" w:eastAsia="Segoe UI" w:hAnsi="Segoe UI"/>
                <w:b/>
                <w:bCs/>
                <w:i w:val="false"/>
                <w:iCs w:val="false"/>
                <w:caps/>
                <w:color w:val="9FC2EE"/>
                <w:spacing w:val="40"/>
                <w:sz w:val="15"/>
                <w:szCs w:val="15"/>
              </w:rPr>
              <w:t xml:space="preserve">Bénéfices métier</w:t>
            </w:r>
          </w:p>
          <w:p>
            <w:r>
              <w:rPr>
                <w:rFonts w:ascii="Segoe UI Semibold" w:cs="Segoe UI Semibold" w:eastAsia="Segoe UI Semibold" w:hAnsi="Segoe UI Semibold"/>
                <w:b/>
                <w:bCs/>
                <w:i w:val="false"/>
                <w:iCs w:val="false"/>
                <w:caps w:val="false"/>
                <w:color w:val="FFFFFF"/>
                <w:sz w:val="27"/>
                <w:szCs w:val="27"/>
              </w:rPr>
              <w:t xml:space="preserve">3.  Ce que SoftMed apporte à la direction financière &amp; à la caisse</w:t>
            </w:r>
          </w:p>
        </w:tc>
      </w:tr>
    </w:tbl>
    <w:p>
      <w:pPr>
        <w:spacing w:after="10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73"/>
        <w:gridCol w:w="4973"/>
      </w:tblGrid>
      <w:tr>
        <w:trPr>
          <w:cantSplit/>
        </w:trPr>
        <w:tc>
          <w:tcPr>
            <w:tcW w:type="dxa" w:w="4773"/>
            <w:tcBorders>
              <w:top w:val="single" w:color="CBD8E7" w:sz="4"/>
              <w:left w:val="single" w:color="1D6FE3" w:sz="22"/>
              <w:bottom w:val="single" w:color="CBD8E7" w:sz="4"/>
              <w:right w:val="single" w:color="CBD8E7" w:sz="4"/>
            </w:tcBorders>
            <w:shd w:fill="FFFFFF" w:color="auto" w:val="clear"/>
            <w:tcMar>
              <w:top w:type="dxa" w:w="150"/>
              <w:left w:type="dxa" w:w="170"/>
              <w:bottom w:type="dxa" w:w="150"/>
              <w:right w:type="dxa" w:w="150"/>
            </w:tcMar>
          </w:tcPr>
          <w:p>
            <w:pPr>
              <w:spacing w:after="60"/>
            </w:pPr>
            <w:r>
              <w:rPr>
                <w:rFonts w:ascii="Segoe UI Semibold" w:cs="Segoe UI Semibold" w:eastAsia="Segoe UI Semibold" w:hAnsi="Segoe UI Semibold"/>
                <w:b/>
                <w:bCs/>
                <w:i w:val="false"/>
                <w:iCs w:val="false"/>
                <w:caps w:val="false"/>
                <w:color w:val="042F52"/>
                <w:sz w:val="20"/>
                <w:szCs w:val="20"/>
              </w:rPr>
              <w:t xml:space="preserve">🧾  Facturation Tiers-Payant automatisée</w:t>
            </w:r>
          </w:p>
          <w:p>
            <w:pPr>
              <w:pBdr>
                <w:top w:val="single" w:color="DCE8F7" w:sz="2"/>
                <w:bottom w:val="single" w:color="DCE8F7" w:sz="2"/>
                <w:left w:val="single" w:color="DCE8F7" w:sz="2"/>
                <w:right w:val="single" w:color="DCE8F7" w:sz="2"/>
              </w:pBdr>
              <w:shd w:fill="EDF3FB" w:color="auto" w:val="clear"/>
              <w:spacing w:after="80"/>
              <w:ind w:left="40"/>
            </w:pPr>
            <w:r>
              <w:rPr>
                <w:rFonts w:ascii="Segoe UI" w:cs="Segoe UI" w:eastAsia="Segoe UI" w:hAnsi="Segoe UI"/>
                <w:b/>
                <w:bCs/>
                <w:i w:val="false"/>
                <w:iCs w:val="false"/>
                <w:caps/>
                <w:color w:val="155CBF"/>
                <w:spacing w:val="20"/>
                <w:sz w:val="15"/>
                <w:szCs w:val="15"/>
              </w:rPr>
              <w:t xml:space="preserve">Zéro erreur, zéro rejet</w:t>
            </w:r>
          </w:p>
          <w:p>
            <w:pPr>
              <w:spacing w:line="258"/>
            </w:pPr>
            <w:r>
              <w:rPr>
                <w:rFonts w:ascii="Segoe UI" w:cs="Segoe UI" w:eastAsia="Segoe UI" w:hAnsi="Segoe UI"/>
                <w:b w:val="false"/>
                <w:bCs w:val="false"/>
                <w:i w:val="false"/>
                <w:iCs w:val="false"/>
                <w:caps w:val="false"/>
                <w:color w:val="1E2A38"/>
                <w:sz w:val="18"/>
                <w:szCs w:val="18"/>
              </w:rPr>
              <w:t xml:space="preserve">Détection automatique de l’organisme payeur (IPM SONATEL, AXA, ASKIA…) et calcul instantané de la quote-part : le système ventile avec exactitude la part IPM et le reste à charge patient (ticket modérateur).</w:t>
            </w:r>
          </w:p>
        </w:tc>
        <w:tc>
          <w:tcPr>
            <w:tcW w:type="dxa" w:w="4773"/>
            <w:tcBorders>
              <w:top w:val="single" w:color="CBD8E7" w:sz="4"/>
              <w:left w:val="single" w:color="1D6FE3" w:sz="22"/>
              <w:bottom w:val="single" w:color="CBD8E7" w:sz="4"/>
              <w:right w:val="single" w:color="CBD8E7" w:sz="4"/>
            </w:tcBorders>
            <w:shd w:fill="FFFFFF" w:color="auto" w:val="clear"/>
            <w:tcMar>
              <w:top w:type="dxa" w:w="150"/>
              <w:left w:type="dxa" w:w="170"/>
              <w:bottom w:type="dxa" w:w="150"/>
              <w:right w:type="dxa" w:w="150"/>
            </w:tcMar>
          </w:tcPr>
          <w:p>
            <w:pPr>
              <w:spacing w:after="60"/>
            </w:pPr>
            <w:r>
              <w:rPr>
                <w:rFonts w:ascii="Segoe UI Semibold" w:cs="Segoe UI Semibold" w:eastAsia="Segoe UI Semibold" w:hAnsi="Segoe UI Semibold"/>
                <w:b/>
                <w:bCs/>
                <w:i w:val="false"/>
                <w:iCs w:val="false"/>
                <w:caps w:val="false"/>
                <w:color w:val="042F52"/>
                <w:sz w:val="20"/>
                <w:szCs w:val="20"/>
              </w:rPr>
              <w:t xml:space="preserve">✉️  Télétransmission immédiate des factures</w:t>
            </w:r>
          </w:p>
          <w:p>
            <w:pPr>
              <w:pBdr>
                <w:top w:val="single" w:color="DCE8F7" w:sz="2"/>
                <w:bottom w:val="single" w:color="DCE8F7" w:sz="2"/>
                <w:left w:val="single" w:color="DCE8F7" w:sz="2"/>
                <w:right w:val="single" w:color="DCE8F7" w:sz="2"/>
              </w:pBdr>
              <w:shd w:fill="EDF3FB" w:color="auto" w:val="clear"/>
              <w:spacing w:after="80"/>
              <w:ind w:left="40"/>
            </w:pPr>
            <w:r>
              <w:rPr>
                <w:rFonts w:ascii="Segoe UI" w:cs="Segoe UI" w:eastAsia="Segoe UI" w:hAnsi="Segoe UI"/>
                <w:b/>
                <w:bCs/>
                <w:i w:val="false"/>
                <w:iCs w:val="false"/>
                <w:caps/>
                <w:color w:val="155CBF"/>
                <w:spacing w:val="20"/>
                <w:sz w:val="15"/>
                <w:szCs w:val="15"/>
              </w:rPr>
              <w:t xml:space="preserve">Recouvrement accéléré : × 3</w:t>
            </w:r>
          </w:p>
          <w:p>
            <w:pPr>
              <w:spacing w:line="258"/>
            </w:pPr>
            <w:r>
              <w:rPr>
                <w:rFonts w:ascii="Segoe UI" w:cs="Segoe UI" w:eastAsia="Segoe UI" w:hAnsi="Segoe UI"/>
                <w:b w:val="false"/>
                <w:bCs w:val="false"/>
                <w:i w:val="false"/>
                <w:iCs w:val="false"/>
                <w:caps w:val="false"/>
                <w:color w:val="1E2A38"/>
                <w:sz w:val="18"/>
                <w:szCs w:val="18"/>
              </w:rPr>
              <w:t xml:space="preserve">Envoi électronique en un clic de la facture, des ordonnances, des scans de résultats et des justificatifs à l’IPM et au patient — réduisant le délai de paiement de plusieurs semaines à quelques jours.</w:t>
            </w:r>
          </w:p>
        </w:tc>
      </w:tr>
      <w:tr>
        <w:tc>
          <w:tcPr>
            <w:tcW w:type="dxa" w:w="4773"/>
            <w:tcBorders>
              <w:top w:val="none" w:color="FFFFFF" w:sz="0"/>
              <w:left w:val="none" w:color="FFFFFF" w:sz="0"/>
              <w:bottom w:val="none" w:color="FFFFFF" w:sz="0"/>
              <w:right w:val="none" w:color="FFFFFF" w:sz="0"/>
            </w:tcBorders>
            <w:tcMar>
              <w:top w:type="dxa" w:w="0"/>
              <w:bottom w:type="dxa" w:w="0"/>
            </w:tcMar>
          </w:tcPr>
          <w:p>
            <w:pPr>
              <w:spacing w:after="0"/>
            </w:pPr>
            <w:r>
              <w:rPr>
                <w:rFonts w:ascii="Segoe UI" w:cs="Segoe UI" w:eastAsia="Segoe UI" w:hAnsi="Segoe UI"/>
                <w:b w:val="false"/>
                <w:bCs w:val="false"/>
                <w:i w:val="false"/>
                <w:iCs w:val="false"/>
                <w:caps w:val="false"/>
                <w:color w:val="1E2A38"/>
                <w:sz w:val="8"/>
                <w:szCs w:val="8"/>
              </w:rPr>
              <w:t xml:space="preserve"/>
            </w:r>
          </w:p>
        </w:tc>
        <w:tc>
          <w:tcPr>
            <w:tcW w:type="dxa" w:w="4773"/>
            <w:tcBorders>
              <w:top w:val="none" w:color="FFFFFF" w:sz="0"/>
              <w:left w:val="none" w:color="FFFFFF" w:sz="0"/>
              <w:bottom w:val="none" w:color="FFFFFF" w:sz="0"/>
              <w:right w:val="none" w:color="FFFFFF" w:sz="0"/>
            </w:tcBorders>
            <w:tcMar>
              <w:top w:type="dxa" w:w="0"/>
              <w:bottom w:type="dxa" w:w="0"/>
            </w:tcMar>
          </w:tcPr>
          <w:p>
            <w:pPr>
              <w:spacing w:after="0"/>
            </w:pPr>
            <w:r>
              <w:rPr>
                <w:rFonts w:ascii="Segoe UI" w:cs="Segoe UI" w:eastAsia="Segoe UI" w:hAnsi="Segoe UI"/>
                <w:b w:val="false"/>
                <w:bCs w:val="false"/>
                <w:i w:val="false"/>
                <w:iCs w:val="false"/>
                <w:caps w:val="false"/>
                <w:color w:val="1E2A38"/>
                <w:sz w:val="8"/>
                <w:szCs w:val="8"/>
              </w:rPr>
              <w:t xml:space="preserve"/>
            </w:r>
          </w:p>
        </w:tc>
      </w:tr>
      <w:tr>
        <w:trPr>
          <w:cantSplit/>
        </w:trPr>
        <w:tc>
          <w:tcPr>
            <w:tcW w:type="dxa" w:w="4773"/>
            <w:tcBorders>
              <w:top w:val="single" w:color="CBD8E7" w:sz="4"/>
              <w:left w:val="single" w:color="1D6FE3" w:sz="22"/>
              <w:bottom w:val="single" w:color="CBD8E7" w:sz="4"/>
              <w:right w:val="single" w:color="CBD8E7" w:sz="4"/>
            </w:tcBorders>
            <w:shd w:fill="FFFFFF" w:color="auto" w:val="clear"/>
            <w:tcMar>
              <w:top w:type="dxa" w:w="150"/>
              <w:left w:type="dxa" w:w="170"/>
              <w:bottom w:type="dxa" w:w="150"/>
              <w:right w:type="dxa" w:w="150"/>
            </w:tcMar>
          </w:tcPr>
          <w:p>
            <w:pPr>
              <w:spacing w:after="60"/>
            </w:pPr>
            <w:r>
              <w:rPr>
                <w:rFonts w:ascii="Segoe UI Semibold" w:cs="Segoe UI Semibold" w:eastAsia="Segoe UI Semibold" w:hAnsi="Segoe UI Semibold"/>
                <w:b/>
                <w:bCs/>
                <w:i w:val="false"/>
                <w:iCs w:val="false"/>
                <w:caps w:val="false"/>
                <w:color w:val="042F52"/>
                <w:sz w:val="20"/>
                <w:szCs w:val="20"/>
              </w:rPr>
              <w:t xml:space="preserve">📧  Vos propres serveurs SMTP officiels</w:t>
            </w:r>
          </w:p>
          <w:p>
            <w:pPr>
              <w:pBdr>
                <w:top w:val="single" w:color="DCE8F7" w:sz="2"/>
                <w:bottom w:val="single" w:color="DCE8F7" w:sz="2"/>
                <w:left w:val="single" w:color="DCE8F7" w:sz="2"/>
                <w:right w:val="single" w:color="DCE8F7" w:sz="2"/>
              </w:pBdr>
              <w:shd w:fill="EDF3FB" w:color="auto" w:val="clear"/>
              <w:spacing w:after="80"/>
              <w:ind w:left="40"/>
            </w:pPr>
            <w:r>
              <w:rPr>
                <w:rFonts w:ascii="Segoe UI" w:cs="Segoe UI" w:eastAsia="Segoe UI" w:hAnsi="Segoe UI"/>
                <w:b/>
                <w:bCs/>
                <w:i w:val="false"/>
                <w:iCs w:val="false"/>
                <w:caps/>
                <w:color w:val="155CBF"/>
                <w:spacing w:val="20"/>
                <w:sz w:val="15"/>
                <w:szCs w:val="15"/>
              </w:rPr>
              <w:t xml:space="preserve">Image de marque &amp; confiance</w:t>
            </w:r>
          </w:p>
          <w:p>
            <w:pPr>
              <w:spacing w:line="258"/>
            </w:pPr>
            <w:r>
              <w:rPr>
                <w:rFonts w:ascii="Segoe UI" w:cs="Segoe UI" w:eastAsia="Segoe UI" w:hAnsi="Segoe UI"/>
                <w:b w:val="false"/>
                <w:bCs w:val="false"/>
                <w:i w:val="false"/>
                <w:iCs w:val="false"/>
                <w:caps w:val="false"/>
                <w:color w:val="1E2A38"/>
                <w:sz w:val="18"/>
                <w:szCs w:val="18"/>
              </w:rPr>
              <w:t xml:space="preserve">Chaque clinique configure ses comptes de messagerie (ex. : facturation@clinique-espoir.sn) avec signature officielle et cachet horodaté, pour une crédibilité maximale auprès des assureurs.</w:t>
            </w:r>
          </w:p>
        </w:tc>
        <w:tc>
          <w:tcPr>
            <w:tcW w:type="dxa" w:w="4773"/>
            <w:tcBorders>
              <w:top w:val="single" w:color="CBD8E7" w:sz="4"/>
              <w:left w:val="single" w:color="1D6FE3" w:sz="22"/>
              <w:bottom w:val="single" w:color="CBD8E7" w:sz="4"/>
              <w:right w:val="single" w:color="CBD8E7" w:sz="4"/>
            </w:tcBorders>
            <w:shd w:fill="FFFFFF" w:color="auto" w:val="clear"/>
            <w:tcMar>
              <w:top w:type="dxa" w:w="150"/>
              <w:left w:type="dxa" w:w="170"/>
              <w:bottom w:type="dxa" w:w="150"/>
              <w:right w:type="dxa" w:w="150"/>
            </w:tcMar>
          </w:tcPr>
          <w:p>
            <w:pPr>
              <w:spacing w:after="60"/>
            </w:pPr>
            <w:r>
              <w:rPr>
                <w:rFonts w:ascii="Segoe UI Semibold" w:cs="Segoe UI Semibold" w:eastAsia="Segoe UI Semibold" w:hAnsi="Segoe UI Semibold"/>
                <w:b/>
                <w:bCs/>
                <w:i w:val="false"/>
                <w:iCs w:val="false"/>
                <w:caps w:val="false"/>
                <w:color w:val="042F52"/>
                <w:sz w:val="20"/>
                <w:szCs w:val="20"/>
              </w:rPr>
              <w:t xml:space="preserve">💳  Paiements Mobile Money natifs</w:t>
            </w:r>
          </w:p>
          <w:p>
            <w:pPr>
              <w:pBdr>
                <w:top w:val="single" w:color="DCE8F7" w:sz="2"/>
                <w:bottom w:val="single" w:color="DCE8F7" w:sz="2"/>
                <w:left w:val="single" w:color="DCE8F7" w:sz="2"/>
                <w:right w:val="single" w:color="DCE8F7" w:sz="2"/>
              </w:pBdr>
              <w:shd w:fill="EDF3FB" w:color="auto" w:val="clear"/>
              <w:spacing w:after="80"/>
              <w:ind w:left="40"/>
            </w:pPr>
            <w:r>
              <w:rPr>
                <w:rFonts w:ascii="Segoe UI" w:cs="Segoe UI" w:eastAsia="Segoe UI" w:hAnsi="Segoe UI"/>
                <w:b/>
                <w:bCs/>
                <w:i w:val="false"/>
                <w:iCs w:val="false"/>
                <w:caps/>
                <w:color w:val="155CBF"/>
                <w:spacing w:val="20"/>
                <w:sz w:val="15"/>
                <w:szCs w:val="15"/>
              </w:rPr>
              <w:t xml:space="preserve">Encaissement moderne &amp; sécurisé</w:t>
            </w:r>
          </w:p>
          <w:p>
            <w:pPr>
              <w:spacing w:line="258"/>
            </w:pPr>
            <w:r>
              <w:rPr>
                <w:rFonts w:ascii="Segoe UI" w:cs="Segoe UI" w:eastAsia="Segoe UI" w:hAnsi="Segoe UI"/>
                <w:b w:val="false"/>
                <w:bCs w:val="false"/>
                <w:i w:val="false"/>
                <w:iCs w:val="false"/>
                <w:caps w:val="false"/>
                <w:color w:val="1E2A38"/>
                <w:sz w:val="18"/>
                <w:szCs w:val="18"/>
              </w:rPr>
              <w:t xml:space="preserve">Prise en charge complète de Wave, Orange Money, espèces, chèques et virements. Reçus avec QR codes de paiement et traçabilité inviolable contre les écarts de caisse.</w:t>
            </w:r>
          </w:p>
        </w:tc>
      </w:tr>
      <w:tr>
        <w:tc>
          <w:tcPr>
            <w:tcW w:type="dxa" w:w="4773"/>
            <w:tcBorders>
              <w:top w:val="none" w:color="FFFFFF" w:sz="0"/>
              <w:left w:val="none" w:color="FFFFFF" w:sz="0"/>
              <w:bottom w:val="none" w:color="FFFFFF" w:sz="0"/>
              <w:right w:val="none" w:color="FFFFFF" w:sz="0"/>
            </w:tcBorders>
            <w:tcMar>
              <w:top w:type="dxa" w:w="0"/>
              <w:bottom w:type="dxa" w:w="0"/>
            </w:tcMar>
          </w:tcPr>
          <w:p>
            <w:pPr>
              <w:spacing w:after="0"/>
            </w:pPr>
            <w:r>
              <w:rPr>
                <w:rFonts w:ascii="Segoe UI" w:cs="Segoe UI" w:eastAsia="Segoe UI" w:hAnsi="Segoe UI"/>
                <w:b w:val="false"/>
                <w:bCs w:val="false"/>
                <w:i w:val="false"/>
                <w:iCs w:val="false"/>
                <w:caps w:val="false"/>
                <w:color w:val="1E2A38"/>
                <w:sz w:val="8"/>
                <w:szCs w:val="8"/>
              </w:rPr>
              <w:t xml:space="preserve"/>
            </w:r>
          </w:p>
        </w:tc>
        <w:tc>
          <w:tcPr>
            <w:tcW w:type="dxa" w:w="4773"/>
            <w:tcBorders>
              <w:top w:val="none" w:color="FFFFFF" w:sz="0"/>
              <w:left w:val="none" w:color="FFFFFF" w:sz="0"/>
              <w:bottom w:val="none" w:color="FFFFFF" w:sz="0"/>
              <w:right w:val="none" w:color="FFFFFF" w:sz="0"/>
            </w:tcBorders>
            <w:tcMar>
              <w:top w:type="dxa" w:w="0"/>
              <w:bottom w:type="dxa" w:w="0"/>
            </w:tcMar>
          </w:tcPr>
          <w:p>
            <w:pPr>
              <w:spacing w:after="0"/>
            </w:pPr>
            <w:r>
              <w:rPr>
                <w:rFonts w:ascii="Segoe UI" w:cs="Segoe UI" w:eastAsia="Segoe UI" w:hAnsi="Segoe UI"/>
                <w:b w:val="false"/>
                <w:bCs w:val="false"/>
                <w:i w:val="false"/>
                <w:iCs w:val="false"/>
                <w:caps w:val="false"/>
                <w:color w:val="1E2A38"/>
                <w:sz w:val="8"/>
                <w:szCs w:val="8"/>
              </w:rPr>
              <w:t xml:space="preserve"/>
            </w:r>
          </w:p>
        </w:tc>
      </w:tr>
    </w:tbl>
    <w:p>
      <w:r>
        <w:br w:type="page"/>
      </w:r>
    </w:p>
    <w:tbl>
      <w:tblPr>
        <w:tblW w:type="dxa" w:w="9746"/>
        <w:tblBorders>
          <w:top w:val="none" w:color="FFFFFF" w:sz="0"/>
          <w:left w:val="single" w:color="1D6FE3" w:sz="26"/>
          <w:bottom w:val="none" w:color="FFFFFF" w:sz="0"/>
          <w:right w:val="none" w:color="FFFFFF" w:sz="0"/>
          <w:insideH w:val="none" w:color="FFFFFF" w:sz="0"/>
          <w:insideV w:val="none" w:color="FFFFFF" w:sz="0"/>
        </w:tblBorders>
        <w:tblLayout w:type="fixed"/>
      </w:tblPr>
      <w:tblGrid>
        <w:gridCol w:w="9746"/>
      </w:tblGrid>
      <w:tr>
        <w:tc>
          <w:tcPr>
            <w:tcW w:type="dxa" w:w="9746"/>
            <w:shd w:fill="042F52" w:color="auto" w:val="clear"/>
            <w:tcMar>
              <w:top w:type="dxa" w:w="150"/>
              <w:left w:type="dxa" w:w="230"/>
              <w:bottom w:type="dxa" w:w="150"/>
              <w:right w:type="dxa" w:w="200"/>
            </w:tcMar>
          </w:tcPr>
          <w:p>
            <w:pPr>
              <w:spacing w:after="20"/>
            </w:pPr>
            <w:r>
              <w:rPr>
                <w:rFonts w:ascii="Segoe UI" w:cs="Segoe UI" w:eastAsia="Segoe UI" w:hAnsi="Segoe UI"/>
                <w:b/>
                <w:bCs/>
                <w:i w:val="false"/>
                <w:iCs w:val="false"/>
                <w:caps/>
                <w:color w:val="9FC2EE"/>
                <w:spacing w:val="40"/>
                <w:sz w:val="15"/>
                <w:szCs w:val="15"/>
              </w:rPr>
              <w:t xml:space="preserve">Bénéfices métier</w:t>
            </w:r>
          </w:p>
          <w:p>
            <w:r>
              <w:rPr>
                <w:rFonts w:ascii="Segoe UI Semibold" w:cs="Segoe UI Semibold" w:eastAsia="Segoe UI Semibold" w:hAnsi="Segoe UI Semibold"/>
                <w:b/>
                <w:bCs/>
                <w:i w:val="false"/>
                <w:iCs w:val="false"/>
                <w:caps w:val="false"/>
                <w:color w:val="FFFFFF"/>
                <w:sz w:val="27"/>
                <w:szCs w:val="27"/>
              </w:rPr>
              <w:t xml:space="preserve">4.  Ce que SoftMed apporte à la gestion &amp; à la logistique</w:t>
            </w:r>
          </w:p>
        </w:tc>
      </w:tr>
    </w:tbl>
    <w:p>
      <w:pPr>
        <w:spacing w:after="10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73"/>
        <w:gridCol w:w="4973"/>
      </w:tblGrid>
      <w:tr>
        <w:trPr>
          <w:cantSplit/>
        </w:trPr>
        <w:tc>
          <w:tcPr>
            <w:tcW w:type="dxa" w:w="4773"/>
            <w:tcBorders>
              <w:top w:val="single" w:color="CBD8E7" w:sz="4"/>
              <w:left w:val="single" w:color="1D6FE3" w:sz="22"/>
              <w:bottom w:val="single" w:color="CBD8E7" w:sz="4"/>
              <w:right w:val="single" w:color="CBD8E7" w:sz="4"/>
            </w:tcBorders>
            <w:shd w:fill="FFFFFF" w:color="auto" w:val="clear"/>
            <w:tcMar>
              <w:top w:type="dxa" w:w="150"/>
              <w:left w:type="dxa" w:w="170"/>
              <w:bottom w:type="dxa" w:w="150"/>
              <w:right w:type="dxa" w:w="150"/>
            </w:tcMar>
          </w:tcPr>
          <w:p>
            <w:pPr>
              <w:spacing w:after="60"/>
            </w:pPr>
            <w:r>
              <w:rPr>
                <w:rFonts w:ascii="Segoe UI Semibold" w:cs="Segoe UI Semibold" w:eastAsia="Segoe UI Semibold" w:hAnsi="Segoe UI Semibold"/>
                <w:b/>
                <w:bCs/>
                <w:i w:val="false"/>
                <w:iCs w:val="false"/>
                <w:caps w:val="false"/>
                <w:color w:val="042F52"/>
                <w:sz w:val="20"/>
                <w:szCs w:val="20"/>
              </w:rPr>
              <w:t xml:space="preserve">🛏️  Gestion des lits en temps réel</w:t>
            </w:r>
          </w:p>
          <w:p>
            <w:pPr>
              <w:pBdr>
                <w:top w:val="single" w:color="DCE8F7" w:sz="2"/>
                <w:bottom w:val="single" w:color="DCE8F7" w:sz="2"/>
                <w:left w:val="single" w:color="DCE8F7" w:sz="2"/>
                <w:right w:val="single" w:color="DCE8F7" w:sz="2"/>
              </w:pBdr>
              <w:shd w:fill="EDF3FB" w:color="auto" w:val="clear"/>
              <w:spacing w:after="80"/>
              <w:ind w:left="40"/>
            </w:pPr>
            <w:r>
              <w:rPr>
                <w:rFonts w:ascii="Segoe UI" w:cs="Segoe UI" w:eastAsia="Segoe UI" w:hAnsi="Segoe UI"/>
                <w:b/>
                <w:bCs/>
                <w:i w:val="false"/>
                <w:iCs w:val="false"/>
                <w:caps/>
                <w:color w:val="155CBF"/>
                <w:spacing w:val="20"/>
                <w:sz w:val="15"/>
                <w:szCs w:val="15"/>
              </w:rPr>
              <w:t xml:space="preserve">Optimisation du taux de remplissage</w:t>
            </w:r>
          </w:p>
          <w:p>
            <w:pPr>
              <w:spacing w:line="258"/>
            </w:pPr>
            <w:r>
              <w:rPr>
                <w:rFonts w:ascii="Segoe UI" w:cs="Segoe UI" w:eastAsia="Segoe UI" w:hAnsi="Segoe UI"/>
                <w:b w:val="false"/>
                <w:bCs w:val="false"/>
                <w:i w:val="false"/>
                <w:iCs w:val="false"/>
                <w:caps w:val="false"/>
                <w:color w:val="1E2A38"/>
                <w:sz w:val="18"/>
                <w:szCs w:val="18"/>
              </w:rPr>
              <w:t xml:space="preserve">Cartographie visuelle des bâtiments, chambres et lits avec code couleur dynamique (libre / occupé / en entretien) ; gestion fluide des admissions, transferts et décharges.</w:t>
            </w:r>
          </w:p>
        </w:tc>
        <w:tc>
          <w:tcPr>
            <w:tcW w:type="dxa" w:w="4773"/>
            <w:tcBorders>
              <w:top w:val="single" w:color="CBD8E7" w:sz="4"/>
              <w:left w:val="single" w:color="1D6FE3" w:sz="22"/>
              <w:bottom w:val="single" w:color="CBD8E7" w:sz="4"/>
              <w:right w:val="single" w:color="CBD8E7" w:sz="4"/>
            </w:tcBorders>
            <w:shd w:fill="FFFFFF" w:color="auto" w:val="clear"/>
            <w:tcMar>
              <w:top w:type="dxa" w:w="150"/>
              <w:left w:type="dxa" w:w="170"/>
              <w:bottom w:type="dxa" w:w="150"/>
              <w:right w:type="dxa" w:w="150"/>
            </w:tcMar>
          </w:tcPr>
          <w:p>
            <w:pPr>
              <w:spacing w:after="60"/>
            </w:pPr>
            <w:r>
              <w:rPr>
                <w:rFonts w:ascii="Segoe UI Semibold" w:cs="Segoe UI Semibold" w:eastAsia="Segoe UI Semibold" w:hAnsi="Segoe UI Semibold"/>
                <w:b/>
                <w:bCs/>
                <w:i w:val="false"/>
                <w:iCs w:val="false"/>
                <w:caps w:val="false"/>
                <w:color w:val="042F52"/>
                <w:sz w:val="20"/>
                <w:szCs w:val="20"/>
              </w:rPr>
              <w:t xml:space="preserve">📦  Pharmacie &amp; traçabilité des lots</w:t>
            </w:r>
          </w:p>
          <w:p>
            <w:pPr>
              <w:pBdr>
                <w:top w:val="single" w:color="DCE8F7" w:sz="2"/>
                <w:bottom w:val="single" w:color="DCE8F7" w:sz="2"/>
                <w:left w:val="single" w:color="DCE8F7" w:sz="2"/>
                <w:right w:val="single" w:color="DCE8F7" w:sz="2"/>
              </w:pBdr>
              <w:shd w:fill="EDF3FB" w:color="auto" w:val="clear"/>
              <w:spacing w:after="80"/>
              <w:ind w:left="40"/>
            </w:pPr>
            <w:r>
              <w:rPr>
                <w:rFonts w:ascii="Segoe UI" w:cs="Segoe UI" w:eastAsia="Segoe UI" w:hAnsi="Segoe UI"/>
                <w:b/>
                <w:bCs/>
                <w:i w:val="false"/>
                <w:iCs w:val="false"/>
                <w:caps/>
                <w:color w:val="155CBF"/>
                <w:spacing w:val="20"/>
                <w:sz w:val="15"/>
                <w:szCs w:val="15"/>
              </w:rPr>
              <w:t xml:space="preserve">Zéro rupture, zéro produit périmé</w:t>
            </w:r>
          </w:p>
          <w:p>
            <w:pPr>
              <w:spacing w:line="258"/>
            </w:pPr>
            <w:r>
              <w:rPr>
                <w:rFonts w:ascii="Segoe UI" w:cs="Segoe UI" w:eastAsia="Segoe UI" w:hAnsi="Segoe UI"/>
                <w:b w:val="false"/>
                <w:bCs w:val="false"/>
                <w:i w:val="false"/>
                <w:iCs w:val="false"/>
                <w:caps w:val="false"/>
                <w:color w:val="1E2A38"/>
                <w:sz w:val="18"/>
                <w:szCs w:val="18"/>
              </w:rPr>
              <w:t xml:space="preserve">Gestion des entrées de stock, suivi des numéros de lots et des dates d’expiration, alertes automatiques de seuil critique et décompte automatique lors des soins.</w:t>
            </w:r>
          </w:p>
        </w:tc>
      </w:tr>
      <w:tr>
        <w:tc>
          <w:tcPr>
            <w:tcW w:type="dxa" w:w="4773"/>
            <w:tcBorders>
              <w:top w:val="none" w:color="FFFFFF" w:sz="0"/>
              <w:left w:val="none" w:color="FFFFFF" w:sz="0"/>
              <w:bottom w:val="none" w:color="FFFFFF" w:sz="0"/>
              <w:right w:val="none" w:color="FFFFFF" w:sz="0"/>
            </w:tcBorders>
            <w:tcMar>
              <w:top w:type="dxa" w:w="0"/>
              <w:bottom w:type="dxa" w:w="0"/>
            </w:tcMar>
          </w:tcPr>
          <w:p>
            <w:pPr>
              <w:spacing w:after="0"/>
            </w:pPr>
            <w:r>
              <w:rPr>
                <w:rFonts w:ascii="Segoe UI" w:cs="Segoe UI" w:eastAsia="Segoe UI" w:hAnsi="Segoe UI"/>
                <w:b w:val="false"/>
                <w:bCs w:val="false"/>
                <w:i w:val="false"/>
                <w:iCs w:val="false"/>
                <w:caps w:val="false"/>
                <w:color w:val="1E2A38"/>
                <w:sz w:val="8"/>
                <w:szCs w:val="8"/>
              </w:rPr>
              <w:t xml:space="preserve"/>
            </w:r>
          </w:p>
        </w:tc>
        <w:tc>
          <w:tcPr>
            <w:tcW w:type="dxa" w:w="4773"/>
            <w:tcBorders>
              <w:top w:val="none" w:color="FFFFFF" w:sz="0"/>
              <w:left w:val="none" w:color="FFFFFF" w:sz="0"/>
              <w:bottom w:val="none" w:color="FFFFFF" w:sz="0"/>
              <w:right w:val="none" w:color="FFFFFF" w:sz="0"/>
            </w:tcBorders>
            <w:tcMar>
              <w:top w:type="dxa" w:w="0"/>
              <w:bottom w:type="dxa" w:w="0"/>
            </w:tcMar>
          </w:tcPr>
          <w:p>
            <w:pPr>
              <w:spacing w:after="0"/>
            </w:pPr>
            <w:r>
              <w:rPr>
                <w:rFonts w:ascii="Segoe UI" w:cs="Segoe UI" w:eastAsia="Segoe UI" w:hAnsi="Segoe UI"/>
                <w:b w:val="false"/>
                <w:bCs w:val="false"/>
                <w:i w:val="false"/>
                <w:iCs w:val="false"/>
                <w:caps w:val="false"/>
                <w:color w:val="1E2A38"/>
                <w:sz w:val="8"/>
                <w:szCs w:val="8"/>
              </w:rPr>
              <w:t xml:space="preserve"/>
            </w:r>
          </w:p>
        </w:tc>
      </w:tr>
      <w:tr>
        <w:trPr>
          <w:cantSplit/>
        </w:trPr>
        <w:tc>
          <w:tcPr>
            <w:tcW w:type="dxa" w:w="4773"/>
            <w:tcBorders>
              <w:top w:val="single" w:color="CBD8E7" w:sz="4"/>
              <w:left w:val="single" w:color="1D6FE3" w:sz="22"/>
              <w:bottom w:val="single" w:color="CBD8E7" w:sz="4"/>
              <w:right w:val="single" w:color="CBD8E7" w:sz="4"/>
            </w:tcBorders>
            <w:shd w:fill="FFFFFF" w:color="auto" w:val="clear"/>
            <w:tcMar>
              <w:top w:type="dxa" w:w="150"/>
              <w:left w:type="dxa" w:w="170"/>
              <w:bottom w:type="dxa" w:w="150"/>
              <w:right w:type="dxa" w:w="150"/>
            </w:tcMar>
          </w:tcPr>
          <w:p>
            <w:pPr>
              <w:spacing w:after="60"/>
            </w:pPr>
            <w:r>
              <w:rPr>
                <w:rFonts w:ascii="Segoe UI Semibold" w:cs="Segoe UI Semibold" w:eastAsia="Segoe UI Semibold" w:hAnsi="Segoe UI Semibold"/>
                <w:b/>
                <w:bCs/>
                <w:i w:val="false"/>
                <w:iCs w:val="false"/>
                <w:caps w:val="false"/>
                <w:color w:val="042F52"/>
                <w:sz w:val="20"/>
                <w:szCs w:val="20"/>
              </w:rPr>
              <w:t xml:space="preserve">🔐  Matrice fine des droits d’accès (RBAC)</w:t>
            </w:r>
          </w:p>
          <w:p>
            <w:pPr>
              <w:pBdr>
                <w:top w:val="single" w:color="DCE8F7" w:sz="2"/>
                <w:bottom w:val="single" w:color="DCE8F7" w:sz="2"/>
                <w:left w:val="single" w:color="DCE8F7" w:sz="2"/>
                <w:right w:val="single" w:color="DCE8F7" w:sz="2"/>
              </w:pBdr>
              <w:shd w:fill="EDF3FB" w:color="auto" w:val="clear"/>
              <w:spacing w:after="80"/>
              <w:ind w:left="40"/>
            </w:pPr>
            <w:r>
              <w:rPr>
                <w:rFonts w:ascii="Segoe UI" w:cs="Segoe UI" w:eastAsia="Segoe UI" w:hAnsi="Segoe UI"/>
                <w:b/>
                <w:bCs/>
                <w:i w:val="false"/>
                <w:iCs w:val="false"/>
                <w:caps/>
                <w:color w:val="155CBF"/>
                <w:spacing w:val="20"/>
                <w:sz w:val="15"/>
                <w:szCs w:val="15"/>
              </w:rPr>
              <w:t xml:space="preserve">Protection &amp; confidentialité</w:t>
            </w:r>
          </w:p>
          <w:p>
            <w:pPr>
              <w:spacing w:line="258"/>
            </w:pPr>
            <w:r>
              <w:rPr>
                <w:rFonts w:ascii="Segoe UI" w:cs="Segoe UI" w:eastAsia="Segoe UI" w:hAnsi="Segoe UI"/>
                <w:b w:val="false"/>
                <w:bCs w:val="false"/>
                <w:i w:val="false"/>
                <w:iCs w:val="false"/>
                <w:caps w:val="false"/>
                <w:color w:val="1E2A38"/>
                <w:sz w:val="18"/>
                <w:szCs w:val="18"/>
              </w:rPr>
              <w:t xml:space="preserve">Définition précise des droits, utilisateur par utilisateur (accueil, médecin, caissier, pharmacien, admin), avec contrôle strict des actions : voir, créer, modifier, supprimer.</w:t>
            </w:r>
          </w:p>
        </w:tc>
        <w:tc>
          <w:tcPr>
            <w:tcW w:type="dxa" w:w="4773"/>
            <w:tcBorders>
              <w:top w:val="none" w:color="FFFFFF" w:sz="0"/>
              <w:left w:val="none" w:color="FFFFFF" w:sz="0"/>
              <w:bottom w:val="none" w:color="FFFFFF" w:sz="0"/>
              <w:right w:val="none" w:color="FFFFFF" w:sz="0"/>
            </w:tcBorders>
          </w:tcPr>
          <w:p>
            <w:r>
              <w:t xml:space="preserve"/>
            </w:r>
          </w:p>
        </w:tc>
      </w:tr>
      <w:tr>
        <w:tc>
          <w:tcPr>
            <w:tcW w:type="dxa" w:w="4773"/>
            <w:tcBorders>
              <w:top w:val="none" w:color="FFFFFF" w:sz="0"/>
              <w:left w:val="none" w:color="FFFFFF" w:sz="0"/>
              <w:bottom w:val="none" w:color="FFFFFF" w:sz="0"/>
              <w:right w:val="none" w:color="FFFFFF" w:sz="0"/>
            </w:tcBorders>
            <w:tcMar>
              <w:top w:type="dxa" w:w="0"/>
              <w:bottom w:type="dxa" w:w="0"/>
            </w:tcMar>
          </w:tcPr>
          <w:p>
            <w:pPr>
              <w:spacing w:after="0"/>
            </w:pPr>
            <w:r>
              <w:rPr>
                <w:rFonts w:ascii="Segoe UI" w:cs="Segoe UI" w:eastAsia="Segoe UI" w:hAnsi="Segoe UI"/>
                <w:b w:val="false"/>
                <w:bCs w:val="false"/>
                <w:i w:val="false"/>
                <w:iCs w:val="false"/>
                <w:caps w:val="false"/>
                <w:color w:val="1E2A38"/>
                <w:sz w:val="8"/>
                <w:szCs w:val="8"/>
              </w:rPr>
              <w:t xml:space="preserve"/>
            </w:r>
          </w:p>
        </w:tc>
        <w:tc>
          <w:tcPr>
            <w:tcW w:type="dxa" w:w="4773"/>
            <w:tcBorders>
              <w:top w:val="none" w:color="FFFFFF" w:sz="0"/>
              <w:left w:val="none" w:color="FFFFFF" w:sz="0"/>
              <w:bottom w:val="none" w:color="FFFFFF" w:sz="0"/>
              <w:right w:val="none" w:color="FFFFFF" w:sz="0"/>
            </w:tcBorders>
            <w:tcMar>
              <w:top w:type="dxa" w:w="0"/>
              <w:bottom w:type="dxa" w:w="0"/>
            </w:tcMar>
          </w:tcPr>
          <w:p>
            <w:pPr>
              <w:spacing w:after="0"/>
            </w:pPr>
            <w:r>
              <w:rPr>
                <w:rFonts w:ascii="Segoe UI" w:cs="Segoe UI" w:eastAsia="Segoe UI" w:hAnsi="Segoe UI"/>
                <w:b w:val="false"/>
                <w:bCs w:val="false"/>
                <w:i w:val="false"/>
                <w:iCs w:val="false"/>
                <w:caps w:val="false"/>
                <w:color w:val="1E2A38"/>
                <w:sz w:val="8"/>
                <w:szCs w:val="8"/>
              </w:rPr>
              <w:t xml:space="preserve"/>
            </w:r>
          </w:p>
        </w:tc>
      </w:tr>
    </w:tbl>
    <w:p>
      <w:r>
        <w:br w:type="page"/>
      </w:r>
    </w:p>
    <w:tbl>
      <w:tblPr>
        <w:tblW w:type="dxa" w:w="9746"/>
        <w:tblBorders>
          <w:top w:val="none" w:color="FFFFFF" w:sz="0"/>
          <w:left w:val="single" w:color="1D6FE3" w:sz="26"/>
          <w:bottom w:val="none" w:color="FFFFFF" w:sz="0"/>
          <w:right w:val="none" w:color="FFFFFF" w:sz="0"/>
          <w:insideH w:val="none" w:color="FFFFFF" w:sz="0"/>
          <w:insideV w:val="none" w:color="FFFFFF" w:sz="0"/>
        </w:tblBorders>
        <w:tblLayout w:type="fixed"/>
      </w:tblPr>
      <w:tblGrid>
        <w:gridCol w:w="9746"/>
      </w:tblGrid>
      <w:tr>
        <w:tc>
          <w:tcPr>
            <w:tcW w:type="dxa" w:w="9746"/>
            <w:shd w:fill="042F52" w:color="auto" w:val="clear"/>
            <w:tcMar>
              <w:top w:type="dxa" w:w="150"/>
              <w:left w:type="dxa" w:w="230"/>
              <w:bottom w:type="dxa" w:w="150"/>
              <w:right w:type="dxa" w:w="200"/>
            </w:tcMar>
          </w:tcPr>
          <w:p>
            <w:pPr>
              <w:spacing w:after="20"/>
            </w:pPr>
            <w:r>
              <w:rPr>
                <w:rFonts w:ascii="Segoe UI" w:cs="Segoe UI" w:eastAsia="Segoe UI" w:hAnsi="Segoe UI"/>
                <w:b/>
                <w:bCs/>
                <w:i w:val="false"/>
                <w:iCs w:val="false"/>
                <w:caps/>
                <w:color w:val="9FC2EE"/>
                <w:spacing w:val="40"/>
                <w:sz w:val="15"/>
                <w:szCs w:val="15"/>
              </w:rPr>
              <w:t xml:space="preserve">Section 05</w:t>
            </w:r>
          </w:p>
          <w:p>
            <w:r>
              <w:rPr>
                <w:rFonts w:ascii="Segoe UI Semibold" w:cs="Segoe UI Semibold" w:eastAsia="Segoe UI Semibold" w:hAnsi="Segoe UI Semibold"/>
                <w:b/>
                <w:bCs/>
                <w:i w:val="false"/>
                <w:iCs w:val="false"/>
                <w:caps w:val="false"/>
                <w:color w:val="FFFFFF"/>
                <w:sz w:val="27"/>
                <w:szCs w:val="27"/>
              </w:rPr>
              <w:t xml:space="preserve">5.  Sécurité, souveraineté &amp; architecture technique</w:t>
            </w:r>
          </w:p>
        </w:tc>
      </w:tr>
    </w:tbl>
    <w:p>
      <w:pPr>
        <w:spacing w:after="100" w:line="276"/>
      </w:pPr>
      <w:r>
        <w:rPr>
          <w:rFonts w:ascii="Segoe UI" w:cs="Segoe UI" w:eastAsia="Segoe UI" w:hAnsi="Segoe UI"/>
          <w:b w:val="false"/>
          <w:bCs w:val="false"/>
          <w:i w:val="false"/>
          <w:iCs w:val="false"/>
          <w:caps w:val="false"/>
          <w:color w:val="1E2A38"/>
          <w:sz w:val="21"/>
          <w:szCs w:val="21"/>
        </w:rPr>
        <w:t xml:space="preserve">La sécurité des données de santé est au cœur de l’architecture SoftMed :</w:t>
      </w:r>
    </w:p>
    <w:p>
      <w:pPr>
        <w:pStyle w:val="ListParagraph"/>
        <w:numPr>
          <w:ilvl w:val="0"/>
          <w:numId w:val="2"/>
        </w:numPr>
        <w:spacing w:after="70" w:line="270"/>
      </w:pPr>
      <w:r>
        <w:rPr>
          <w:rFonts w:ascii="Segoe UI" w:cs="Segoe UI" w:eastAsia="Segoe UI" w:hAnsi="Segoe UI"/>
          <w:b/>
          <w:bCs/>
          <w:i w:val="false"/>
          <w:iCs w:val="false"/>
          <w:caps w:val="false"/>
          <w:color w:val="042F52"/>
          <w:sz w:val="21"/>
          <w:szCs w:val="21"/>
        </w:rPr>
        <w:t xml:space="preserve">Hébergement haute disponibilité en Cloud sécurisé OVH </w:t>
      </w:r>
      <w:r>
        <w:rPr>
          <w:rFonts w:ascii="Segoe UI" w:cs="Segoe UI" w:eastAsia="Segoe UI" w:hAnsi="Segoe UI"/>
          <w:b w:val="false"/>
          <w:bCs w:val="false"/>
          <w:i w:val="false"/>
          <w:iCs w:val="false"/>
          <w:caps w:val="false"/>
          <w:color w:val="1E2A38"/>
          <w:sz w:val="21"/>
          <w:szCs w:val="21"/>
        </w:rPr>
        <w:t xml:space="preserve">avec chiffrement SSL/TLS de bout en bout.</w:t>
      </w:r>
    </w:p>
    <w:p>
      <w:pPr>
        <w:pStyle w:val="ListParagraph"/>
        <w:numPr>
          <w:ilvl w:val="0"/>
          <w:numId w:val="2"/>
        </w:numPr>
        <w:spacing w:after="70" w:line="270"/>
      </w:pPr>
      <w:r>
        <w:rPr>
          <w:rFonts w:ascii="Segoe UI" w:cs="Segoe UI" w:eastAsia="Segoe UI" w:hAnsi="Segoe UI"/>
          <w:b/>
          <w:bCs/>
          <w:i w:val="false"/>
          <w:iCs w:val="false"/>
          <w:caps w:val="false"/>
          <w:color w:val="042F52"/>
          <w:sz w:val="21"/>
          <w:szCs w:val="21"/>
        </w:rPr>
        <w:t xml:space="preserve">Isolation stricte multi-tenant (Row-Level Security) : </w:t>
      </w:r>
      <w:r>
        <w:rPr>
          <w:rFonts w:ascii="Segoe UI" w:cs="Segoe UI" w:eastAsia="Segoe UI" w:hAnsi="Segoe UI"/>
          <w:b w:val="false"/>
          <w:bCs w:val="false"/>
          <w:i w:val="false"/>
          <w:iCs w:val="false"/>
          <w:caps w:val="false"/>
          <w:color w:val="1E2A38"/>
          <w:sz w:val="21"/>
          <w:szCs w:val="21"/>
        </w:rPr>
        <w:t xml:space="preserve">chaque clinique dispose d’un espace étanche, inaccessible aux tiers.</w:t>
      </w:r>
    </w:p>
    <w:p>
      <w:pPr>
        <w:pStyle w:val="ListParagraph"/>
        <w:numPr>
          <w:ilvl w:val="0"/>
          <w:numId w:val="2"/>
        </w:numPr>
        <w:spacing w:after="70" w:line="270"/>
      </w:pPr>
      <w:r>
        <w:rPr>
          <w:rFonts w:ascii="Segoe UI" w:cs="Segoe UI" w:eastAsia="Segoe UI" w:hAnsi="Segoe UI"/>
          <w:b/>
          <w:bCs/>
          <w:i w:val="false"/>
          <w:iCs w:val="false"/>
          <w:caps w:val="false"/>
          <w:color w:val="042F52"/>
          <w:sz w:val="21"/>
          <w:szCs w:val="21"/>
        </w:rPr>
        <w:t xml:space="preserve">Sauvegardes automatiques quotidiennes </w:t>
      </w:r>
      <w:r>
        <w:rPr>
          <w:rFonts w:ascii="Segoe UI" w:cs="Segoe UI" w:eastAsia="Segoe UI" w:hAnsi="Segoe UI"/>
          <w:b w:val="false"/>
          <w:bCs w:val="false"/>
          <w:i w:val="false"/>
          <w:iCs w:val="false"/>
          <w:caps w:val="false"/>
          <w:color w:val="1E2A38"/>
          <w:sz w:val="21"/>
          <w:szCs w:val="21"/>
        </w:rPr>
        <w:t xml:space="preserve">redondées sur plusieurs centres de données sécurisés.</w:t>
      </w:r>
    </w:p>
    <w:p>
      <w:pPr>
        <w:pStyle w:val="ListParagraph"/>
        <w:numPr>
          <w:ilvl w:val="0"/>
          <w:numId w:val="2"/>
        </w:numPr>
        <w:spacing w:after="70" w:line="270"/>
      </w:pPr>
      <w:r>
        <w:rPr>
          <w:rFonts w:ascii="Segoe UI" w:cs="Segoe UI" w:eastAsia="Segoe UI" w:hAnsi="Segoe UI"/>
          <w:b/>
          <w:bCs/>
          <w:i w:val="false"/>
          <w:iCs w:val="false"/>
          <w:caps w:val="false"/>
          <w:color w:val="042F52"/>
          <w:sz w:val="21"/>
          <w:szCs w:val="21"/>
        </w:rPr>
        <w:t xml:space="preserve">Conformité réglementaire : </w:t>
      </w:r>
      <w:r>
        <w:rPr>
          <w:rFonts w:ascii="Segoe UI" w:cs="Segoe UI" w:eastAsia="Segoe UI" w:hAnsi="Segoe UI"/>
          <w:b w:val="false"/>
          <w:bCs w:val="false"/>
          <w:i w:val="false"/>
          <w:iCs w:val="false"/>
          <w:caps w:val="false"/>
          <w:color w:val="1E2A38"/>
          <w:sz w:val="21"/>
          <w:szCs w:val="21"/>
        </w:rPr>
        <w:t xml:space="preserve">respect des normes de protection des données personnelles (CDP — loi 2008-12) et des standards internationaux.</w:t>
      </w:r>
    </w:p>
    <w:p>
      <w:pPr>
        <w:pStyle w:val="ListParagraph"/>
        <w:numPr>
          <w:ilvl w:val="0"/>
          <w:numId w:val="2"/>
        </w:numPr>
        <w:spacing w:after="70" w:line="270"/>
      </w:pPr>
      <w:r>
        <w:rPr>
          <w:rFonts w:ascii="Segoe UI" w:cs="Segoe UI" w:eastAsia="Segoe UI" w:hAnsi="Segoe UI"/>
          <w:b/>
          <w:bCs/>
          <w:i w:val="false"/>
          <w:iCs w:val="false"/>
          <w:caps w:val="false"/>
          <w:color w:val="042F52"/>
          <w:sz w:val="21"/>
          <w:szCs w:val="21"/>
        </w:rPr>
        <w:t xml:space="preserve">Disponibilité 99,9 % </w:t>
      </w:r>
      <w:r>
        <w:rPr>
          <w:rFonts w:ascii="Segoe UI" w:cs="Segoe UI" w:eastAsia="Segoe UI" w:hAnsi="Segoe UI"/>
          <w:b w:val="false"/>
          <w:bCs w:val="false"/>
          <w:i w:val="false"/>
          <w:iCs w:val="false"/>
          <w:caps w:val="false"/>
          <w:color w:val="1E2A38"/>
          <w:sz w:val="21"/>
          <w:szCs w:val="21"/>
        </w:rPr>
        <w:t xml:space="preserve">et accessibilité multi-supports (PC, Mac, tablettes, smartphones).</w:t>
      </w:r>
    </w:p>
    <w:p>
      <w:r>
        <w:br w:type="page"/>
      </w:r>
    </w:p>
    <w:tbl>
      <w:tblPr>
        <w:tblW w:type="dxa" w:w="9746"/>
        <w:tblBorders>
          <w:top w:val="none" w:color="FFFFFF" w:sz="0"/>
          <w:left w:val="single" w:color="1D6FE3" w:sz="26"/>
          <w:bottom w:val="none" w:color="FFFFFF" w:sz="0"/>
          <w:right w:val="none" w:color="FFFFFF" w:sz="0"/>
          <w:insideH w:val="none" w:color="FFFFFF" w:sz="0"/>
          <w:insideV w:val="none" w:color="FFFFFF" w:sz="0"/>
        </w:tblBorders>
        <w:tblLayout w:type="fixed"/>
      </w:tblPr>
      <w:tblGrid>
        <w:gridCol w:w="9746"/>
      </w:tblGrid>
      <w:tr>
        <w:tc>
          <w:tcPr>
            <w:tcW w:type="dxa" w:w="9746"/>
            <w:shd w:fill="042F52" w:color="auto" w:val="clear"/>
            <w:tcMar>
              <w:top w:type="dxa" w:w="150"/>
              <w:left w:type="dxa" w:w="230"/>
              <w:bottom w:type="dxa" w:w="150"/>
              <w:right w:type="dxa" w:w="200"/>
            </w:tcMar>
          </w:tcPr>
          <w:p>
            <w:pPr>
              <w:spacing w:after="20"/>
            </w:pPr>
            <w:r>
              <w:rPr>
                <w:rFonts w:ascii="Segoe UI" w:cs="Segoe UI" w:eastAsia="Segoe UI" w:hAnsi="Segoe UI"/>
                <w:b/>
                <w:bCs/>
                <w:i w:val="false"/>
                <w:iCs w:val="false"/>
                <w:caps/>
                <w:color w:val="9FC2EE"/>
                <w:spacing w:val="40"/>
                <w:sz w:val="15"/>
                <w:szCs w:val="15"/>
              </w:rPr>
              <w:t xml:space="preserve">Section 06</w:t>
            </w:r>
          </w:p>
          <w:p>
            <w:r>
              <w:rPr>
                <w:rFonts w:ascii="Segoe UI Semibold" w:cs="Segoe UI Semibold" w:eastAsia="Segoe UI Semibold" w:hAnsi="Segoe UI Semibold"/>
                <w:b/>
                <w:bCs/>
                <w:i w:val="false"/>
                <w:iCs w:val="false"/>
                <w:caps w:val="false"/>
                <w:color w:val="FFFFFF"/>
                <w:sz w:val="27"/>
                <w:szCs w:val="27"/>
              </w:rPr>
              <w:t xml:space="preserve">6.  Offre de déploiement &amp; accompagnement clé en main</w:t>
            </w:r>
          </w:p>
        </w:tc>
      </w:tr>
    </w:tbl>
    <w:p>
      <w:pPr>
        <w:spacing w:after="120" w:line="276"/>
      </w:pPr>
      <w:r>
        <w:rPr>
          <w:rFonts w:ascii="Segoe UI" w:cs="Segoe UI" w:eastAsia="Segoe UI" w:hAnsi="Segoe UI"/>
          <w:b w:val="false"/>
          <w:bCs w:val="false"/>
          <w:i w:val="false"/>
          <w:iCs w:val="false"/>
          <w:caps w:val="false"/>
          <w:color w:val="1E2A38"/>
          <w:sz w:val="21"/>
          <w:szCs w:val="21"/>
        </w:rPr>
        <w:t xml:space="preserve">Soft Services Technologiques (SST) s’engage à vos côtés pour garantir un déploiement fluide, sans interruption de service :</w:t>
      </w:r>
    </w:p>
    <w:p>
      <w:pPr>
        <w:pBdr>
          <w:left w:val="single" w:color="1D6FE3" w:sz="22" w:space="8"/>
        </w:pBdr>
        <w:spacing w:after="120" w:before="240"/>
        <w:ind w:left="150"/>
      </w:pPr>
      <w:r>
        <w:rPr>
          <w:rFonts w:ascii="Segoe UI Semibold" w:cs="Segoe UI Semibold" w:eastAsia="Segoe UI Semibold" w:hAnsi="Segoe UI Semibold"/>
          <w:b/>
          <w:bCs/>
          <w:i w:val="false"/>
          <w:iCs w:val="false"/>
          <w:caps w:val="false"/>
          <w:color w:val="042F52"/>
          <w:sz w:val="23"/>
          <w:szCs w:val="23"/>
        </w:rPr>
        <w:t xml:space="preserve">6.1  Nos engagements de service (SLA)</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126"/>
      </w:tblGrid>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1</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Audit &amp; paramétrage personnalisé</w:t>
            </w:r>
            <w:r>
              <w:rPr>
                <w:rFonts w:ascii="Segoe UI" w:cs="Segoe UI" w:eastAsia="Segoe UI" w:hAnsi="Segoe UI"/>
                <w:b w:val="false"/>
                <w:bCs w:val="false"/>
                <w:i w:val="false"/>
                <w:iCs w:val="false"/>
                <w:caps w:val="false"/>
                <w:color w:val="1E2A38"/>
                <w:sz w:val="21"/>
                <w:szCs w:val="21"/>
              </w:rPr>
              <w:t xml:space="preserve">  —  intégration de votre logo, de votre cachet officiel, de vos tarifs conventionnés et de vos comptes e-mail.</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2</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Formation interactive des équipes</w:t>
            </w:r>
            <w:r>
              <w:rPr>
                <w:rFonts w:ascii="Segoe UI" w:cs="Segoe UI" w:eastAsia="Segoe UI" w:hAnsi="Segoe UI"/>
                <w:b w:val="false"/>
                <w:bCs w:val="false"/>
                <w:i w:val="false"/>
                <w:iCs w:val="false"/>
                <w:caps w:val="false"/>
                <w:color w:val="1E2A38"/>
                <w:sz w:val="21"/>
                <w:szCs w:val="21"/>
              </w:rPr>
              <w:t xml:space="preserve">  —  sessions pratiques sur site et à distance pour les soignants, caissiers et secrétaires.</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3</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Migration &amp; reprise des données</w:t>
            </w:r>
            <w:r>
              <w:rPr>
                <w:rFonts w:ascii="Segoe UI" w:cs="Segoe UI" w:eastAsia="Segoe UI" w:hAnsi="Segoe UI"/>
                <w:b w:val="false"/>
                <w:bCs w:val="false"/>
                <w:i w:val="false"/>
                <w:iCs w:val="false"/>
                <w:caps w:val="false"/>
                <w:color w:val="1E2A38"/>
                <w:sz w:val="21"/>
                <w:szCs w:val="21"/>
              </w:rPr>
              <w:t xml:space="preserve">  —  importation sécurisée de votre fichier patient existant.</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4</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Support dédié 7j/7</w:t>
            </w:r>
            <w:r>
              <w:rPr>
                <w:rFonts w:ascii="Segoe UI" w:cs="Segoe UI" w:eastAsia="Segoe UI" w:hAnsi="Segoe UI"/>
                <w:b w:val="false"/>
                <w:bCs w:val="false"/>
                <w:i w:val="false"/>
                <w:iCs w:val="false"/>
                <w:caps w:val="false"/>
                <w:color w:val="1E2A38"/>
                <w:sz w:val="21"/>
                <w:szCs w:val="21"/>
              </w:rPr>
              <w:t xml:space="preserve">  —  assistance téléphonique et télémaintenance réactive prioritaire.</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5</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Mises à jour &amp; évolutions continues</w:t>
            </w:r>
            <w:r>
              <w:rPr>
                <w:rFonts w:ascii="Segoe UI" w:cs="Segoe UI" w:eastAsia="Segoe UI" w:hAnsi="Segoe UI"/>
                <w:b w:val="false"/>
                <w:bCs w:val="false"/>
                <w:i w:val="false"/>
                <w:iCs w:val="false"/>
                <w:caps w:val="false"/>
                <w:color w:val="1E2A38"/>
                <w:sz w:val="21"/>
                <w:szCs w:val="21"/>
              </w:rPr>
              <w:t xml:space="preserve">  —  bénéficiez automatiquement des nouvelles fonctionnalités, sans surcoût.</w:t>
            </w:r>
          </w:p>
        </w:tc>
      </w:tr>
    </w:tbl>
    <w:p>
      <w:pPr>
        <w:pBdr>
          <w:left w:val="single" w:color="1D6FE3" w:sz="22" w:space="8"/>
        </w:pBdr>
        <w:spacing w:after="120" w:before="240"/>
        <w:ind w:left="150"/>
      </w:pPr>
      <w:r>
        <w:rPr>
          <w:rFonts w:ascii="Segoe UI Semibold" w:cs="Segoe UI Semibold" w:eastAsia="Segoe UI Semibold" w:hAnsi="Segoe UI Semibold"/>
          <w:b/>
          <w:bCs/>
          <w:i w:val="false"/>
          <w:iCs w:val="false"/>
          <w:caps w:val="false"/>
          <w:color w:val="042F52"/>
          <w:sz w:val="23"/>
          <w:szCs w:val="23"/>
        </w:rPr>
        <w:t xml:space="preserve">6.2  Le périmètre inclus dans l’offre</w:t>
      </w:r>
    </w:p>
    <w:tbl>
      <w:tblPr>
        <w:tblW w:type="dxa" w:w="9746"/>
        <w:tblBorders>
          <w:top w:val="single" w:color="042F52" w:sz="4"/>
          <w:left w:val="single" w:color="042F52" w:sz="4"/>
          <w:bottom w:val="single" w:color="042F52" w:sz="4"/>
          <w:right w:val="single" w:color="042F52" w:sz="4"/>
          <w:insideH w:val="single" w:color="CBD8E7" w:sz="3"/>
          <w:insideV w:val="single" w:color="CBD8E7" w:sz="3"/>
        </w:tblBorders>
        <w:tblLayout w:type="fixed"/>
      </w:tblPr>
      <w:tblGrid>
        <w:gridCol w:w="5400"/>
        <w:gridCol w:w="4346"/>
      </w:tblGrid>
      <w:tr>
        <w:trPr>
          <w:tblHeader/>
        </w:trPr>
        <w:tc>
          <w:tcPr>
            <w:tcW w:type="dxa" w:w="5400"/>
            <w:shd w:fill="042F52" w:color="auto" w:val="clear"/>
            <w:tcMar>
              <w:top w:type="dxa" w:w="100"/>
              <w:left w:type="dxa" w:w="160"/>
              <w:bottom w:type="dxa" w:w="100"/>
              <w:right w:type="dxa" w:w="140"/>
            </w:tcMar>
          </w:tcPr>
          <w:p>
            <w:r>
              <w:rPr>
                <w:rFonts w:ascii="Segoe UI Semibold" w:cs="Segoe UI Semibold" w:eastAsia="Segoe UI Semibold" w:hAnsi="Segoe UI Semibold"/>
                <w:b/>
                <w:bCs/>
                <w:i w:val="false"/>
                <w:iCs w:val="false"/>
                <w:caps/>
                <w:color w:val="FFFFFF"/>
                <w:spacing w:val="20"/>
                <w:sz w:val="19"/>
                <w:szCs w:val="19"/>
              </w:rPr>
              <w:t xml:space="preserve">Prestation / Module</w:t>
            </w:r>
          </w:p>
        </w:tc>
        <w:tc>
          <w:tcPr>
            <w:tcW w:type="dxa" w:w="4346"/>
            <w:shd w:fill="042F52" w:color="auto" w:val="clear"/>
            <w:tcMar>
              <w:top w:type="dxa" w:w="100"/>
              <w:left w:type="dxa" w:w="160"/>
              <w:bottom w:type="dxa" w:w="100"/>
              <w:right w:type="dxa" w:w="140"/>
            </w:tcMar>
          </w:tcPr>
          <w:p>
            <w:r>
              <w:rPr>
                <w:rFonts w:ascii="Segoe UI Semibold" w:cs="Segoe UI Semibold" w:eastAsia="Segoe UI Semibold" w:hAnsi="Segoe UI Semibold"/>
                <w:b/>
                <w:bCs/>
                <w:i w:val="false"/>
                <w:iCs w:val="false"/>
                <w:caps/>
                <w:color w:val="FFFFFF"/>
                <w:spacing w:val="20"/>
                <w:sz w:val="19"/>
                <w:szCs w:val="19"/>
              </w:rPr>
              <w:t xml:space="preserve">Inclus dans l’offre SoftMed</w:t>
            </w:r>
          </w:p>
        </w:tc>
      </w:tr>
      <w:tr>
        <w:tc>
          <w:tcPr>
            <w:tcW w:type="dxa" w:w="5400"/>
            <w:shd w:fill="FFFFFF" w:color="auto" w:val="clear"/>
            <w:tcMar>
              <w:top w:type="dxa" w:w="90"/>
              <w:left w:type="dxa" w:w="160"/>
              <w:bottom w:type="dxa" w:w="90"/>
              <w:right w:type="dxa" w:w="140"/>
            </w:tcMar>
            <w:vAlign w:val="center"/>
          </w:tcPr>
          <w:p>
            <w:r>
              <w:rPr>
                <w:rFonts w:ascii="Segoe UI" w:cs="Segoe UI" w:eastAsia="Segoe UI" w:hAnsi="Segoe UI"/>
                <w:b/>
                <w:bCs/>
                <w:i w:val="false"/>
                <w:iCs w:val="false"/>
                <w:caps w:val="false"/>
                <w:color w:val="042F52"/>
                <w:sz w:val="19"/>
                <w:szCs w:val="19"/>
              </w:rPr>
              <w:t xml:space="preserve">Dossier Patient Informatisé (DPI 360°)</w:t>
            </w:r>
          </w:p>
        </w:tc>
        <w:tc>
          <w:tcPr>
            <w:tcW w:type="dxa" w:w="4346"/>
            <w:shd w:fill="FFFFFF" w:color="auto" w:val="clear"/>
            <w:tcMar>
              <w:top w:type="dxa" w:w="90"/>
              <w:left w:type="dxa" w:w="160"/>
              <w:bottom w:type="dxa" w:w="90"/>
              <w:right w:type="dxa" w:w="140"/>
            </w:tcMar>
            <w:vAlign w:val="center"/>
          </w:tcPr>
          <w:p>
            <w:r>
              <w:rPr>
                <w:rFonts w:ascii="Segoe UI" w:cs="Segoe UI" w:eastAsia="Segoe UI" w:hAnsi="Segoe UI"/>
                <w:b w:val="false"/>
                <w:bCs w:val="false"/>
                <w:i w:val="false"/>
                <w:iCs w:val="false"/>
                <w:caps w:val="false"/>
                <w:color w:val="1E2A38"/>
                <w:sz w:val="19"/>
                <w:szCs w:val="19"/>
              </w:rPr>
              <w:t xml:space="preserve">✓  Inclus en illimité</w:t>
            </w:r>
          </w:p>
        </w:tc>
      </w:tr>
      <w:tr>
        <w:tc>
          <w:tcPr>
            <w:tcW w:type="dxa" w:w="5400"/>
            <w:shd w:fill="EDF3FB" w:color="auto" w:val="clear"/>
            <w:tcMar>
              <w:top w:type="dxa" w:w="90"/>
              <w:left w:type="dxa" w:w="160"/>
              <w:bottom w:type="dxa" w:w="90"/>
              <w:right w:type="dxa" w:w="140"/>
            </w:tcMar>
            <w:vAlign w:val="center"/>
          </w:tcPr>
          <w:p>
            <w:r>
              <w:rPr>
                <w:rFonts w:ascii="Segoe UI" w:cs="Segoe UI" w:eastAsia="Segoe UI" w:hAnsi="Segoe UI"/>
                <w:b/>
                <w:bCs/>
                <w:i w:val="false"/>
                <w:iCs w:val="false"/>
                <w:caps w:val="false"/>
                <w:color w:val="042F52"/>
                <w:sz w:val="19"/>
                <w:szCs w:val="19"/>
              </w:rPr>
              <w:t xml:space="preserve">Dictée vocale intelligente par IA médicale</w:t>
            </w:r>
          </w:p>
        </w:tc>
        <w:tc>
          <w:tcPr>
            <w:tcW w:type="dxa" w:w="4346"/>
            <w:shd w:fill="EDF3FB" w:color="auto" w:val="clear"/>
            <w:tcMar>
              <w:top w:type="dxa" w:w="90"/>
              <w:left w:type="dxa" w:w="160"/>
              <w:bottom w:type="dxa" w:w="90"/>
              <w:right w:type="dxa" w:w="140"/>
            </w:tcMar>
            <w:vAlign w:val="center"/>
          </w:tcPr>
          <w:p>
            <w:r>
              <w:rPr>
                <w:rFonts w:ascii="Segoe UI" w:cs="Segoe UI" w:eastAsia="Segoe UI" w:hAnsi="Segoe UI"/>
                <w:b w:val="false"/>
                <w:bCs w:val="false"/>
                <w:i w:val="false"/>
                <w:iCs w:val="false"/>
                <w:caps w:val="false"/>
                <w:color w:val="1E2A38"/>
                <w:sz w:val="19"/>
                <w:szCs w:val="19"/>
              </w:rPr>
              <w:t xml:space="preserve">✓  Inclus, transcription en temps réel</w:t>
            </w:r>
          </w:p>
        </w:tc>
      </w:tr>
      <w:tr>
        <w:tc>
          <w:tcPr>
            <w:tcW w:type="dxa" w:w="5400"/>
            <w:shd w:fill="FFFFFF" w:color="auto" w:val="clear"/>
            <w:tcMar>
              <w:top w:type="dxa" w:w="90"/>
              <w:left w:type="dxa" w:w="160"/>
              <w:bottom w:type="dxa" w:w="90"/>
              <w:right w:type="dxa" w:w="140"/>
            </w:tcMar>
            <w:vAlign w:val="center"/>
          </w:tcPr>
          <w:p>
            <w:r>
              <w:rPr>
                <w:rFonts w:ascii="Segoe UI" w:cs="Segoe UI" w:eastAsia="Segoe UI" w:hAnsi="Segoe UI"/>
                <w:b/>
                <w:bCs/>
                <w:i w:val="false"/>
                <w:iCs w:val="false"/>
                <w:caps w:val="false"/>
                <w:color w:val="042F52"/>
                <w:sz w:val="19"/>
                <w:szCs w:val="19"/>
              </w:rPr>
              <w:t xml:space="preserve">Ordonnances sécurisées avec QR code anti-fraude</w:t>
            </w:r>
          </w:p>
        </w:tc>
        <w:tc>
          <w:tcPr>
            <w:tcW w:type="dxa" w:w="4346"/>
            <w:shd w:fill="FFFFFF" w:color="auto" w:val="clear"/>
            <w:tcMar>
              <w:top w:type="dxa" w:w="90"/>
              <w:left w:type="dxa" w:w="160"/>
              <w:bottom w:type="dxa" w:w="90"/>
              <w:right w:type="dxa" w:w="140"/>
            </w:tcMar>
            <w:vAlign w:val="center"/>
          </w:tcPr>
          <w:p>
            <w:r>
              <w:rPr>
                <w:rFonts w:ascii="Segoe UI" w:cs="Segoe UI" w:eastAsia="Segoe UI" w:hAnsi="Segoe UI"/>
                <w:b w:val="false"/>
                <w:bCs w:val="false"/>
                <w:i w:val="false"/>
                <w:iCs w:val="false"/>
                <w:caps w:val="false"/>
                <w:color w:val="1E2A38"/>
                <w:sz w:val="19"/>
                <w:szCs w:val="19"/>
              </w:rPr>
              <w:t xml:space="preserve">✓  Inclus, vérification cryptographique</w:t>
            </w:r>
          </w:p>
        </w:tc>
      </w:tr>
      <w:tr>
        <w:tc>
          <w:tcPr>
            <w:tcW w:type="dxa" w:w="5400"/>
            <w:shd w:fill="EDF3FB" w:color="auto" w:val="clear"/>
            <w:tcMar>
              <w:top w:type="dxa" w:w="90"/>
              <w:left w:type="dxa" w:w="160"/>
              <w:bottom w:type="dxa" w:w="90"/>
              <w:right w:type="dxa" w:w="140"/>
            </w:tcMar>
            <w:vAlign w:val="center"/>
          </w:tcPr>
          <w:p>
            <w:r>
              <w:rPr>
                <w:rFonts w:ascii="Segoe UI" w:cs="Segoe UI" w:eastAsia="Segoe UI" w:hAnsi="Segoe UI"/>
                <w:b/>
                <w:bCs/>
                <w:i w:val="false"/>
                <w:iCs w:val="false"/>
                <w:caps w:val="false"/>
                <w:color w:val="042F52"/>
                <w:sz w:val="19"/>
                <w:szCs w:val="19"/>
              </w:rPr>
              <w:t xml:space="preserve">Numérisation &amp; visionneuse d’analyses et imagerie</w:t>
            </w:r>
          </w:p>
        </w:tc>
        <w:tc>
          <w:tcPr>
            <w:tcW w:type="dxa" w:w="4346"/>
            <w:shd w:fill="EDF3FB" w:color="auto" w:val="clear"/>
            <w:tcMar>
              <w:top w:type="dxa" w:w="90"/>
              <w:left w:type="dxa" w:w="160"/>
              <w:bottom w:type="dxa" w:w="90"/>
              <w:right w:type="dxa" w:w="140"/>
            </w:tcMar>
            <w:vAlign w:val="center"/>
          </w:tcPr>
          <w:p>
            <w:r>
              <w:rPr>
                <w:rFonts w:ascii="Segoe UI" w:cs="Segoe UI" w:eastAsia="Segoe UI" w:hAnsi="Segoe UI"/>
                <w:b w:val="false"/>
                <w:bCs w:val="false"/>
                <w:i w:val="false"/>
                <w:iCs w:val="false"/>
                <w:caps w:val="false"/>
                <w:color w:val="1E2A38"/>
                <w:sz w:val="19"/>
                <w:szCs w:val="19"/>
              </w:rPr>
              <w:t xml:space="preserve">✓  Inclus (PDF / images jusqu’à 25 Mo)</w:t>
            </w:r>
          </w:p>
        </w:tc>
      </w:tr>
      <w:tr>
        <w:tc>
          <w:tcPr>
            <w:tcW w:type="dxa" w:w="5400"/>
            <w:shd w:fill="FFFFFF" w:color="auto" w:val="clear"/>
            <w:tcMar>
              <w:top w:type="dxa" w:w="90"/>
              <w:left w:type="dxa" w:w="160"/>
              <w:bottom w:type="dxa" w:w="90"/>
              <w:right w:type="dxa" w:w="140"/>
            </w:tcMar>
            <w:vAlign w:val="center"/>
          </w:tcPr>
          <w:p>
            <w:r>
              <w:rPr>
                <w:rFonts w:ascii="Segoe UI" w:cs="Segoe UI" w:eastAsia="Segoe UI" w:hAnsi="Segoe UI"/>
                <w:b/>
                <w:bCs/>
                <w:i w:val="false"/>
                <w:iCs w:val="false"/>
                <w:caps w:val="false"/>
                <w:color w:val="042F52"/>
                <w:sz w:val="19"/>
                <w:szCs w:val="19"/>
              </w:rPr>
              <w:t xml:space="preserve">Facturation Tiers-Payant IPM &amp; télétransmission</w:t>
            </w:r>
          </w:p>
        </w:tc>
        <w:tc>
          <w:tcPr>
            <w:tcW w:type="dxa" w:w="4346"/>
            <w:shd w:fill="FFFFFF" w:color="auto" w:val="clear"/>
            <w:tcMar>
              <w:top w:type="dxa" w:w="90"/>
              <w:left w:type="dxa" w:w="160"/>
              <w:bottom w:type="dxa" w:w="90"/>
              <w:right w:type="dxa" w:w="140"/>
            </w:tcMar>
            <w:vAlign w:val="center"/>
          </w:tcPr>
          <w:p>
            <w:r>
              <w:rPr>
                <w:rFonts w:ascii="Segoe UI" w:cs="Segoe UI" w:eastAsia="Segoe UI" w:hAnsi="Segoe UI"/>
                <w:b w:val="false"/>
                <w:bCs w:val="false"/>
                <w:i w:val="false"/>
                <w:iCs w:val="false"/>
                <w:caps w:val="false"/>
                <w:color w:val="1E2A38"/>
                <w:sz w:val="19"/>
                <w:szCs w:val="19"/>
              </w:rPr>
              <w:t xml:space="preserve">✓  Inclus, avec vos propres serveurs SMTP</w:t>
            </w:r>
          </w:p>
        </w:tc>
      </w:tr>
      <w:tr>
        <w:tc>
          <w:tcPr>
            <w:tcW w:type="dxa" w:w="5400"/>
            <w:shd w:fill="EDF3FB" w:color="auto" w:val="clear"/>
            <w:tcMar>
              <w:top w:type="dxa" w:w="90"/>
              <w:left w:type="dxa" w:w="160"/>
              <w:bottom w:type="dxa" w:w="90"/>
              <w:right w:type="dxa" w:w="140"/>
            </w:tcMar>
            <w:vAlign w:val="center"/>
          </w:tcPr>
          <w:p>
            <w:r>
              <w:rPr>
                <w:rFonts w:ascii="Segoe UI" w:cs="Segoe UI" w:eastAsia="Segoe UI" w:hAnsi="Segoe UI"/>
                <w:b/>
                <w:bCs/>
                <w:i w:val="false"/>
                <w:iCs w:val="false"/>
                <w:caps w:val="false"/>
                <w:color w:val="042F52"/>
                <w:sz w:val="19"/>
                <w:szCs w:val="19"/>
              </w:rPr>
              <w:t xml:space="preserve">Caisse &amp; paiements mobiles (Wave / OM / espèces)</w:t>
            </w:r>
          </w:p>
        </w:tc>
        <w:tc>
          <w:tcPr>
            <w:tcW w:type="dxa" w:w="4346"/>
            <w:shd w:fill="EDF3FB" w:color="auto" w:val="clear"/>
            <w:tcMar>
              <w:top w:type="dxa" w:w="90"/>
              <w:left w:type="dxa" w:w="160"/>
              <w:bottom w:type="dxa" w:w="90"/>
              <w:right w:type="dxa" w:w="140"/>
            </w:tcMar>
            <w:vAlign w:val="center"/>
          </w:tcPr>
          <w:p>
            <w:r>
              <w:rPr>
                <w:rFonts w:ascii="Segoe UI" w:cs="Segoe UI" w:eastAsia="Segoe UI" w:hAnsi="Segoe UI"/>
                <w:b w:val="false"/>
                <w:bCs w:val="false"/>
                <w:i w:val="false"/>
                <w:iCs w:val="false"/>
                <w:caps w:val="false"/>
                <w:color w:val="1E2A38"/>
                <w:sz w:val="19"/>
                <w:szCs w:val="19"/>
              </w:rPr>
              <w:t xml:space="preserve">✓  Inclus, clôture de caisse infalsifiable</w:t>
            </w:r>
          </w:p>
        </w:tc>
      </w:tr>
      <w:tr>
        <w:tc>
          <w:tcPr>
            <w:tcW w:type="dxa" w:w="5400"/>
            <w:shd w:fill="FFFFFF" w:color="auto" w:val="clear"/>
            <w:tcMar>
              <w:top w:type="dxa" w:w="90"/>
              <w:left w:type="dxa" w:w="160"/>
              <w:bottom w:type="dxa" w:w="90"/>
              <w:right w:type="dxa" w:w="140"/>
            </w:tcMar>
            <w:vAlign w:val="center"/>
          </w:tcPr>
          <w:p>
            <w:r>
              <w:rPr>
                <w:rFonts w:ascii="Segoe UI" w:cs="Segoe UI" w:eastAsia="Segoe UI" w:hAnsi="Segoe UI"/>
                <w:b/>
                <w:bCs/>
                <w:i w:val="false"/>
                <w:iCs w:val="false"/>
                <w:caps w:val="false"/>
                <w:color w:val="042F52"/>
                <w:sz w:val="19"/>
                <w:szCs w:val="19"/>
              </w:rPr>
              <w:t xml:space="preserve">Hospitalisation, lits &amp; pharmacie de stock</w:t>
            </w:r>
          </w:p>
        </w:tc>
        <w:tc>
          <w:tcPr>
            <w:tcW w:type="dxa" w:w="4346"/>
            <w:shd w:fill="FFFFFF" w:color="auto" w:val="clear"/>
            <w:tcMar>
              <w:top w:type="dxa" w:w="90"/>
              <w:left w:type="dxa" w:w="160"/>
              <w:bottom w:type="dxa" w:w="90"/>
              <w:right w:type="dxa" w:w="140"/>
            </w:tcMar>
            <w:vAlign w:val="center"/>
          </w:tcPr>
          <w:p>
            <w:r>
              <w:rPr>
                <w:rFonts w:ascii="Segoe UI" w:cs="Segoe UI" w:eastAsia="Segoe UI" w:hAnsi="Segoe UI"/>
                <w:b w:val="false"/>
                <w:bCs w:val="false"/>
                <w:i w:val="false"/>
                <w:iCs w:val="false"/>
                <w:caps w:val="false"/>
                <w:color w:val="1E2A38"/>
                <w:sz w:val="19"/>
                <w:szCs w:val="19"/>
              </w:rPr>
              <w:t xml:space="preserve">✓  Inclus, avec suivi des péremptions</w:t>
            </w:r>
          </w:p>
        </w:tc>
      </w:tr>
      <w:tr>
        <w:tc>
          <w:tcPr>
            <w:tcW w:type="dxa" w:w="5400"/>
            <w:shd w:fill="EDF3FB" w:color="auto" w:val="clear"/>
            <w:tcMar>
              <w:top w:type="dxa" w:w="90"/>
              <w:left w:type="dxa" w:w="160"/>
              <w:bottom w:type="dxa" w:w="90"/>
              <w:right w:type="dxa" w:w="140"/>
            </w:tcMar>
            <w:vAlign w:val="center"/>
          </w:tcPr>
          <w:p>
            <w:r>
              <w:rPr>
                <w:rFonts w:ascii="Segoe UI" w:cs="Segoe UI" w:eastAsia="Segoe UI" w:hAnsi="Segoe UI"/>
                <w:b/>
                <w:bCs/>
                <w:i w:val="false"/>
                <w:iCs w:val="false"/>
                <w:caps w:val="false"/>
                <w:color w:val="042F52"/>
                <w:sz w:val="19"/>
                <w:szCs w:val="19"/>
              </w:rPr>
              <w:t xml:space="preserve">Hébergement Cloud OVH, sauvegardes &amp; support 7j/7</w:t>
            </w:r>
          </w:p>
        </w:tc>
        <w:tc>
          <w:tcPr>
            <w:tcW w:type="dxa" w:w="4346"/>
            <w:shd w:fill="EDF3FB" w:color="auto" w:val="clear"/>
            <w:tcMar>
              <w:top w:type="dxa" w:w="90"/>
              <w:left w:type="dxa" w:w="160"/>
              <w:bottom w:type="dxa" w:w="90"/>
              <w:right w:type="dxa" w:w="140"/>
            </w:tcMar>
            <w:vAlign w:val="center"/>
          </w:tcPr>
          <w:p>
            <w:r>
              <w:rPr>
                <w:rFonts w:ascii="Segoe UI" w:cs="Segoe UI" w:eastAsia="Segoe UI" w:hAnsi="Segoe UI"/>
                <w:b w:val="false"/>
                <w:bCs w:val="false"/>
                <w:i w:val="false"/>
                <w:iCs w:val="false"/>
                <w:caps w:val="false"/>
                <w:color w:val="1E2A38"/>
                <w:sz w:val="19"/>
                <w:szCs w:val="19"/>
              </w:rPr>
              <w:t xml:space="preserve">✓  Inclus dans l’abonnement SaaS</w:t>
            </w:r>
          </w:p>
        </w:tc>
      </w:tr>
    </w:tbl>
    <w:p>
      <w:r>
        <w:br w:type="page"/>
      </w:r>
    </w:p>
    <w:tbl>
      <w:tblPr>
        <w:tblW w:type="dxa" w:w="9746"/>
        <w:tblBorders>
          <w:top w:val="none" w:color="FFFFFF" w:sz="0"/>
          <w:left w:val="single" w:color="1D6FE3" w:sz="26"/>
          <w:bottom w:val="none" w:color="FFFFFF" w:sz="0"/>
          <w:right w:val="none" w:color="FFFFFF" w:sz="0"/>
          <w:insideH w:val="none" w:color="FFFFFF" w:sz="0"/>
          <w:insideV w:val="none" w:color="FFFFFF" w:sz="0"/>
        </w:tblBorders>
        <w:tblLayout w:type="fixed"/>
      </w:tblPr>
      <w:tblGrid>
        <w:gridCol w:w="9746"/>
      </w:tblGrid>
      <w:tr>
        <w:tc>
          <w:tcPr>
            <w:tcW w:type="dxa" w:w="9746"/>
            <w:shd w:fill="042F52" w:color="auto" w:val="clear"/>
            <w:tcMar>
              <w:top w:type="dxa" w:w="150"/>
              <w:left w:type="dxa" w:w="230"/>
              <w:bottom w:type="dxa" w:w="150"/>
              <w:right w:type="dxa" w:w="200"/>
            </w:tcMar>
          </w:tcPr>
          <w:p>
            <w:pPr>
              <w:spacing w:after="20"/>
            </w:pPr>
            <w:r>
              <w:rPr>
                <w:rFonts w:ascii="Segoe UI" w:cs="Segoe UI" w:eastAsia="Segoe UI" w:hAnsi="Segoe UI"/>
                <w:b/>
                <w:bCs/>
                <w:i w:val="false"/>
                <w:iCs w:val="false"/>
                <w:caps/>
                <w:color w:val="9FC2EE"/>
                <w:spacing w:val="40"/>
                <w:sz w:val="15"/>
                <w:szCs w:val="15"/>
              </w:rPr>
              <w:t xml:space="preserve">Section 07</w:t>
            </w:r>
          </w:p>
          <w:p>
            <w:r>
              <w:rPr>
                <w:rFonts w:ascii="Segoe UI Semibold" w:cs="Segoe UI Semibold" w:eastAsia="Segoe UI Semibold" w:hAnsi="Segoe UI Semibold"/>
                <w:b/>
                <w:bCs/>
                <w:i w:val="false"/>
                <w:iCs w:val="false"/>
                <w:caps w:val="false"/>
                <w:color w:val="FFFFFF"/>
                <w:sz w:val="27"/>
                <w:szCs w:val="27"/>
              </w:rPr>
              <w:t xml:space="preserve">7.  Contact &amp; prochaines étapes</w:t>
            </w:r>
          </w:p>
        </w:tc>
      </w:tr>
    </w:tbl>
    <w:p>
      <w:pPr>
        <w:spacing w:after="200" w:line="276"/>
      </w:pPr>
      <w:r>
        <w:rPr>
          <w:rFonts w:ascii="Segoe UI" w:cs="Segoe UI" w:eastAsia="Segoe UI" w:hAnsi="Segoe UI"/>
          <w:b w:val="false"/>
          <w:bCs w:val="false"/>
          <w:i w:val="false"/>
          <w:iCs w:val="false"/>
          <w:caps w:val="false"/>
          <w:color w:val="1E2A38"/>
          <w:sz w:val="21"/>
          <w:szCs w:val="21"/>
        </w:rPr>
        <w:t xml:space="preserve">Pour propulser votre établissement vers l’excellence médicale et opérationnelle, notre équipe d’ingénieurs et de consultants médicaux se tient à votre entière disposition pour une démonstration personnalisée et la mise en place d’un environnement pilote.</w:t>
      </w:r>
    </w:p>
    <w:tbl>
      <w:tblPr>
        <w:tblW w:type="dxa" w:w="9746"/>
        <w:tblBorders>
          <w:top w:val="none" w:color="FFFFFF" w:sz="0"/>
          <w:left w:val="single" w:color="1D6FE3" w:sz="26"/>
          <w:bottom w:val="none" w:color="FFFFFF" w:sz="0"/>
          <w:right w:val="none" w:color="FFFFFF" w:sz="0"/>
          <w:insideH w:val="none" w:color="FFFFFF" w:sz="0"/>
          <w:insideV w:val="none" w:color="FFFFFF" w:sz="0"/>
        </w:tblBorders>
        <w:tblLayout w:type="fixed"/>
      </w:tblPr>
      <w:tblGrid>
        <w:gridCol w:w="9746"/>
      </w:tblGrid>
      <w:tr>
        <w:tc>
          <w:tcPr>
            <w:tcW w:type="dxa" w:w="9746"/>
            <w:shd w:fill="042F52" w:color="auto" w:val="clear"/>
            <w:tcMar>
              <w:top w:type="dxa" w:w="200"/>
              <w:left w:type="dxa" w:w="240"/>
              <w:bottom w:type="dxa" w:w="200"/>
              <w:right w:type="dxa" w:w="200"/>
            </w:tcMar>
          </w:tcPr>
          <w:p>
            <w:pPr>
              <w:spacing w:after="80"/>
            </w:pPr>
            <w:r>
              <w:rPr>
                <w:rFonts w:ascii="Segoe UI Semibold" w:cs="Segoe UI Semibold" w:eastAsia="Segoe UI Semibold" w:hAnsi="Segoe UI Semibold"/>
                <w:b/>
                <w:bCs/>
                <w:i w:val="false"/>
                <w:iCs w:val="false"/>
                <w:caps w:val="false"/>
                <w:color w:val="FFFFFF"/>
                <w:sz w:val="24"/>
                <w:szCs w:val="24"/>
              </w:rPr>
              <w:t xml:space="preserve">Soft Services Technologiques (SST)</w:t>
            </w:r>
          </w:p>
          <w:p>
            <w:pPr>
              <w:spacing w:after="40"/>
            </w:pPr>
            <w:r>
              <w:rPr>
                <w:rFonts w:ascii="Segoe UI" w:cs="Segoe UI" w:eastAsia="Segoe UI" w:hAnsi="Segoe UI"/>
                <w:b w:val="false"/>
                <w:bCs w:val="false"/>
                <w:i w:val="false"/>
                <w:iCs w:val="false"/>
                <w:caps w:val="false"/>
                <w:color w:val="9FC2EE"/>
                <w:sz w:val="19"/>
                <w:szCs w:val="19"/>
              </w:rPr>
              <w:t xml:space="preserve">Direction commerciale &amp; projets médicaux</w:t>
            </w:r>
          </w:p>
          <w:p>
            <w:pPr>
              <w:spacing w:after="16"/>
            </w:pPr>
            <w:r>
              <w:rPr>
                <w:rFonts w:ascii="Segoe UI" w:cs="Segoe UI" w:eastAsia="Segoe UI" w:hAnsi="Segoe UI"/>
                <w:b w:val="false"/>
                <w:bCs w:val="false"/>
                <w:i w:val="false"/>
                <w:iCs w:val="false"/>
                <w:caps w:val="false"/>
                <w:color w:val="1E2A38"/>
                <w:sz w:val="19"/>
                <w:szCs w:val="19"/>
              </w:rPr>
              <w:t xml:space="preserve">📧  </w:t>
            </w:r>
            <w:r>
              <w:rPr>
                <w:rFonts w:ascii="Segoe UI" w:cs="Segoe UI" w:eastAsia="Segoe UI" w:hAnsi="Segoe UI"/>
                <w:b w:val="false"/>
                <w:bCs w:val="false"/>
                <w:i w:val="false"/>
                <w:iCs w:val="false"/>
                <w:caps w:val="false"/>
                <w:color w:val="FFFFFF"/>
                <w:sz w:val="19"/>
                <w:szCs w:val="19"/>
              </w:rPr>
              <w:t xml:space="preserve">contact@sst.best  |  mbndiaye@sst.best</w:t>
            </w:r>
          </w:p>
          <w:p>
            <w:pPr>
              <w:spacing w:after="16"/>
            </w:pPr>
            <w:r>
              <w:rPr>
                <w:rFonts w:ascii="Segoe UI" w:cs="Segoe UI" w:eastAsia="Segoe UI" w:hAnsi="Segoe UI"/>
                <w:b w:val="false"/>
                <w:bCs w:val="false"/>
                <w:i w:val="false"/>
                <w:iCs w:val="false"/>
                <w:caps w:val="false"/>
                <w:color w:val="1E2A38"/>
                <w:sz w:val="19"/>
                <w:szCs w:val="19"/>
              </w:rPr>
              <w:t xml:space="preserve">🌐  </w:t>
            </w:r>
            <w:r>
              <w:rPr>
                <w:rFonts w:ascii="Segoe UI" w:cs="Segoe UI" w:eastAsia="Segoe UI" w:hAnsi="Segoe UI"/>
                <w:b w:val="false"/>
                <w:bCs w:val="false"/>
                <w:i w:val="false"/>
                <w:iCs w:val="false"/>
                <w:caps w:val="false"/>
                <w:color w:val="FFFFFF"/>
                <w:sz w:val="19"/>
                <w:szCs w:val="19"/>
              </w:rPr>
              <w:t xml:space="preserve">www.sst.best</w:t>
            </w:r>
          </w:p>
          <w:p>
            <w:r>
              <w:rPr>
                <w:rFonts w:ascii="Segoe UI" w:cs="Segoe UI" w:eastAsia="Segoe UI" w:hAnsi="Segoe UI"/>
                <w:b w:val="false"/>
                <w:bCs w:val="false"/>
                <w:i w:val="false"/>
                <w:iCs w:val="false"/>
                <w:caps w:val="false"/>
                <w:color w:val="1E2A38"/>
                <w:sz w:val="19"/>
                <w:szCs w:val="19"/>
              </w:rPr>
              <w:t xml:space="preserve">📍  </w:t>
            </w:r>
            <w:r>
              <w:rPr>
                <w:rFonts w:ascii="Segoe UI" w:cs="Segoe UI" w:eastAsia="Segoe UI" w:hAnsi="Segoe UI"/>
                <w:b w:val="false"/>
                <w:bCs w:val="false"/>
                <w:i w:val="false"/>
                <w:iCs w:val="false"/>
                <w:caps w:val="false"/>
                <w:color w:val="FFFFFF"/>
                <w:sz w:val="19"/>
                <w:szCs w:val="19"/>
              </w:rPr>
              <w:t xml:space="preserve">Dakar, Sénégal — déploiements régionaux UEMOA &amp; Afrique</w:t>
            </w:r>
          </w:p>
        </w:tc>
      </w:tr>
    </w:tbl>
    <w:p>
      <w:pPr>
        <w:spacing w:before="240"/>
        <w:jc w:val="center"/>
      </w:pPr>
      <w:r>
        <w:rPr>
          <w:rFonts w:ascii="Segoe UI Semibold" w:cs="Segoe UI Semibold" w:eastAsia="Segoe UI Semibold" w:hAnsi="Segoe UI Semibold"/>
          <w:b/>
          <w:bCs/>
          <w:i w:val="false"/>
          <w:iCs w:val="false"/>
          <w:caps w:val="false"/>
          <w:color w:val="042F52"/>
          <w:sz w:val="22"/>
          <w:szCs w:val="22"/>
        </w:rPr>
        <w:t xml:space="preserve">SoftMed</w:t>
      </w:r>
      <w:r>
        <w:rPr>
          <w:rFonts w:ascii="Segoe UI" w:cs="Segoe UI" w:eastAsia="Segoe UI" w:hAnsi="Segoe UI"/>
          <w:b w:val="false"/>
          <w:bCs w:val="false"/>
          <w:i/>
          <w:iCs/>
          <w:caps w:val="false"/>
          <w:color w:val="1D6FE3"/>
          <w:sz w:val="20"/>
          <w:szCs w:val="20"/>
        </w:rPr>
        <w:t xml:space="preserve">  —  Gérez. Soignez. Simplifiez.</w:t>
      </w:r>
    </w:p>
    <w:sectPr>
      <w:headerReference w:type="default" r:id="rId7"/>
      <w:headerReference w:type="first" r:id="rId8"/>
      <w:footerReference w:type="default" r:id="rId9"/>
      <w:footerReference w:type="first" r:id="rId10"/>
      <w:pgSz w:w="11906" w:h="16838" w:orient="portrait"/>
      <w:pgMar w:top="1400" w:right="1080" w:bottom="1080" w:left="1080" w:header="640" w:footer="48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8E7" w:sz="6"/>
      </w:pBdr>
      <w:tabs>
        <w:tab w:val="center" w:pos="4873"/>
        <w:tab w:val="right" w:pos="9746"/>
      </w:tabs>
      <w:spacing w:before="40"/>
    </w:pPr>
    <w:r>
      <w:rPr>
        <w:rFonts w:ascii="Segoe UI" w:cs="Segoe UI" w:eastAsia="Segoe UI" w:hAnsi="Segoe UI"/>
        <w:b w:val="false"/>
        <w:bCs w:val="false"/>
        <w:i w:val="false"/>
        <w:iCs w:val="false"/>
        <w:caps w:val="false"/>
        <w:color w:val="8A97A6"/>
        <w:sz w:val="15"/>
        <w:szCs w:val="15"/>
      </w:rPr>
      <w:t xml:space="preserve">© 2026 Soft Services Technologiques</w:t>
    </w:r>
    <w:r>
      <w:rPr>
        <w:rFonts w:ascii="Segoe UI" w:cs="Segoe UI" w:eastAsia="Segoe UI" w:hAnsi="Segoe UI"/>
        <w:color w:val="8A97A6"/>
        <w:sz w:val="15"/>
        <w:szCs w:val="15"/>
      </w:rPr>
      <w:t xml:space="preserve">	sst.best  ·  sst@sst.best</w:t>
    </w:r>
    <w:r>
      <w:rPr>
        <w:rFonts w:ascii="Segoe UI" w:cs="Segoe UI" w:eastAsia="Segoe UI" w:hAnsi="Segoe UI"/>
        <w:color w:val="8A97A6"/>
        <w:sz w:val="15"/>
        <w:szCs w:val="15"/>
      </w:rPr>
      <w:t xml:space="preserve">	</w:t>
    </w:r>
    <w:r>
      <w:rPr>
        <w:rFonts w:ascii="Segoe UI" w:cs="Segoe UI" w:eastAsia="Segoe UI" w:hAnsi="Segoe UI"/>
        <w:b/>
        <w:bCs/>
        <w:color w:val="5B6B7C"/>
        <w:sz w:val="15"/>
        <w:szCs w:val="15"/>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none" w:color="FFFFFF" w:sz="0"/>
        <w:left w:val="none" w:color="FFFFFF" w:sz="0"/>
        <w:bottom w:val="single" w:color="CBD8E7" w:sz="6"/>
        <w:right w:val="none" w:color="FFFFFF" w:sz="0"/>
        <w:insideH w:val="none" w:color="FFFFFF" w:sz="0"/>
        <w:insideV w:val="none" w:color="FFFFFF" w:sz="0"/>
      </w:tblBorders>
      <w:tblLayout w:type="fixed"/>
    </w:tblPr>
    <w:tblGrid>
      <w:gridCol w:w="520"/>
      <w:gridCol w:w="9226"/>
    </w:tblGrid>
    <w:tr>
      <w:tc>
        <w:tcPr>
          <w:tcW w:type="dxa" w:w="520"/>
          <w:tcBorders>
            <w:top w:val="none" w:color="FFFFFF" w:sz="0"/>
            <w:left w:val="none" w:color="FFFFFF" w:sz="0"/>
            <w:bottom w:val="none" w:color="FFFFFF" w:sz="0"/>
            <w:right w:val="none" w:color="FFFFFF" w:sz="0"/>
          </w:tcBorders>
          <w:tcMar>
            <w:bottom w:type="dxa" w:w="60"/>
          </w:tcMar>
          <w:vAlign w:val="center"/>
        </w:tcPr>
        <w:p>
          <w:r>
            <w:drawing>
              <wp:inline distT="0" distB="0" distL="0" distR="0">
                <wp:extent cx="2476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47650" cy="247650"/>
                        </a:xfrm>
                        <a:prstGeom prst="rect">
                          <a:avLst/>
                        </a:prstGeom>
                      </pic:spPr>
                    </pic:pic>
                  </a:graphicData>
                </a:graphic>
              </wp:inline>
            </w:drawing>
          </w:r>
        </w:p>
      </w:tc>
      <w:tc>
        <w:tcPr>
          <w:tcW w:type="dxa" w:w="9226"/>
          <w:tcBorders>
            <w:top w:val="none" w:color="FFFFFF" w:sz="0"/>
            <w:left w:val="none" w:color="FFFFFF" w:sz="0"/>
            <w:bottom w:val="none" w:color="FFFFFF" w:sz="0"/>
            <w:right w:val="none" w:color="FFFFFF" w:sz="0"/>
          </w:tcBorders>
          <w:tcMar>
            <w:left w:type="dxa" w:w="60"/>
            <w:bottom w:type="dxa" w:w="60"/>
          </w:tcMar>
          <w:vAlign w:val="center"/>
        </w:tcPr>
        <w:p>
          <w:pPr>
            <w:tabs>
              <w:tab w:val="right" w:pos="9226"/>
            </w:tabs>
          </w:pPr>
          <w:r>
            <w:rPr>
              <w:rFonts w:ascii="Segoe UI" w:cs="Segoe UI" w:eastAsia="Segoe UI" w:hAnsi="Segoe UI"/>
              <w:b/>
              <w:bCs/>
              <w:i w:val="false"/>
              <w:iCs w:val="false"/>
              <w:caps w:val="false"/>
              <w:color w:val="042F52"/>
              <w:sz w:val="16"/>
              <w:szCs w:val="16"/>
            </w:rPr>
            <w:t xml:space="preserve">SoftMed</w:t>
          </w:r>
          <w:r>
            <w:rPr>
              <w:rFonts w:ascii="Segoe UI" w:cs="Segoe UI" w:eastAsia="Segoe UI" w:hAnsi="Segoe UI"/>
              <w:b w:val="false"/>
              <w:bCs w:val="false"/>
              <w:i w:val="false"/>
              <w:iCs w:val="false"/>
              <w:caps w:val="false"/>
              <w:color w:val="5B6B7C"/>
              <w:sz w:val="16"/>
              <w:szCs w:val="16"/>
            </w:rPr>
            <w:t xml:space="preserve">   ·   Proposition commerciale</w:t>
          </w:r>
          <w:r>
            <w:rPr>
              <w:rFonts w:ascii="Segoe UI" w:cs="Segoe UI" w:eastAsia="Segoe UI" w:hAnsi="Segoe UI"/>
              <w:color w:val="8A97A6"/>
              <w:sz w:val="15"/>
              <w:szCs w:val="15"/>
            </w:rPr>
            <w:t xml:space="preserve">	Soft Services Technologiques</w:t>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rPr>
        <w:color w:val="1D6FE3"/>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A3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f56d6da93239d9af0ce50f6951ae044224a64fce.png"/><Relationship Id="rId12" Type="http://schemas.openxmlformats.org/officeDocument/2006/relationships/image" Target="media/0900f3fd10f446a78a7162c2c1563610ca07230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f8655535a73433b83caf2107640750a64fd7308.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Proposition commerciale SoftMed</dc:title>
  <dc:creator>Soft Services Technologiques (SST)</dc:creator>
  <dc:description>Proposition commerciale &amp; technique SoftMed</dc:description>
  <cp:lastModifiedBy>Un-named</cp:lastModifiedBy>
  <cp:revision>1</cp:revision>
  <dcterms:created xsi:type="dcterms:W3CDTF">2026-08-24T16:32:12.584Z</dcterms:created>
  <dcterms:modified xsi:type="dcterms:W3CDTF">2026-08-24T16:32:12.585Z</dcterms:modified>
</cp:coreProperties>
</file>

<file path=docProps/custom.xml><?xml version="1.0" encoding="utf-8"?>
<Properties xmlns="http://schemas.openxmlformats.org/officeDocument/2006/custom-properties" xmlns:vt="http://schemas.openxmlformats.org/officeDocument/2006/docPropsVTypes"/>
</file>