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26EDA" w14:textId="629AA59F" w:rsidR="00017C9B" w:rsidRDefault="006C11F7">
      <w:r w:rsidRPr="006C11F7">
        <w:t>Les rubriques sont utili</w:t>
      </w:r>
      <w:r w:rsidR="00A83E84">
        <w:t>s</w:t>
      </w:r>
      <w:r w:rsidRPr="006C11F7">
        <w:t>ées dans la facturation, voici comment on a conçu leurs codes. Les code des rubriques qui comment par 10 concerne</w:t>
      </w:r>
      <w:r w:rsidR="00A83E84">
        <w:t>n</w:t>
      </w:r>
      <w:r w:rsidRPr="006C11F7">
        <w:t>t les taxes, les 2 autres correspondent au code de</w:t>
      </w:r>
      <w:r w:rsidR="00A83E84">
        <w:t xml:space="preserve"> </w:t>
      </w:r>
      <w:r w:rsidRPr="006C11F7">
        <w:t>la taxe. Ex Code Rubrique 1001 10 signifie que c'est une taxe et 01 indique qu'il s'agit de Droit de douane.</w:t>
      </w:r>
      <w:r w:rsidR="003F7351">
        <w:t xml:space="preserve"> Pour le code rubrique </w:t>
      </w:r>
      <w:r w:rsidR="003F7351" w:rsidRPr="003F7351">
        <w:t>1005</w:t>
      </w:r>
      <w:r w:rsidR="003F7351">
        <w:t xml:space="preserve">, 10 veut dire qu’il s’agit d’une taxe et 05 indique que la taxe est </w:t>
      </w:r>
      <w:r w:rsidR="003F7351" w:rsidRPr="003F7351">
        <w:t>TAXE SUR LA VALEUR AJOUTEE</w:t>
      </w:r>
      <w:r w:rsidR="003F7351">
        <w:t>. Lors de la facturation, la TVA (celle qui est applicable au CA de la société) ne sera pas appliquée sur les montants des rubriques dont le code commence par 10</w:t>
      </w:r>
    </w:p>
    <w:p w14:paraId="2EC03C34" w14:textId="57B5C23D" w:rsidR="003251B6" w:rsidRDefault="003F7351">
      <w:r>
        <w:t>Les codes des rubriques qui commencent par 11 correspondent aux débours</w:t>
      </w:r>
      <w:r w:rsidR="003251B6">
        <w:t xml:space="preserve"> c’est-à-dire les remboursements des</w:t>
      </w:r>
      <w:r>
        <w:t xml:space="preserve"> </w:t>
      </w:r>
      <w:r w:rsidR="003251B6">
        <w:t>factures de sociétés tierces que</w:t>
      </w:r>
      <w:r>
        <w:t xml:space="preserve"> la société</w:t>
      </w:r>
      <w:r w:rsidR="003251B6">
        <w:t xml:space="preserve"> a payées pour le compte de ses clients et là aussi, la TVA n’est pas applicable sur les m</w:t>
      </w:r>
      <w:r w:rsidR="00775FBE">
        <w:t>o</w:t>
      </w:r>
      <w:r w:rsidR="003251B6">
        <w:t>ntants</w:t>
      </w:r>
      <w:r w:rsidR="00775FBE">
        <w:t>.</w:t>
      </w:r>
    </w:p>
    <w:p w14:paraId="4E6B8CCE" w14:textId="134322E3" w:rsidR="003F7351" w:rsidRDefault="00775FBE">
      <w:r>
        <w:t xml:space="preserve">Les codes des rubriques qui commencent par </w:t>
      </w:r>
      <w:r>
        <w:t>40</w:t>
      </w:r>
      <w:r>
        <w:t xml:space="preserve"> correspondent aux</w:t>
      </w:r>
      <w:r>
        <w:t xml:space="preserve"> </w:t>
      </w:r>
      <w:r w:rsidR="003251B6">
        <w:t xml:space="preserve">prestations </w:t>
      </w:r>
      <w:r>
        <w:t>propres de la société</w:t>
      </w:r>
      <w:r w:rsidR="003251B6">
        <w:t xml:space="preserve"> </w:t>
      </w:r>
      <w:r w:rsidR="003251B6">
        <w:t>et la TVA leur sera appliquée</w:t>
      </w:r>
    </w:p>
    <w:p w14:paraId="459F81CB" w14:textId="1652E3FD" w:rsidR="00492368" w:rsidRDefault="00492368">
      <w:r>
        <w:t xml:space="preserve">Les codes des rubriques qui commencent par </w:t>
      </w:r>
      <w:r>
        <w:t>18</w:t>
      </w:r>
      <w:r>
        <w:t xml:space="preserve"> correspondent aux </w:t>
      </w:r>
      <w:r>
        <w:t>opérations de caisse et ne peuvent pas apparaître sur les factures.</w:t>
      </w:r>
    </w:p>
    <w:p w14:paraId="15163009" w14:textId="56622EA4" w:rsidR="00492368" w:rsidRDefault="00492368">
      <w:r>
        <w:t>Il existe différents types de factures :</w:t>
      </w:r>
    </w:p>
    <w:p w14:paraId="26B83C0E" w14:textId="4F74AC2C" w:rsidR="00492368" w:rsidRDefault="00492368">
      <w:r>
        <w:t>Les factures douane ne comportent que des rubriques dont le code commence par 10 et dans ce cas le code de la facture doit être préfixé par FD (facture douane) suivi de chiffres à incrémenter.</w:t>
      </w:r>
    </w:p>
    <w:p w14:paraId="2F049472" w14:textId="6ADAC6CF" w:rsidR="00492368" w:rsidRDefault="00492368" w:rsidP="00492368">
      <w:r>
        <w:t xml:space="preserve">Les factures </w:t>
      </w:r>
      <w:r>
        <w:t>prestations</w:t>
      </w:r>
      <w:r>
        <w:t xml:space="preserve"> ne comportent </w:t>
      </w:r>
      <w:r>
        <w:t>aucune</w:t>
      </w:r>
      <w:r>
        <w:t xml:space="preserve"> rubrique dont le code commence par 10 et dans ce cas le code de la facture doit être préfixé par F</w:t>
      </w:r>
      <w:r w:rsidR="00E10923">
        <w:t>P</w:t>
      </w:r>
      <w:r>
        <w:t xml:space="preserve"> (facture </w:t>
      </w:r>
      <w:r w:rsidR="00E10923">
        <w:t>prestations</w:t>
      </w:r>
      <w:r>
        <w:t>) suivi de chiffres à incrémenter.</w:t>
      </w:r>
    </w:p>
    <w:p w14:paraId="58205570" w14:textId="2FFB4BCF" w:rsidR="00E10923" w:rsidRDefault="00E10923" w:rsidP="00E10923">
      <w:r>
        <w:t xml:space="preserve">Les factures </w:t>
      </w:r>
      <w:r>
        <w:t>globales</w:t>
      </w:r>
      <w:r>
        <w:t xml:space="preserve"> comportent des rubriques dont le code commence par 10</w:t>
      </w:r>
      <w:r>
        <w:t xml:space="preserve"> et </w:t>
      </w:r>
      <w:r>
        <w:t xml:space="preserve">des rubriques dont le code </w:t>
      </w:r>
      <w:r>
        <w:t xml:space="preserve">ne </w:t>
      </w:r>
      <w:r>
        <w:t xml:space="preserve">commence </w:t>
      </w:r>
      <w:r>
        <w:t xml:space="preserve">pas </w:t>
      </w:r>
      <w:r>
        <w:t>par 10 et dans ce cas le code de la facture doit être préfixé par F</w:t>
      </w:r>
      <w:r>
        <w:t>G</w:t>
      </w:r>
      <w:r>
        <w:t xml:space="preserve"> (facture </w:t>
      </w:r>
      <w:r>
        <w:t>globale</w:t>
      </w:r>
      <w:r>
        <w:t>) suivi de chiffres à incrémenter.</w:t>
      </w:r>
    </w:p>
    <w:p w14:paraId="1EF7FFAD" w14:textId="6D5B5740" w:rsidR="00572B04" w:rsidRDefault="00572B04" w:rsidP="00E10923">
      <w:r>
        <w:t>Il existe plusieurs méthodes pour établir une facture :</w:t>
      </w:r>
    </w:p>
    <w:p w14:paraId="7E458533" w14:textId="3063B28F" w:rsidR="00572B04" w:rsidRDefault="00572B04" w:rsidP="00E10923">
      <w:r>
        <w:t>Le système affiche toutes les rubriques de facturation dont le code ne commence pas par 18 et l’utilisateur sélectionne les rubriques qui figureront sur la facture courante et pour chacune de ces rubriques, il doit saisir le montant en monnaie nationale (ici le F CFA)</w:t>
      </w:r>
      <w:r w:rsidR="00D00FF9">
        <w:t xml:space="preserve"> et en fonction des cas, la facture doit afficher les rubriques triées dans l‘ordre croissant du code et déterminer les sous-tota</w:t>
      </w:r>
      <w:r w:rsidR="00CE6668">
        <w:t>l</w:t>
      </w:r>
      <w:r w:rsidR="00D00FF9">
        <w:t xml:space="preserve"> douane (codes qui commencent par 10), </w:t>
      </w:r>
      <w:r w:rsidR="00CE6668">
        <w:t xml:space="preserve">sous-total </w:t>
      </w:r>
      <w:r w:rsidR="00D00FF9">
        <w:t xml:space="preserve">débours (codes qui commencent par 11), </w:t>
      </w:r>
      <w:r w:rsidR="00CE6668">
        <w:t>sous-total</w:t>
      </w:r>
      <w:r w:rsidR="00CE6668">
        <w:t xml:space="preserve"> </w:t>
      </w:r>
      <w:r w:rsidR="00D00FF9">
        <w:t>prestations (codes qui commencent par 40) ensuite il fait la somme de sous-totaux pour avoir le total HT</w:t>
      </w:r>
      <w:r w:rsidR="00CE6668">
        <w:t xml:space="preserve">, il calcule ensuite le montant de la TVA en appliquant le taux de la TVA sur le </w:t>
      </w:r>
      <w:r w:rsidR="00CE6668">
        <w:t>sous-total prestations</w:t>
      </w:r>
      <w:r w:rsidR="00CE6668">
        <w:t xml:space="preserve"> et puis détermine le total TTC le tout en monnaie nationale. Pour terminer, ce total sera converti en Euros en appliquant le taux de change</w:t>
      </w:r>
    </w:p>
    <w:p w14:paraId="55F94D89" w14:textId="77777777" w:rsidR="00E10923" w:rsidRDefault="00E10923" w:rsidP="00492368"/>
    <w:p w14:paraId="685E7401" w14:textId="77777777" w:rsidR="00492368" w:rsidRDefault="00492368"/>
    <w:sectPr w:rsidR="004923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1F7"/>
    <w:rsid w:val="00017C9B"/>
    <w:rsid w:val="003251B6"/>
    <w:rsid w:val="003F7351"/>
    <w:rsid w:val="00492368"/>
    <w:rsid w:val="0054453D"/>
    <w:rsid w:val="0055104D"/>
    <w:rsid w:val="00572B04"/>
    <w:rsid w:val="006C11F7"/>
    <w:rsid w:val="00775FBE"/>
    <w:rsid w:val="00935EBC"/>
    <w:rsid w:val="00A83E84"/>
    <w:rsid w:val="00CE6668"/>
    <w:rsid w:val="00D00FF9"/>
    <w:rsid w:val="00E109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A3622"/>
  <w15:chartTrackingRefBased/>
  <w15:docId w15:val="{D1D46128-E430-4871-A0A1-15D643BE8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923"/>
  </w:style>
  <w:style w:type="paragraph" w:styleId="Titre1">
    <w:name w:val="heading 1"/>
    <w:basedOn w:val="Normal"/>
    <w:next w:val="Normal"/>
    <w:link w:val="Titre1Car"/>
    <w:uiPriority w:val="9"/>
    <w:qFormat/>
    <w:rsid w:val="006C11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C11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C11F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C11F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C11F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C11F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C11F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C11F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C11F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C11F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C11F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C11F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C11F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C11F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C11F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C11F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C11F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C11F7"/>
    <w:rPr>
      <w:rFonts w:eastAsiaTheme="majorEastAsia" w:cstheme="majorBidi"/>
      <w:color w:val="272727" w:themeColor="text1" w:themeTint="D8"/>
    </w:rPr>
  </w:style>
  <w:style w:type="paragraph" w:styleId="Titre">
    <w:name w:val="Title"/>
    <w:basedOn w:val="Normal"/>
    <w:next w:val="Normal"/>
    <w:link w:val="TitreCar"/>
    <w:uiPriority w:val="10"/>
    <w:qFormat/>
    <w:rsid w:val="006C1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C11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C11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C11F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C11F7"/>
    <w:pPr>
      <w:spacing w:before="160"/>
      <w:jc w:val="center"/>
    </w:pPr>
    <w:rPr>
      <w:i/>
      <w:iCs/>
      <w:color w:val="404040" w:themeColor="text1" w:themeTint="BF"/>
    </w:rPr>
  </w:style>
  <w:style w:type="character" w:customStyle="1" w:styleId="CitationCar">
    <w:name w:val="Citation Car"/>
    <w:basedOn w:val="Policepardfaut"/>
    <w:link w:val="Citation"/>
    <w:uiPriority w:val="29"/>
    <w:rsid w:val="006C11F7"/>
    <w:rPr>
      <w:i/>
      <w:iCs/>
      <w:color w:val="404040" w:themeColor="text1" w:themeTint="BF"/>
    </w:rPr>
  </w:style>
  <w:style w:type="paragraph" w:styleId="Paragraphedeliste">
    <w:name w:val="List Paragraph"/>
    <w:basedOn w:val="Normal"/>
    <w:uiPriority w:val="34"/>
    <w:qFormat/>
    <w:rsid w:val="006C11F7"/>
    <w:pPr>
      <w:ind w:left="720"/>
      <w:contextualSpacing/>
    </w:pPr>
  </w:style>
  <w:style w:type="character" w:styleId="Accentuationintense">
    <w:name w:val="Intense Emphasis"/>
    <w:basedOn w:val="Policepardfaut"/>
    <w:uiPriority w:val="21"/>
    <w:qFormat/>
    <w:rsid w:val="006C11F7"/>
    <w:rPr>
      <w:i/>
      <w:iCs/>
      <w:color w:val="2F5496" w:themeColor="accent1" w:themeShade="BF"/>
    </w:rPr>
  </w:style>
  <w:style w:type="paragraph" w:styleId="Citationintense">
    <w:name w:val="Intense Quote"/>
    <w:basedOn w:val="Normal"/>
    <w:next w:val="Normal"/>
    <w:link w:val="CitationintenseCar"/>
    <w:uiPriority w:val="30"/>
    <w:qFormat/>
    <w:rsid w:val="006C1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C11F7"/>
    <w:rPr>
      <w:i/>
      <w:iCs/>
      <w:color w:val="2F5496" w:themeColor="accent1" w:themeShade="BF"/>
    </w:rPr>
  </w:style>
  <w:style w:type="character" w:styleId="Rfrenceintense">
    <w:name w:val="Intense Reference"/>
    <w:basedOn w:val="Policepardfaut"/>
    <w:uiPriority w:val="32"/>
    <w:qFormat/>
    <w:rsid w:val="006C11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411</Words>
  <Characters>2262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Mame Mbaye NDIAYE</dc:creator>
  <cp:keywords/>
  <dc:description/>
  <cp:lastModifiedBy>Mame Mbaye NDIAYE</cp:lastModifiedBy>
  <cp:revision>8</cp:revision>
  <dcterms:created xsi:type="dcterms:W3CDTF">2026-02-20T16:53:00Z</dcterms:created>
  <dcterms:modified xsi:type="dcterms:W3CDTF">2026-02-20T18:24:00Z</dcterms:modified>
</cp:coreProperties>
</file>