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A2A28"/>
          <w:sz w:val="34"/>
          <w:szCs w:val="34"/>
        </w:rPr>
        <w:t xml:space="preserve">Padrão de Design — Orizon Studio</w:t>
      </w:r>
    </w:p>
    <w:p>
      <w:pPr>
        <w:spacing w:after="200"/>
      </w:pPr>
      <w:r>
        <w:rPr>
          <w:i/>
          <w:iCs/>
          <w:color w:val="9C7A0C"/>
          <w:sz w:val="18"/>
          <w:szCs w:val="18"/>
        </w:rPr>
        <w:t xml:space="preserve">v10 — 2026-07-09 · Botão Primário: token dedicado, quebra padrão de --accent (cinza no claro, petróleo+borda no escuro)</w:t>
      </w:r>
    </w:p>
    <w:p>
      <w:pPr>
        <w:pBdr>
          <w:bottom w:val="single" w:color="D9D7D0" w:sz="6"/>
        </w:pBd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2A2A28"/>
          <w:sz w:val="26"/>
          <w:szCs w:val="26"/>
        </w:rPr>
        <w:t xml:space="preserve">1. Perfil de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Tema dual, selecionável pelo usuário — claro e escuro, mesma paleta semântica, luminosidade invertida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Accent primário: petróleo — ação, foco, navegação ativa, links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Accent secundário de marca: dourado Dalmóbile — reservado a badge "Fechado", logo, cabeçalhos de documentos gerados (contrato, orçamento). Não usar em botões de ação.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Tipografia: uma única família sans em todo o app — hierarquia por peso/tamanho, não por troca de fonte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Mono (IBM Plex Mono): exceção funcional só para alinhamento de valores monetários/numéricos em tabela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Estética: clean, espaçoso, hierarquia por peso e espaço — não por saturação de cor (linha NetSuite/Zoho)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Profundidade por sombra sutil, não por contorno — bordas quase invisíveis; elevação vem de --shadow, não de stroke. Evita o aspecto "terminal" do tema escuro anterior.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Transição de 150ms em todos os estados interativos (hover, focus, active) — reforça sensação de material, não de comando binário</w:t>
      </w:r>
    </w:p>
    <w:p>
      <w:pPr>
        <w:pBdr>
          <w:bottom w:val="single" w:color="D9D7D0" w:sz="6"/>
        </w:pBd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2A2A28"/>
          <w:sz w:val="26"/>
          <w:szCs w:val="26"/>
        </w:rPr>
        <w:t xml:space="preserve">2. Tokens de cor</w:t>
      </w:r>
    </w:p>
    <w:p>
      <w:pPr>
        <w:pStyle w:val="Heading2"/>
        <w:spacing w:after="80" w:before="200"/>
      </w:pPr>
      <w:r>
        <w:rPr>
          <w:b/>
          <w:bCs/>
          <w:color w:val="1F4B4B"/>
          <w:sz w:val="21"/>
          <w:szCs w:val="21"/>
        </w:rPr>
        <w:t xml:space="preserve">2.1 Superfícies e texto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080"/>
        <w:gridCol w:w="3960"/>
      </w:tblGrid>
      <w:tr>
        <w:tc>
          <w:tcPr>
            <w:tcW w:type="pct" w:w="16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pct" w:w="12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Claro</w:t>
            </w:r>
          </w:p>
        </w:tc>
        <w:tc>
          <w:tcPr>
            <w:tcW w:type="pct" w:w="12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Escuro</w:t>
            </w:r>
          </w:p>
        </w:tc>
        <w:tc>
          <w:tcPr>
            <w:tcW w:type="pct" w:w="44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Papel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--bg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#FFFFFF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#181C1E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Fundo da página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--surface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#F7F7F5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#1D2224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Sidebar, topbar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--surface-2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#FFFFFF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#232A2C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Cards, inputs, dropdowns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--border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#DDDAD2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#2A3234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Divisor padrão (quase invisível no escuro)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--border-strong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#C9C6BC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#3A4548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Hover, ênfase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--text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#2A2A28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#E8EAE9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Texto primário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--muted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#6B6860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#8C979A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Texto secundário, labels — corrigido para WCAG AA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--shadow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0 1px 2px rgba(0,0,0,.06)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0 2px 6px rgba(0,0,0,.35)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Elevação — substitui borda como fonte de profundidade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1F4B4B"/>
          <w:sz w:val="21"/>
          <w:szCs w:val="21"/>
        </w:rPr>
        <w:t xml:space="preserve">2.2 Accent e marca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080"/>
        <w:gridCol w:w="3960"/>
      </w:tblGrid>
      <w:tr>
        <w:tc>
          <w:tcPr>
            <w:tcW w:type="pct" w:w="16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pct" w:w="12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Claro</w:t>
            </w:r>
          </w:p>
        </w:tc>
        <w:tc>
          <w:tcPr>
            <w:tcW w:type="pct" w:w="12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Escuro</w:t>
            </w:r>
          </w:p>
        </w:tc>
        <w:tc>
          <w:tcPr>
            <w:tcW w:type="pct" w:w="44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Papel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--accent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#1F4B4B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#5BB8AC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Petróleo — ação primária, foco, nav ativo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--accent-tint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rgba(31,75,75,.10)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rgba(91,184,172,.14)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Fundo hover/ativo (substitui laranja legado)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--gold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#9C7A0C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#D4B348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Dourado Dalmóbile — marca, "Fechado", documentos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--gold-tint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rgba(184,150,12,.14)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rgba(212,179,72,.16)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Fundo de badge dourado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1F4B4B"/>
          <w:sz w:val="21"/>
          <w:szCs w:val="21"/>
        </w:rPr>
        <w:t xml:space="preserve">2.3 Semânticas de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080"/>
        <w:gridCol w:w="3960"/>
      </w:tblGrid>
      <w:tr>
        <w:tc>
          <w:tcPr>
            <w:tcW w:type="pct" w:w="16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pct" w:w="12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Claro</w:t>
            </w:r>
          </w:p>
        </w:tc>
        <w:tc>
          <w:tcPr>
            <w:tcW w:type="pct" w:w="12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Escuro</w:t>
            </w:r>
          </w:p>
        </w:tc>
        <w:tc>
          <w:tcPr>
            <w:tcW w:type="pct" w:w="44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Papel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--warn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#EF9F27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#EF9F27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Aviso do sistema (âmbar)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--err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#D64A3C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#E2876C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Erro, ação de perigo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--info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#2266A8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#7DB3E8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Informativo (mesma cor do status "frio")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1F4B4B"/>
          <w:sz w:val="21"/>
          <w:szCs w:val="21"/>
        </w:rPr>
        <w:t xml:space="preserve">2.4 Status de negócio (badges)</w:t>
      </w:r>
    </w:p>
    <w:p>
      <w:pPr>
        <w:spacing w:after="100"/>
      </w:pPr>
      <w:r>
        <w:rPr>
          <w:i/>
          <w:iCs/>
          <w:color w:val="6B6A64"/>
          <w:sz w:val="18"/>
          <w:szCs w:val="18"/>
        </w:rPr>
        <w:t xml:space="preserve">Semântica de negócio já existe no código (_PROJ_STATUS_LABEL) — aqui só tokenizamos a cor.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080"/>
        <w:gridCol w:w="3960"/>
      </w:tblGrid>
      <w:tr>
        <w:tc>
          <w:tcPr>
            <w:tcW w:type="pct" w:w="16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pct" w:w="12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Claro</w:t>
            </w:r>
          </w:p>
        </w:tc>
        <w:tc>
          <w:tcPr>
            <w:tcW w:type="pct" w:w="12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Escuro</w:t>
            </w:r>
          </w:p>
        </w:tc>
        <w:tc>
          <w:tcPr>
            <w:tcW w:type="pct" w:w="44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--st-quente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#B1452A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#E2876C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Lead quente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--st-morno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#B87A1E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#E8B458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Lead morno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--st-frio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var(--info)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var(--info)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Lead frio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--st-convertido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var(--accent)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var(--accent)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Ganho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--st-fechado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var(--gold)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var(--gold)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Contrato fechado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--st-perdido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var(--muted)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var(--muted)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Perdido</w:t>
            </w:r>
          </w:p>
        </w:tc>
      </w:tr>
    </w:tbl>
    <w:p>
      <w:pPr>
        <w:pBdr>
          <w:bottom w:val="single" w:color="D9D7D0" w:sz="6"/>
        </w:pBd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2A2A28"/>
          <w:sz w:val="26"/>
          <w:szCs w:val="26"/>
        </w:rPr>
        <w:t xml:space="preserve">3. Tipografia</w:t>
      </w:r>
    </w:p>
    <w:p>
      <w:pPr>
        <w:spacing w:after="80"/>
      </w:pPr>
      <w:r>
        <w:rPr>
          <w:sz w:val="20"/>
          <w:szCs w:val="20"/>
        </w:rPr>
        <w:t xml:space="preserve">Família única: Inter (ou system-ui como fallback). Mono reservado a números em tabela.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50"/>
        <w:gridCol w:w="1350"/>
        <w:gridCol w:w="3600"/>
      </w:tblGrid>
      <w:tr>
        <w:tc>
          <w:tcPr>
            <w:tcW w:type="pct" w:w="30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pct" w:w="15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Tamanho</w:t>
            </w:r>
          </w:p>
        </w:tc>
        <w:tc>
          <w:tcPr>
            <w:tcW w:type="pct" w:w="15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Peso</w:t>
            </w:r>
          </w:p>
        </w:tc>
        <w:tc>
          <w:tcPr>
            <w:tcW w:type="pct" w:w="40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Extras</w:t>
            </w:r>
          </w:p>
        </w:tc>
      </w:tr>
      <w:tr>
        <w:tc>
          <w:tcPr>
            <w:tcW w:type="pct" w:w="3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Título de página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20px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500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pct" w:w="3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Header de coluna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11px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500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uppercase, letter-spacing .5px, --muted</w:t>
            </w:r>
          </w:p>
        </w:tc>
      </w:tr>
      <w:tr>
        <w:tc>
          <w:tcPr>
            <w:tcW w:type="pct" w:w="3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Item de menu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13px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500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pct" w:w="3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Corpo / célula de tabela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13px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400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pct" w:w="3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Botão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13px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500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pct" w:w="3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Label de campo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12px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400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--muted</w:t>
            </w:r>
          </w:p>
        </w:tc>
      </w:tr>
      <w:tr>
        <w:tc>
          <w:tcPr>
            <w:tcW w:type="pct" w:w="3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Valor numérico/monetário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13px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400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IBM Plex Mono, alinhado à direita</w:t>
            </w:r>
          </w:p>
        </w:tc>
      </w:tr>
    </w:tbl>
    <w:p>
      <w:pPr>
        <w:pBdr>
          <w:bottom w:val="single" w:color="D9D7D0" w:sz="6"/>
        </w:pBd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2A2A28"/>
          <w:sz w:val="26"/>
          <w:szCs w:val="26"/>
        </w:rPr>
        <w:t xml:space="preserve">4. Componentes</w:t>
      </w:r>
    </w:p>
    <w:p>
      <w:pPr>
        <w:pStyle w:val="Heading2"/>
        <w:spacing w:after="80" w:before="200"/>
      </w:pPr>
      <w:r>
        <w:rPr>
          <w:b/>
          <w:bCs/>
          <w:color w:val="1F4B4B"/>
          <w:sz w:val="21"/>
          <w:szCs w:val="21"/>
        </w:rPr>
        <w:t xml:space="preserve">Botões — variante (cor/função)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Primário: NÃO usa --accent (decisão v10 — ver "Botão Primário" abaixo, token próprio, dedicado)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Secundário — fundo --surface-2, sombra --shadow para profundidade. Borda: visível (--border) no tema claro; sem borda, só sombra, no tema escuro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Perigo — transparente, borda/texto --err; hover: bg tint de --err</w:t>
      </w:r>
    </w:p>
    <w:p>
      <w:pPr>
        <w:shd w:fill="FBF3E3" w:val="clear"/>
        <w:spacing w:after="120"/>
      </w:pPr>
      <w:r>
        <w:rPr>
          <w:color w:val="8A5A00"/>
          <w:sz w:val="19"/>
          <w:szCs w:val="19"/>
        </w:rPr>
        <w:t xml:space="preserve">⚠ Correção (v5): "secundário sem borda" só funciona onde a superfície já se distingue do fundo (tema escuro, ou cards). No tema claro, com --bg e --surface-2 quase brancos os dois, sombra sozinha não separa — o botão fica ilegível (caso real: "Imprimir Orçamento"). Regra agora é condicional por tema, não universal.</w:t>
      </w:r>
    </w:p>
    <w:p>
      <w:pPr>
        <w:pStyle w:val="Heading2"/>
        <w:spacing w:after="80" w:before="200"/>
      </w:pPr>
      <w:r>
        <w:rPr>
          <w:b/>
          <w:bCs/>
          <w:color w:val="1F4B4B"/>
          <w:sz w:val="21"/>
          <w:szCs w:val="21"/>
        </w:rPr>
        <w:t xml:space="preserve">Botão Primário — token próprio, deliberadamente diferente de --accent (v10)</w:t>
      </w:r>
    </w:p>
    <w:p>
      <w:pPr>
        <w:spacing w:after="80"/>
      </w:pPr>
      <w:r>
        <w:rPr>
          <w:sz w:val="20"/>
          <w:szCs w:val="20"/>
        </w:rPr>
        <w:t xml:space="preserve">Decisão de design (não é bug): o botão primário quebra o padrão de cor do resto da interface. --accent (petróleo/menta) continua valendo para tudo o mais — menu ativo, links, foco, badges, sublinhado de aba. Só o botão primário usa a paleta abaixo.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c>
          <w:tcPr>
            <w:tcW w:type="pct" w:w="16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pct" w:w="42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Tema claro</w:t>
            </w:r>
          </w:p>
        </w:tc>
        <w:tc>
          <w:tcPr>
            <w:tcW w:type="pct" w:w="42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Tema escuro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--btn-primary-bg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#666666 (cinza neutro — sem cor de marca)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#193430 (petróleo bem escurecido, perto do fundo)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--btn-primary-text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#FFFFFF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#EAF5F2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--btn-primary-border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nenhuma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1.5px #59C0B2 (linha viva — é isso que dá o destaque, não o preenchimento)</w:t>
            </w:r>
          </w:p>
        </w:tc>
      </w:tr>
      <w:tr>
        <w:tc>
          <w:tcPr>
            <w:tcW w:type="pct" w:w="16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--btn-primary-shadow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0 2px 8px rgba(0,0,0,.12)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0 6px 20px rgba(0,0,0,.55) — mais forte que --shadow padrão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claro: contraste vem só do valor tonal (cinza escuro sobre superfície clara) — sem matiz de marca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escuro: contraste vem de borda + sombra, não do preenchimento — fill fica próximo da luminosidade do fundo de propósito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1 botão primário por tela · sempre via token (var(--btn-primary-bg)), nunca hex literal — mesmo princípio já fixado para --accent, agora vale para este token também</w:t>
      </w:r>
    </w:p>
    <w:p>
      <w:pPr>
        <w:spacing w:after="100"/>
      </w:pPr>
      <w:r>
        <w:rPr>
          <w:i/>
          <w:iCs/>
          <w:color w:val="6B6A64"/>
          <w:sz w:val="18"/>
          <w:szCs w:val="18"/>
        </w:rPr>
        <w:t xml:space="preserve">Histórico da decisão: testamos petróleo sólido (agressivo demais, isolado), depois azul-ardósia (mesma queixa), até chegar nesta divisão de estratégia por tema — cinza no claro, petróleo escurecido+borda no escuro.</w:t>
      </w:r>
    </w:p>
    <w:p>
      <w:pPr>
        <w:pStyle w:val="Heading2"/>
        <w:spacing w:after="80" w:before="200"/>
      </w:pPr>
      <w:r>
        <w:rPr>
          <w:b/>
          <w:bCs/>
          <w:color w:val="1F4B4B"/>
          <w:sz w:val="21"/>
          <w:szCs w:val="21"/>
        </w:rPr>
        <w:t xml:space="preserve">Botões — escala de tamanho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800"/>
        <w:gridCol w:w="1620"/>
        <w:gridCol w:w="1260"/>
        <w:gridCol w:w="3060"/>
      </w:tblGrid>
      <w:tr>
        <w:tc>
          <w:tcPr>
            <w:tcW w:type="pct" w:w="14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Tamanho</w:t>
            </w:r>
          </w:p>
        </w:tc>
        <w:tc>
          <w:tcPr>
            <w:tcW w:type="pct" w:w="20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Altura fixa</w:t>
            </w:r>
          </w:p>
        </w:tc>
        <w:tc>
          <w:tcPr>
            <w:tcW w:type="pct" w:w="18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pct" w:w="14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Radius</w:t>
            </w:r>
          </w:p>
        </w:tc>
        <w:tc>
          <w:tcPr>
            <w:tcW w:type="pct" w:w="34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Uso típico</w:t>
            </w:r>
          </w:p>
        </w:tc>
      </w:tr>
      <w:tr>
        <w:tc>
          <w:tcPr>
            <w:tcW w:type="pct" w:w="1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sm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28px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11px/500</w:t>
            </w:r>
          </w:p>
        </w:tc>
        <w:tc>
          <w:tcPr>
            <w:tcW w:type="pct" w:w="1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6px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ação inline em linha de tabela (ex. "Abrir")</w:t>
            </w:r>
          </w:p>
        </w:tc>
      </w:tr>
      <w:tr>
        <w:tc>
          <w:tcPr>
            <w:tcW w:type="pct" w:w="1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md (padrão)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36px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13px/500</w:t>
            </w:r>
          </w:p>
        </w:tc>
        <w:tc>
          <w:tcPr>
            <w:tcW w:type="pct" w:w="1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8px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ação de tela (ex. "+ Novo projeto")</w:t>
            </w:r>
          </w:p>
        </w:tc>
      </w:tr>
      <w:tr>
        <w:tc>
          <w:tcPr>
            <w:tcW w:type="pct" w:w="1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lg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44px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14px/500</w:t>
            </w:r>
          </w:p>
        </w:tc>
        <w:tc>
          <w:tcPr>
            <w:tcW w:type="pct" w:w="1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8px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ação primária de destaque (ex. confirmar contrato)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1F4B4B"/>
          <w:sz w:val="21"/>
          <w:szCs w:val="21"/>
        </w:rPr>
        <w:t xml:space="preserve">Botões — regra de dimensão (sem exceção)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Altura é fixa por tamanho — nunca cresce para caber o texto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Largura: conteúdo + padding, com max-width por contexto (ex. botão de tabela ≤140px); texto que excede trunca com reticências (…), nunca estica o botão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Radius: sempre o da escala do tamanho — nunca 0, nunca valor customizado ad-hoc. Nenhuma exceção "especial".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Rótulo: 1–3 palavras. Ação com texto mais longo vira link ou item de menu, não botão.</w:t>
      </w:r>
    </w:p>
    <w:p>
      <w:pPr>
        <w:pStyle w:val="Heading2"/>
        <w:spacing w:after="80" w:before="200"/>
      </w:pPr>
      <w:r>
        <w:rPr>
          <w:b/>
          <w:bCs/>
          <w:color w:val="1F4B4B"/>
          <w:sz w:val="21"/>
          <w:szCs w:val="21"/>
        </w:rPr>
        <w:t xml:space="preserve">Tabs — sub-navegação dentro de uma seção (não é botão, não substitui a sidebar)</w:t>
      </w:r>
    </w:p>
    <w:p>
      <w:pPr>
        <w:spacing w:after="80"/>
      </w:pPr>
      <w:r>
        <w:rPr>
          <w:sz w:val="20"/>
          <w:szCs w:val="20"/>
        </w:rPr>
        <w:t xml:space="preserve">Correção de escopo (v4): as seções principais de um módulo (Provisões / Plano de Contas / Lançamentos / DRE / Balanço / Margem-Projeto / Reconciliação / Repasse Fábrica) vivem SÓ no submenu da sidebar (ver Navegação lateral, abaixo) — nunca duplicadas como tabs no painel central. Tabs é reservado para sub-navegação dentro de uma seção já selecionada, quando ela existir (ex.: dentro de "Lançamentos", sub-abas "Todos / Pendentes / Conciliados"). Nunca implementar seção principal como fileira de botões nem como fileira de tabs — isso foi a causa da assimetria e da navegação duplicada observadas.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Sem fundo, sem borda — texto --muted; ativo: texto --accent + sublinhado 2px --accent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Alinhados em linha única, mesmo espaçamento horizontal, sem largura fixa por aba (largura = conteúdo + padding)</w:t>
      </w:r>
    </w:p>
    <w:p>
      <w:pPr>
        <w:pStyle w:val="Heading2"/>
        <w:spacing w:after="80" w:before="200"/>
      </w:pPr>
      <w:r>
        <w:rPr>
          <w:b/>
          <w:bCs/>
          <w:color w:val="1F4B4B"/>
          <w:sz w:val="21"/>
          <w:szCs w:val="21"/>
        </w:rPr>
        <w:t xml:space="preserve">Badge de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Inline-flex, padding 3px 9px, radius 10px, 11px/500, ícone outline (Tabler) + texto — nunca emoji</w:t>
      </w:r>
    </w:p>
    <w:p>
      <w:pPr>
        <w:pStyle w:val="Heading2"/>
        <w:spacing w:after="80" w:before="200"/>
      </w:pPr>
      <w:r>
        <w:rPr>
          <w:b/>
          <w:bCs/>
          <w:color w:val="1F4B4B"/>
          <w:sz w:val="21"/>
          <w:szCs w:val="21"/>
        </w:rPr>
        <w:t xml:space="preserve">Indicador de Conclusão — novo</w:t>
      </w:r>
    </w:p>
    <w:p>
      <w:pPr>
        <w:spacing w:after="80"/>
      </w:pPr>
      <w:r>
        <w:rPr>
          <w:sz w:val="20"/>
          <w:szCs w:val="20"/>
        </w:rPr>
        <w:t xml:space="preserve">Para listas/checklists onde o status é repetitivo e implícito pela posição (ex. "Etapas do Projeto"), não usar Badge com texto repetido em cada linha ("✓ concluído" x15) — substituir por ícone isolado.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Concluído: círculo pequeno (16–18px) preenchido com --accent, ícone de check branco dentro — sem texto, sem pill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Pendente: mesmo círculo, só contorno --border, sem preenchimento, sem ícone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Nunca depender de fundo escuro para existir — funciona igual nos dois temas, por ser preenchimento sólido de token, não pill com fundo condicional</w:t>
      </w:r>
    </w:p>
    <w:p>
      <w:pPr>
        <w:pStyle w:val="Heading2"/>
        <w:spacing w:after="80" w:before="200"/>
      </w:pPr>
      <w:r>
        <w:rPr>
          <w:b/>
          <w:bCs/>
          <w:color w:val="1F4B4B"/>
          <w:sz w:val="21"/>
          <w:szCs w:val="21"/>
        </w:rPr>
        <w:t xml:space="preserve">Campo de Entrada (Input) — novo, lacuna documental</w:t>
      </w:r>
    </w:p>
    <w:p>
      <w:pPr>
        <w:spacing w:after="80"/>
      </w:pPr>
      <w:r>
        <w:rPr>
          <w:sz w:val="20"/>
          <w:szCs w:val="20"/>
        </w:rPr>
        <w:t xml:space="preserve">Nunca especificado antes — cada campo herdou estilo próprio (achado real: filtro "R$ máx" com fundo branco fixo, destoando de "R$ mín" no mesmo filtro, no tema escuro). Regra única, vale para texto, número, moeda e data: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Fundo: sempre --surface-2 — nunca branco fixo, nunca herança de estilo nativo do navegador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Borda: 1px --border · foco: borda --accent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Altura: 36px (alinhado à escala de botão md) · radius: --r-sm (6px) · padding horizontal 12px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Largura: por padrão, do tamanho do valor esperado — nunca 100% do container por padrão. Só o campo de busca livre (texto) ocupa largura flexível/maior; todos os outros são compactos.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Fonte: IBM Plex Mono para valores numéricos/monetários/data (alinhamento previsível de dígitos); Inter para texto livre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Placeholder: --muted, nunca cor diferente do texto normal do campo (evita a aparência de "dois estilos" entre campos vazios e preenchidos)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Filtro de faixa (ex. R\$ mín/máx, Data início/fim): os dois campos do par usam exatamente o mesmo estilo — nunca um difere do outro. Largura fixa compacta por tipo: moeda ~130px · data ~160px (cabe "dd/mm/aaaa" + ícone de calendário). Ficam lado a lado, na mesma linha do Status — nunca empilhados como blocos de largura total, mesmo em tela larga.</w:t>
      </w:r>
    </w:p>
    <w:p>
      <w:pPr>
        <w:shd w:fill="FBF3E3" w:val="clear"/>
        <w:spacing w:after="120"/>
      </w:pPr>
      <w:r>
        <w:rPr>
          <w:color w:val="8A5A00"/>
          <w:sz w:val="19"/>
          <w:szCs w:val="19"/>
        </w:rPr>
        <w:t xml:space="preserve">⚠ Achado real (v8): campos de data "Período" renderizaram como duas barras de largura total, empilhadas — porque largura nunca tinha sido especificada. Regra de largura acima fecha essa lacuna.</w:t>
      </w:r>
    </w:p>
    <w:p>
      <w:pPr>
        <w:pStyle w:val="Heading2"/>
        <w:spacing w:after="80" w:before="200"/>
      </w:pPr>
      <w:r>
        <w:rPr>
          <w:b/>
          <w:bCs/>
          <w:color w:val="1F4B4B"/>
          <w:sz w:val="21"/>
          <w:szCs w:val="21"/>
        </w:rPr>
        <w:t xml:space="preserve">Correção — dourado fora de contexto (reincidência)</w:t>
      </w:r>
    </w:p>
    <w:p>
      <w:pPr>
        <w:spacing w:after="80"/>
      </w:pPr>
      <w:r>
        <w:rPr>
          <w:sz w:val="20"/>
          <w:szCs w:val="20"/>
        </w:rPr>
        <w:t xml:space="preserve">Achado real: botão "Voltar" com borda/texto dourado, e título de seção ("Etapas do Projeto") em dourado — mesmo erro já corrigido antes em outros componentes, reaparecendo em componente novo. Reforçando a regra: dourado é reservado a badge "Fechado", logo, cabeçalhos de documento gerado. Nunca botão de navegação, nunca título de página/seção.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"Voltar": botão secundário padrão (ícone seta-esquerda + texto), mesma escala/variante já documentada — não um caso especial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Título de seção: --text (claro) / --text (escuro), peso 700–800 — nunca --gold</w:t>
      </w:r>
    </w:p>
    <w:p>
      <w:pPr>
        <w:spacing w:after="100"/>
      </w:pPr>
      <w:r>
        <w:rPr>
          <w:i/>
          <w:iCs/>
          <w:color w:val="6B6A64"/>
          <w:sz w:val="18"/>
          <w:szCs w:val="18"/>
        </w:rPr>
        <w:t xml:space="preserve">Se "Voltar" e o título aparecem em mais de uma tela com o mesmo problema, é sinal de componente compartilhado — corrigir na origem (o componente), não tela por tela.</w:t>
      </w:r>
    </w:p>
    <w:p>
      <w:pPr>
        <w:pStyle w:val="Heading2"/>
        <w:spacing w:after="80" w:before="200"/>
      </w:pPr>
      <w:r>
        <w:rPr>
          <w:b/>
          <w:bCs/>
          <w:color w:val="1F4B4B"/>
          <w:sz w:val="21"/>
          <w:szCs w:val="21"/>
        </w:rPr>
        <w:t xml:space="preserve">Navegação lateral — valorizada, com submenu de módulo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Estrutura: Módulos (topo) · Atalhos (máx. 2) · submenu do módulo aberto no momento (indentado, ex. "Financeiro" expande Provisões/Plano de Contas/Lançamentos/DRE/Balanço/Margem-Projeto) · Admin (Núcleo, sempre por último)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As seções internas de um módulo (o que antes viravam botões/abas no painel central) migram para o submenu da sidebar — o painel central mostra só o conteúdo da seção selecionada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Item ativo: bg --surface-2 + sombra --shadow (não borda) + texto --accent, peso 500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Item de submenu: mesmo padrão, indentado, fonte 12.5px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Item inativo: texto --muted, sem fundo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Rodapé da sidebar: avatar + nome do usuário, com o seletor de tema claro/escuro logo abaixo — nunca no painel central</w:t>
      </w:r>
    </w:p>
    <w:p>
      <w:pPr>
        <w:pStyle w:val="Heading2"/>
        <w:spacing w:after="80" w:before="200"/>
      </w:pPr>
      <w:r>
        <w:rPr>
          <w:b/>
          <w:bCs/>
          <w:color w:val="1F4B4B"/>
          <w:sz w:val="21"/>
          <w:szCs w:val="21"/>
        </w:rPr>
        <w:t xml:space="preserve">Escala de raio e espaçamento (demais componentes)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Raios: 6px (inputs pequenos) · 8px (nav) · 10px (badges) · 12px (cards) — botões seguem a escala própria da seção 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Espaçamento de conteúdo: 22px 26px · gaps de ação 10px · grids 16–20px</w:t>
      </w:r>
    </w:p>
    <w:p>
      <w:pPr>
        <w:pBdr>
          <w:bottom w:val="single" w:color="D9D7D0" w:sz="6"/>
        </w:pBd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2A2A28"/>
          <w:sz w:val="26"/>
          <w:szCs w:val="26"/>
        </w:rPr>
        <w:t xml:space="preserve">5. Padrões de tela por módulo — Dashboard × Lista × Kanban</w:t>
      </w:r>
    </w:p>
    <w:p>
      <w:pPr>
        <w:spacing w:after="80"/>
      </w:pPr>
      <w:r>
        <w:rPr>
          <w:sz w:val="20"/>
          <w:szCs w:val="20"/>
        </w:rPr>
        <w:t xml:space="preserve">Nem todo módulo pede o mesmo tipo de tela de entrada. Critério para decidir: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Dashboard — o módulo tem números que fazem mais sentido vistos juntos do que em lista, e existe pergunta recorrente do dia a dia que um número/gráfico responde mais rápido que abrir relatório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Kanban — o módulo representa um funil/fluxo com estágios visitáveis em sequência (status muda ao longo do tempo, não é cadastro estático)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Lista simples — módulos de configuração/consulta pontual, sem acompanhamento contínuo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c>
          <w:tcPr>
            <w:tcW w:type="pct" w:w="22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pct" w:w="78%"/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Padrão de tela</w:t>
            </w:r>
          </w:p>
        </w:tc>
      </w:tr>
      <w:tr>
        <w:tc>
          <w:tcPr>
            <w:tcW w:type="pct" w:w="2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Financeiro</w:t>
            </w:r>
          </w:p>
        </w:tc>
        <w:tc>
          <w:tcPr>
            <w:tcW w:type="pct" w:w="78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Dashboard — cards de saldo das provisões, resumo do DRE do mês, indicador de cobertura de caixa</w:t>
            </w:r>
          </w:p>
        </w:tc>
      </w:tr>
      <w:tr>
        <w:tc>
          <w:tcPr>
            <w:tcW w:type="pct" w:w="2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Comercial</w:t>
            </w:r>
          </w:p>
        </w:tc>
        <w:tc>
          <w:tcPr>
            <w:tcW w:type="pct" w:w="78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Kanban — funil de vendas por status (quente/morno/frio/convertido), valor total em negociação</w:t>
            </w:r>
          </w:p>
        </w:tc>
      </w:tr>
      <w:tr>
        <w:tc>
          <w:tcPr>
            <w:tcW w:type="pct" w:w="2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Expedição/Logística</w:t>
            </w:r>
          </w:p>
        </w:tc>
        <w:tc>
          <w:tcPr>
            <w:tcW w:type="pct" w:w="78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Kanban — pedidos por etapa (produção, recebimento, entrega)</w:t>
            </w:r>
          </w:p>
        </w:tc>
      </w:tr>
      <w:tr>
        <w:tc>
          <w:tcPr>
            <w:tcW w:type="pct" w:w="2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Cadastro, Fiscal, Admin</w:t>
            </w:r>
          </w:p>
        </w:tc>
        <w:tc>
          <w:tcPr>
            <w:tcW w:type="pct" w:w="78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7"/>
                <w:szCs w:val="17"/>
              </w:rPr>
              <w:t xml:space="preserve">Lista simples — sem dashboard</w:t>
            </w:r>
          </w:p>
        </w:tc>
      </w:tr>
    </w:tbl>
    <w:p>
      <w:pPr>
        <w:spacing w:after="100"/>
      </w:pPr>
      <w:r>
        <w:rPr>
          <w:i/>
          <w:iCs/>
          <w:color w:val="6B6A64"/>
          <w:sz w:val="18"/>
          <w:szCs w:val="18"/>
        </w:rPr>
        <w:t xml:space="preserve">Referência visual aprovada e corrigida (v4): ver orizon_design_reference_dark.png / _light.png (sidebar com submenu de módulo — nav única, sem tabs duplicando as seções no painel central; cards de dashboard do Financeiro) — usar como base literal de implementação. Se você já tinha uma versão anterior dessas imagens salva, substitua pela nova — a versão anterior mostrava (por engano) as seções duplicadas em sidebar e tabs ao mesmo tempo.</w:t>
      </w:r>
    </w:p>
    <w:p>
      <w:pPr>
        <w:pBdr>
          <w:bottom w:val="single" w:color="D9D7D0" w:sz="6"/>
        </w:pBd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2A2A28"/>
          <w:sz w:val="26"/>
          <w:szCs w:val="26"/>
        </w:rPr>
        <w:t xml:space="preserve">6. Backlog de migração</w:t>
      </w:r>
    </w:p>
    <w:p>
      <w:pPr>
        <w:spacing w:after="100"/>
      </w:pPr>
      <w:r>
        <w:rPr>
          <w:i/>
          <w:iCs/>
          <w:color w:val="6B6A64"/>
          <w:sz w:val="18"/>
          <w:szCs w:val="18"/>
        </w:rPr>
        <w:t xml:space="preserve">Ordem sugerida — cada item é independente, pode ser feito incrementalmente.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1. Substituir a paleta atual (dark-terminal verde-menta) pelos tokens claro/escuro corrigidos (seção 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2. Remover a tinta laranja legada (rgba(232,97,26,…)) de hover/ativo — usar --accent-tint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3. Unificar login.html ao mesmo :root do app — hoje tem paleta própria e divergente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4. Tokenizar as cores de status hoje hardcoded (#f05a50, #d4a017, #c8a84b) para --st-*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5. Corrigir class="btn-primary" sem a base .btn (perde padding/fonte)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6. Unificar tipografia — remover Epilogue, migrar para família sans única + mono só em números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7. Implementar toggle de tema claro/escuro, persistido por usuário (não por preferência de SO) — mover para o rodapé da sidebar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8. Mover as seções internas de cada módulo (hoje botões/abas soltos no painel central) para submenu da sidebar — ver seção 4, Navegação lateral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9. Substituir botão secundário com borda por versão sem borda + sombra (--shadow) — remove aspecto "terminal"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10. Implementar componente de Tabs (distinto de botão) para navegação intra-módulo remanescente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11. Mover Credenciais e Tokens para dentro de Admin, visibilidade condicionada à capability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12. Aplicar critério Dashboard/Kanban/Lista da seção 5, começando por Financeiro (dashboard) e Comercial (kanban)</w:t>
      </w:r>
    </w:p>
    <w:p>
      <w:r>
        <w:br w:type="page"/>
      </w:r>
    </w:p>
    <w:p>
      <w:r>
        <w:rPr>
          <w:b/>
          <w:sz w:val="30"/>
        </w:rPr>
        <w:t>REBRAND DE COR — Paleta Orizon Manager (logo) · 2026-07-12</w:t>
      </w:r>
    </w:p>
    <w:p>
      <w:r>
        <w:rPr>
          <w:b/>
        </w:rPr>
        <w:t xml:space="preserve">SUPERSEDE a paleta anterior (verde-menta + dourado). </w:t>
      </w:r>
      <w:r>
        <w:t>Fonte da verdade CANÔNICA: docs/design-tokens.md §2.0. O dourado (--gold/--dalm-gold) e o laranja legado de hover (#E8611A) foram REMOVIDOS. Status 'fechado' deixou de ser dourado e passou a azul.</w:t>
      </w:r>
    </w:p>
    <w:p>
      <w:r>
        <w:t>Paleta-base da logo: navy #0B1D3A · azul elétrico #0066FF · ciano #00B8C9 · cinza #8A96A3 · claro #E6EBF1.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Token</w:t>
            </w:r>
          </w:p>
        </w:tc>
        <w:tc>
          <w:tcPr>
            <w:tcW w:type="dxa" w:w="2340"/>
          </w:tcPr>
          <w:p>
            <w:r>
              <w:t>Dark</w:t>
            </w:r>
          </w:p>
        </w:tc>
        <w:tc>
          <w:tcPr>
            <w:tcW w:type="dxa" w:w="2340"/>
          </w:tcPr>
          <w:p>
            <w:r>
              <w:t>Light</w:t>
            </w:r>
          </w:p>
        </w:tc>
        <w:tc>
          <w:tcPr>
            <w:tcW w:type="dxa" w:w="2340"/>
          </w:tcPr>
          <w:p>
            <w:r>
              <w:t>Papel</w:t>
            </w:r>
          </w:p>
        </w:tc>
      </w:tr>
      <w:tr>
        <w:tc>
          <w:tcPr>
            <w:tcW w:type="dxa" w:w="2340"/>
          </w:tcPr>
          <w:p>
            <w:r>
              <w:t>--bg</w:t>
            </w:r>
          </w:p>
        </w:tc>
        <w:tc>
          <w:tcPr>
            <w:tcW w:type="dxa" w:w="2340"/>
          </w:tcPr>
          <w:p>
            <w:r>
              <w:t>#081120</w:t>
            </w:r>
          </w:p>
        </w:tc>
        <w:tc>
          <w:tcPr>
            <w:tcW w:type="dxa" w:w="2340"/>
          </w:tcPr>
          <w:p>
            <w:r>
              <w:t>#FFFFFF</w:t>
            </w:r>
          </w:p>
        </w:tc>
        <w:tc>
          <w:tcPr>
            <w:tcW w:type="dxa" w:w="2340"/>
          </w:tcPr>
          <w:p>
            <w:r>
              <w:t>Fundo principal</w:t>
            </w:r>
          </w:p>
        </w:tc>
      </w:tr>
      <w:tr>
        <w:tc>
          <w:tcPr>
            <w:tcW w:type="dxa" w:w="2340"/>
          </w:tcPr>
          <w:p>
            <w:r>
              <w:t>--surface</w:t>
            </w:r>
          </w:p>
        </w:tc>
        <w:tc>
          <w:tcPr>
            <w:tcW w:type="dxa" w:w="2340"/>
          </w:tcPr>
          <w:p>
            <w:r>
              <w:t>#0B1D3A</w:t>
            </w:r>
          </w:p>
        </w:tc>
        <w:tc>
          <w:tcPr>
            <w:tcW w:type="dxa" w:w="2340"/>
          </w:tcPr>
          <w:p>
            <w:r>
              <w:t>#F4F7FB</w:t>
            </w:r>
          </w:p>
        </w:tc>
        <w:tc>
          <w:tcPr>
            <w:tcW w:type="dxa" w:w="2340"/>
          </w:tcPr>
          <w:p>
            <w:r>
              <w:t>Sidebar/input/cards (navy)</w:t>
            </w:r>
          </w:p>
        </w:tc>
      </w:tr>
      <w:tr>
        <w:tc>
          <w:tcPr>
            <w:tcW w:type="dxa" w:w="2340"/>
          </w:tcPr>
          <w:p>
            <w:r>
              <w:t>--surface-2/--card</w:t>
            </w:r>
          </w:p>
        </w:tc>
        <w:tc>
          <w:tcPr>
            <w:tcW w:type="dxa" w:w="2340"/>
          </w:tcPr>
          <w:p>
            <w:r>
              <w:t>#12294A</w:t>
            </w:r>
          </w:p>
        </w:tc>
        <w:tc>
          <w:tcPr>
            <w:tcW w:type="dxa" w:w="2340"/>
          </w:tcPr>
          <w:p>
            <w:r>
              <w:t>#FFFFFF</w:t>
            </w:r>
          </w:p>
        </w:tc>
        <w:tc>
          <w:tcPr>
            <w:tcW w:type="dxa" w:w="2340"/>
          </w:tcPr>
          <w:p>
            <w:r>
              <w:t>Cards/dropdowns/modais</w:t>
            </w:r>
          </w:p>
        </w:tc>
      </w:tr>
      <w:tr>
        <w:tc>
          <w:tcPr>
            <w:tcW w:type="dxa" w:w="2340"/>
          </w:tcPr>
          <w:p>
            <w:r>
              <w:t>--border</w:t>
            </w:r>
          </w:p>
        </w:tc>
        <w:tc>
          <w:tcPr>
            <w:tcW w:type="dxa" w:w="2340"/>
          </w:tcPr>
          <w:p>
            <w:r>
              <w:t>#1C3459</w:t>
            </w:r>
          </w:p>
        </w:tc>
        <w:tc>
          <w:tcPr>
            <w:tcW w:type="dxa" w:w="2340"/>
          </w:tcPr>
          <w:p>
            <w:r>
              <w:t>#DCE3EC</w:t>
            </w:r>
          </w:p>
        </w:tc>
        <w:tc>
          <w:tcPr>
            <w:tcW w:type="dxa" w:w="2340"/>
          </w:tcPr>
          <w:p>
            <w:r>
              <w:t>Borda/divisor</w:t>
            </w:r>
          </w:p>
        </w:tc>
      </w:tr>
      <w:tr>
        <w:tc>
          <w:tcPr>
            <w:tcW w:type="dxa" w:w="2340"/>
          </w:tcPr>
          <w:p>
            <w:r>
              <w:t>--border-strong</w:t>
            </w:r>
          </w:p>
        </w:tc>
        <w:tc>
          <w:tcPr>
            <w:tcW w:type="dxa" w:w="2340"/>
          </w:tcPr>
          <w:p>
            <w:r>
              <w:t>#2A4A73</w:t>
            </w:r>
          </w:p>
        </w:tc>
        <w:tc>
          <w:tcPr>
            <w:tcW w:type="dxa" w:w="2340"/>
          </w:tcPr>
          <w:p>
            <w:r>
              <w:t>#C6CFDB</w:t>
            </w:r>
          </w:p>
        </w:tc>
        <w:tc>
          <w:tcPr>
            <w:tcW w:type="dxa" w:w="2340"/>
          </w:tcPr>
          <w:p>
            <w:r>
              <w:t>Borda secundária/hover</w:t>
            </w:r>
          </w:p>
        </w:tc>
      </w:tr>
      <w:tr>
        <w:tc>
          <w:tcPr>
            <w:tcW w:type="dxa" w:w="2340"/>
          </w:tcPr>
          <w:p>
            <w:r>
              <w:t>--accent</w:t>
            </w:r>
          </w:p>
        </w:tc>
        <w:tc>
          <w:tcPr>
            <w:tcW w:type="dxa" w:w="2340"/>
          </w:tcPr>
          <w:p>
            <w:r>
              <w:t>#00B8C9</w:t>
            </w:r>
          </w:p>
        </w:tc>
        <w:tc>
          <w:tcPr>
            <w:tcW w:type="dxa" w:w="2340"/>
          </w:tcPr>
          <w:p>
            <w:r>
              <w:t>#0E7C8C</w:t>
            </w:r>
          </w:p>
        </w:tc>
        <w:tc>
          <w:tcPr>
            <w:tcW w:type="dxa" w:w="2340"/>
          </w:tcPr>
          <w:p>
            <w:r>
              <w:t>Ciano de ação — menu ativo, logo, foco, valores</w:t>
            </w:r>
          </w:p>
        </w:tc>
      </w:tr>
      <w:tr>
        <w:tc>
          <w:tcPr>
            <w:tcW w:type="dxa" w:w="2340"/>
          </w:tcPr>
          <w:p>
            <w:r>
              <w:t>--accent-tint</w:t>
            </w:r>
          </w:p>
        </w:tc>
        <w:tc>
          <w:tcPr>
            <w:tcW w:type="dxa" w:w="2340"/>
          </w:tcPr>
          <w:p>
            <w:r>
              <w:t>rgba(0,184,201,.16)</w:t>
            </w:r>
          </w:p>
        </w:tc>
        <w:tc>
          <w:tcPr>
            <w:tcW w:type="dxa" w:w="2340"/>
          </w:tcPr>
          <w:p>
            <w:r>
              <w:t>rgba(14,124,140,.10)</w:t>
            </w:r>
          </w:p>
        </w:tc>
        <w:tc>
          <w:tcPr>
            <w:tcW w:type="dxa" w:w="2340"/>
          </w:tcPr>
          <w:p>
            <w:r>
              <w:t>Fundo de estado (ativo/hover)</w:t>
            </w:r>
          </w:p>
        </w:tc>
      </w:tr>
      <w:tr>
        <w:tc>
          <w:tcPr>
            <w:tcW w:type="dxa" w:w="2340"/>
          </w:tcPr>
          <w:p>
            <w:r>
              <w:t>--primary</w:t>
            </w:r>
          </w:p>
        </w:tc>
        <w:tc>
          <w:tcPr>
            <w:tcW w:type="dxa" w:w="2340"/>
          </w:tcPr>
          <w:p>
            <w:r>
              <w:t>#0066FF</w:t>
            </w:r>
          </w:p>
        </w:tc>
        <w:tc>
          <w:tcPr>
            <w:tcW w:type="dxa" w:w="2340"/>
          </w:tcPr>
          <w:p>
            <w:r>
              <w:t>#0066FF</w:t>
            </w:r>
          </w:p>
        </w:tc>
        <w:tc>
          <w:tcPr>
            <w:tcW w:type="dxa" w:w="2340"/>
          </w:tcPr>
          <w:p>
            <w:r>
              <w:t>Azul elétrico — botão primário, links</w:t>
            </w:r>
          </w:p>
        </w:tc>
      </w:tr>
      <w:tr>
        <w:tc>
          <w:tcPr>
            <w:tcW w:type="dxa" w:w="2340"/>
          </w:tcPr>
          <w:p>
            <w:r>
              <w:t>--text</w:t>
            </w:r>
          </w:p>
        </w:tc>
        <w:tc>
          <w:tcPr>
            <w:tcW w:type="dxa" w:w="2340"/>
          </w:tcPr>
          <w:p>
            <w:r>
              <w:t>#E6EBF1</w:t>
            </w:r>
          </w:p>
        </w:tc>
        <w:tc>
          <w:tcPr>
            <w:tcW w:type="dxa" w:w="2340"/>
          </w:tcPr>
          <w:p>
            <w:r>
              <w:t>#0B1D3A</w:t>
            </w:r>
          </w:p>
        </w:tc>
        <w:tc>
          <w:tcPr>
            <w:tcW w:type="dxa" w:w="2340"/>
          </w:tcPr>
          <w:p>
            <w:r>
              <w:t>Texto primário</w:t>
            </w:r>
          </w:p>
        </w:tc>
      </w:tr>
      <w:tr>
        <w:tc>
          <w:tcPr>
            <w:tcW w:type="dxa" w:w="2340"/>
          </w:tcPr>
          <w:p>
            <w:r>
              <w:t>--muted</w:t>
            </w:r>
          </w:p>
        </w:tc>
        <w:tc>
          <w:tcPr>
            <w:tcW w:type="dxa" w:w="2340"/>
          </w:tcPr>
          <w:p>
            <w:r>
              <w:t>#8A96A3</w:t>
            </w:r>
          </w:p>
        </w:tc>
        <w:tc>
          <w:tcPr>
            <w:tcW w:type="dxa" w:w="2340"/>
          </w:tcPr>
          <w:p>
            <w:r>
              <w:t>#5A6572</w:t>
            </w:r>
          </w:p>
        </w:tc>
        <w:tc>
          <w:tcPr>
            <w:tcW w:type="dxa" w:w="2340"/>
          </w:tcPr>
          <w:p>
            <w:r>
              <w:t>Texto secundário</w:t>
            </w:r>
          </w:p>
        </w:tc>
      </w:tr>
      <w:tr>
        <w:tc>
          <w:tcPr>
            <w:tcW w:type="dxa" w:w="2340"/>
          </w:tcPr>
          <w:p>
            <w:r>
              <w:t>--info (frio/fechado)</w:t>
            </w:r>
          </w:p>
        </w:tc>
        <w:tc>
          <w:tcPr>
            <w:tcW w:type="dxa" w:w="2340"/>
          </w:tcPr>
          <w:p>
            <w:r>
              <w:t>#5B9BFF</w:t>
            </w:r>
          </w:p>
        </w:tc>
        <w:tc>
          <w:tcPr>
            <w:tcW w:type="dxa" w:w="2340"/>
          </w:tcPr>
          <w:p>
            <w:r>
              <w:t>#0066FF</w:t>
            </w:r>
          </w:p>
        </w:tc>
        <w:tc>
          <w:tcPr>
            <w:tcW w:type="dxa" w:w="2340"/>
          </w:tcPr>
          <w:p>
            <w:r>
              <w:t>Azul de metadados — substitui o dourado no 'fechado'</w:t>
            </w:r>
          </w:p>
        </w:tc>
      </w:tr>
      <w:tr>
        <w:tc>
          <w:tcPr>
            <w:tcW w:type="dxa" w:w="2340"/>
          </w:tcPr>
          <w:p>
            <w:r>
              <w:t>--warn</w:t>
            </w:r>
          </w:p>
        </w:tc>
        <w:tc>
          <w:tcPr>
            <w:tcW w:type="dxa" w:w="2340"/>
          </w:tcPr>
          <w:p>
            <w:r>
              <w:t>#EF9F27</w:t>
            </w:r>
          </w:p>
        </w:tc>
        <w:tc>
          <w:tcPr>
            <w:tcW w:type="dxa" w:w="2340"/>
          </w:tcPr>
          <w:p>
            <w:r>
              <w:t>#EF9F27</w:t>
            </w:r>
          </w:p>
        </w:tc>
        <w:tc>
          <w:tcPr>
            <w:tcW w:type="dxa" w:w="2340"/>
          </w:tcPr>
          <w:p>
            <w:r>
              <w:t>Aviso (âmbar) — mantido</w:t>
            </w:r>
          </w:p>
        </w:tc>
      </w:tr>
      <w:tr>
        <w:tc>
          <w:tcPr>
            <w:tcW w:type="dxa" w:w="2340"/>
          </w:tcPr>
          <w:p>
            <w:r>
              <w:t>--err</w:t>
            </w:r>
          </w:p>
        </w:tc>
        <w:tc>
          <w:tcPr>
            <w:tcW w:type="dxa" w:w="2340"/>
          </w:tcPr>
          <w:p>
            <w:r>
              <w:t>#E2876C</w:t>
            </w:r>
          </w:p>
        </w:tc>
        <w:tc>
          <w:tcPr>
            <w:tcW w:type="dxa" w:w="2340"/>
          </w:tcPr>
          <w:p>
            <w:r>
              <w:t>#D64A3C</w:t>
            </w:r>
          </w:p>
        </w:tc>
        <w:tc>
          <w:tcPr>
            <w:tcW w:type="dxa" w:w="2340"/>
          </w:tcPr>
          <w:p>
            <w:r>
              <w:t>Erro/perigo (coral/vermelho) — mantido</w:t>
            </w:r>
          </w:p>
        </w:tc>
      </w:tr>
    </w:tbl>
    <w:p>
      <w:r>
        <w:t>Removidos: --gold, --dalm-gold, --dalm-gold-light. Toda a UI segue .modal-box + tokens (nunca hex fixo). As imagens orizon_design_reference_dark/_light.png ficam desatualizadas (refazer quando quiser).</w:t>
      </w:r>
    </w:p>
    <w:p>
      <w:r>
        <w:rPr>
          <w:b/>
        </w:rPr>
        <w:t xml:space="preserve">De-green (rev. 2026-07-12): </w:t>
      </w:r>
      <w:r>
        <w:t>o accent legado era verde-menta; toda ocorrência de verde fora dos tokens de marca foi convertida para o ciano/azul da identidade — família --teal-* (cards de valor financeiro) repontada para ciano, mints rgba(93,202,165)/emerald rgba(25,201,160) → rgba(0,184,201), badges 'para_assinatura'/'aprovado' → ciano, e o avatar do usuário → azul --primary. --warn (âmbar) e --err (coral/vermelho) permanecem como únicas cores quentes.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2026-07-10T12:22:00.834Z</dcterms:created>
  <dcterms:modified xsi:type="dcterms:W3CDTF">2026-07-10T12:22:00.858Z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