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CE7B" w14:textId="77777777" w:rsidR="004D7356" w:rsidRPr="00A42DFE" w:rsidRDefault="00000000" w:rsidP="00193810">
      <w:pPr>
        <w:pStyle w:val="Title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Identidade visual MarcaFácil</w:t>
      </w:r>
    </w:p>
    <w:p w14:paraId="6603427C" w14:textId="77777777" w:rsidR="004D7356" w:rsidRPr="00A42DFE" w:rsidRDefault="00000000" w:rsidP="00193810">
      <w:pPr>
        <w:pStyle w:val="Subtitle"/>
        <w:spacing w:line="360" w:lineRule="auto"/>
        <w:contextualSpacing/>
        <w:jc w:val="both"/>
        <w:rPr>
          <w:rFonts w:ascii="Times New Roman" w:hAnsi="Times New Roman" w:cs="Times New Roman"/>
          <w:lang w:val="pt-PT"/>
        </w:rPr>
      </w:pPr>
      <w:r w:rsidRPr="00A42DFE">
        <w:rPr>
          <w:rFonts w:ascii="Times New Roman" w:hAnsi="Times New Roman" w:cs="Times New Roman"/>
          <w:lang w:val="pt-PT"/>
        </w:rPr>
        <w:t>Nome, logótipo e organização visual da plataforma</w:t>
      </w:r>
    </w:p>
    <w:p w14:paraId="63D3DD79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2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A92AD9" wp14:editId="00DDBE1F">
            <wp:extent cx="3474720" cy="1658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5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4F6F" w14:textId="5059E4EA" w:rsidR="004D7356" w:rsidRPr="00A42DFE" w:rsidRDefault="00000000" w:rsidP="00193810">
      <w:pPr>
        <w:pStyle w:val="Heading2"/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Uma identidade ligada ao agendamento</w:t>
      </w:r>
    </w:p>
    <w:p w14:paraId="3EC8456B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MarcaFácil apresenta-se como uma plataforma de descoberta de serviços, marcação de atendimentos e gestão de empresas. A sua identidade reúne um nome directamente relacionado com a tarefa de marcar, um símbolo de calendário e uma linguagem visual dominada pelo verde.</w:t>
      </w:r>
    </w:p>
    <w:p w14:paraId="241BE986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 conjunto aproxima a identificação da marca daquilo que a plataforma permite fazer. O calendário representa a organização do tempo; o sinal de confirmação remete para uma marcação concluída; a palavra «Fácil» coloca a simplicidade no centro da comunicação.</w:t>
      </w:r>
    </w:p>
    <w:p w14:paraId="5DDA7060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Este documento apresenta a composição visual da plataforma e explica a relação entre os seus elementos: o nome, o símbolo, as cores, as fontes e a disposição da informação nos ecrãs.</w:t>
      </w:r>
    </w:p>
    <w:p w14:paraId="201603A5" w14:textId="5D44341D" w:rsidR="004D7356" w:rsidRPr="00A42DFE" w:rsidRDefault="00000000" w:rsidP="0019381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relação entre o nome e o símbolo</w:t>
      </w:r>
    </w:p>
    <w:p w14:paraId="3682161A" w14:textId="00A91194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 logótipo combina um símbolo à esquerda com o nome à direita. Esta disposição permite reconhecer a actividade através da imagem e identificar o produto através da palavra. O calendário e o nome reforçam a mesma ideia de agendamento, sem dependerem de uma frase explicativa adicional.</w:t>
      </w:r>
    </w:p>
    <w:p w14:paraId="3796B139" w14:textId="03FFD7F7" w:rsidR="004D7356" w:rsidRPr="00A42DFE" w:rsidRDefault="00000000" w:rsidP="00193810">
      <w:pPr>
        <w:pStyle w:val="Heading1"/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 nome e o logótipo</w:t>
      </w:r>
    </w:p>
    <w:p w14:paraId="2B19A004" w14:textId="4466B414" w:rsidR="004D7356" w:rsidRPr="00A42DFE" w:rsidRDefault="005F179E" w:rsidP="0019381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O significado de MarcaFácil</w:t>
      </w:r>
    </w:p>
    <w:p w14:paraId="111C77CC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«Marca» pode ser lido como uma referência ao acto de marcar um serviço ou reservar um horário. Na expressão completa, «MarcaFácil» aproxima-se da ideia de fazer uma marcação com facilidade. É um nome curto, em português, que comunica a função do produto de forma directa.</w:t>
      </w:r>
    </w:p>
    <w:p w14:paraId="0C2C8562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lastRenderedPageBreak/>
        <w:t>«Fácil» acrescenta a promessa de simplicidade. Essa promessa diz respeito à experiência pretendida: encontrar um serviço, escolher uma opção e perceber o que acontece a seguir. O nome comunica essa intenção; a facilidade efectiva depende da experiência de utilização.</w:t>
      </w:r>
    </w:p>
    <w:p w14:paraId="2305C3E4" w14:textId="0833C058" w:rsidR="004D7356" w:rsidRPr="00A42DFE" w:rsidRDefault="005F179E" w:rsidP="0019381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A escrita do nome no logótipo</w:t>
      </w:r>
    </w:p>
    <w:p w14:paraId="2F38B9A7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As duas palavras aparecem unidas, com as iniciais M e F em maiúsculas e com o acento em «Fácil». A união apresenta o nome como uma única marca, enquanto as maiúsculas e a mudança de cor permitem distinguir as duas partes.</w:t>
      </w:r>
    </w:p>
    <w:p w14:paraId="2E36FB82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«Marca» surge em verde profundo e «Fácil» em verde mais vivo. A parte mais escura dá peso visual ao início do nome; a parte mais luminosa destaca a ideia de facilidade. O desenho das letras é forte e arredondado, estabelecendo continuidade com os cantos suaves do símbolo.</w:t>
      </w:r>
    </w:p>
    <w:p w14:paraId="0E5B7AC7" w14:textId="75C7AC8E" w:rsidR="004D7356" w:rsidRPr="00A42DFE" w:rsidRDefault="005F179E" w:rsidP="0019381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O calendário e o sinal de confirmação</w:t>
      </w:r>
    </w:p>
    <w:p w14:paraId="6681E1E2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 símbolo apresenta um calendário dentro de uma forma quadrada com cantos arredondados. As argolas superiores e os pontos no interior tornam reconhecível a referência a datas. O sinal de confirmação ocupa uma posição de destaque e acrescenta a ideia de tarefa concluída ou horário confirmado.</w:t>
      </w:r>
    </w:p>
    <w:p w14:paraId="1FC380C8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 gradiente verde dá profundidade ao símbolo e faz dele o ponto de entrada visual do logótipo. A forma exterior arredondada aproxima-o da linguagem dos cartões e dos controlos presentes na plataforma.</w:t>
      </w:r>
    </w:p>
    <w:p w14:paraId="2A303ECA" w14:textId="2B38C37D" w:rsidR="004D7356" w:rsidRPr="00A42DFE" w:rsidRDefault="00000000" w:rsidP="00193810">
      <w:pPr>
        <w:pStyle w:val="Heading2"/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Presença na plataforma</w:t>
      </w:r>
    </w:p>
    <w:p w14:paraId="60174C58" w14:textId="6D966EE1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Na navegação principal, o logótipo aparece na barra lateral. Em ecrãs pequenos, essa navegação abre como um painel. Existem versões para fundos claros e escuros, mantendo o reconhecimento da marca nos dois modos de apresentação.</w:t>
      </w:r>
    </w:p>
    <w:p w14:paraId="78D8AAC0" w14:textId="5DABEAEE" w:rsidR="004D7356" w:rsidRPr="00A42DFE" w:rsidRDefault="00000000" w:rsidP="00193810">
      <w:pPr>
        <w:pStyle w:val="Heading1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As cores e o seu papel</w:t>
      </w:r>
    </w:p>
    <w:p w14:paraId="2B1B7F56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paleta parte dos verdes do logótipo e prolonga-os nos destaques da interface. A repetição da mesma família de cor estabelece continuidade entre a marca e as tarefas da plataforma. A combinação pode ser lida como uma expressão de organização e tranquilidade; estas associações são uma interpretação visual, não um efeito garantido sobre todos os utilizadores.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512"/>
        <w:gridCol w:w="5976"/>
      </w:tblGrid>
      <w:tr w:rsidR="004D7356" w:rsidRPr="00A42DFE" w14:paraId="43C0B977" w14:textId="77777777">
        <w:trPr>
          <w:cantSplit/>
          <w:tblHeader/>
        </w:trPr>
        <w:tc>
          <w:tcPr>
            <w:tcW w:w="1944" w:type="dxa"/>
            <w:shd w:val="clear" w:color="auto" w:fill="EAF3ED"/>
          </w:tcPr>
          <w:p w14:paraId="58F0DC2F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b/>
                <w:sz w:val="24"/>
                <w:szCs w:val="24"/>
              </w:rPr>
              <w:t>Cor</w:t>
            </w:r>
          </w:p>
        </w:tc>
        <w:tc>
          <w:tcPr>
            <w:tcW w:w="1512" w:type="dxa"/>
            <w:shd w:val="clear" w:color="auto" w:fill="EAF3ED"/>
          </w:tcPr>
          <w:p w14:paraId="2B3BDE07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b/>
                <w:sz w:val="24"/>
                <w:szCs w:val="24"/>
              </w:rPr>
              <w:t>Valor</w:t>
            </w:r>
          </w:p>
        </w:tc>
        <w:tc>
          <w:tcPr>
            <w:tcW w:w="5976" w:type="dxa"/>
            <w:shd w:val="clear" w:color="auto" w:fill="EAF3ED"/>
          </w:tcPr>
          <w:p w14:paraId="32C17C0C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b/>
                <w:sz w:val="24"/>
                <w:szCs w:val="24"/>
              </w:rPr>
              <w:t>Papel na identidade</w:t>
            </w:r>
          </w:p>
        </w:tc>
      </w:tr>
      <w:tr w:rsidR="004D7356" w:rsidRPr="00A42DFE" w14:paraId="2329EA21" w14:textId="77777777">
        <w:trPr>
          <w:cantSplit/>
        </w:trPr>
        <w:tc>
          <w:tcPr>
            <w:tcW w:w="1944" w:type="dxa"/>
          </w:tcPr>
          <w:p w14:paraId="5397F3A7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Verde vivo</w:t>
            </w:r>
          </w:p>
        </w:tc>
        <w:tc>
          <w:tcPr>
            <w:tcW w:w="1512" w:type="dxa"/>
            <w:shd w:val="clear" w:color="auto" w:fill="019E51"/>
          </w:tcPr>
          <w:p w14:paraId="076B3D51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#019E51</w:t>
            </w:r>
          </w:p>
        </w:tc>
        <w:tc>
          <w:tcPr>
            <w:tcW w:w="5976" w:type="dxa"/>
          </w:tcPr>
          <w:p w14:paraId="381BF244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Identifica a marca e destaca a palavra «Fácil».</w:t>
            </w:r>
          </w:p>
        </w:tc>
      </w:tr>
      <w:tr w:rsidR="004D7356" w:rsidRPr="00A42DFE" w14:paraId="7C83F0E2" w14:textId="77777777">
        <w:trPr>
          <w:cantSplit/>
        </w:trPr>
        <w:tc>
          <w:tcPr>
            <w:tcW w:w="1944" w:type="dxa"/>
          </w:tcPr>
          <w:p w14:paraId="1A07BC26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Verde profundo</w:t>
            </w:r>
          </w:p>
        </w:tc>
        <w:tc>
          <w:tcPr>
            <w:tcW w:w="1512" w:type="dxa"/>
            <w:shd w:val="clear" w:color="auto" w:fill="023627"/>
          </w:tcPr>
          <w:p w14:paraId="35C9AE36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#023627</w:t>
            </w:r>
          </w:p>
        </w:tc>
        <w:tc>
          <w:tcPr>
            <w:tcW w:w="5976" w:type="dxa"/>
          </w:tcPr>
          <w:p w14:paraId="152D0E22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Dá peso à palavra «Marca» e ao texto principal no tema claro.</w:t>
            </w:r>
          </w:p>
        </w:tc>
      </w:tr>
      <w:tr w:rsidR="004D7356" w:rsidRPr="00A42DFE" w14:paraId="7EEE5BB4" w14:textId="77777777">
        <w:trPr>
          <w:cantSplit/>
        </w:trPr>
        <w:tc>
          <w:tcPr>
            <w:tcW w:w="1944" w:type="dxa"/>
          </w:tcPr>
          <w:p w14:paraId="6CBD19B1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Verde de acção</w:t>
            </w:r>
          </w:p>
        </w:tc>
        <w:tc>
          <w:tcPr>
            <w:tcW w:w="1512" w:type="dxa"/>
            <w:shd w:val="clear" w:color="auto" w:fill="008340"/>
          </w:tcPr>
          <w:p w14:paraId="2D8F846D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#008340</w:t>
            </w:r>
          </w:p>
        </w:tc>
        <w:tc>
          <w:tcPr>
            <w:tcW w:w="5976" w:type="dxa"/>
          </w:tcPr>
          <w:p w14:paraId="75D81D71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Destaca os botões principais da identidade base.</w:t>
            </w:r>
          </w:p>
        </w:tc>
      </w:tr>
      <w:tr w:rsidR="004D7356" w:rsidRPr="00A42DFE" w14:paraId="0B8525A0" w14:textId="77777777">
        <w:trPr>
          <w:cantSplit/>
        </w:trPr>
        <w:tc>
          <w:tcPr>
            <w:tcW w:w="1944" w:type="dxa"/>
          </w:tcPr>
          <w:p w14:paraId="1940F8B6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Fundo claro</w:t>
            </w:r>
          </w:p>
        </w:tc>
        <w:tc>
          <w:tcPr>
            <w:tcW w:w="1512" w:type="dxa"/>
            <w:shd w:val="clear" w:color="auto" w:fill="F4FAF7"/>
          </w:tcPr>
          <w:p w14:paraId="6C921C61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#F4FAF7</w:t>
            </w:r>
          </w:p>
        </w:tc>
        <w:tc>
          <w:tcPr>
            <w:tcW w:w="5976" w:type="dxa"/>
          </w:tcPr>
          <w:p w14:paraId="3C57B345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Cria uma base suave para a leitura da página.</w:t>
            </w:r>
          </w:p>
        </w:tc>
      </w:tr>
      <w:tr w:rsidR="004D7356" w:rsidRPr="00A42DFE" w14:paraId="01480513" w14:textId="77777777">
        <w:trPr>
          <w:cantSplit/>
        </w:trPr>
        <w:tc>
          <w:tcPr>
            <w:tcW w:w="1944" w:type="dxa"/>
          </w:tcPr>
          <w:p w14:paraId="0E013083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Branco</w:t>
            </w:r>
          </w:p>
        </w:tc>
        <w:tc>
          <w:tcPr>
            <w:tcW w:w="1512" w:type="dxa"/>
            <w:shd w:val="clear" w:color="auto" w:fill="FFFFFF"/>
          </w:tcPr>
          <w:p w14:paraId="5EAECCB5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5976" w:type="dxa"/>
          </w:tcPr>
          <w:p w14:paraId="72F021A7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Separa cartões e painéis do fundo envolvente.</w:t>
            </w:r>
          </w:p>
        </w:tc>
      </w:tr>
      <w:tr w:rsidR="004D7356" w:rsidRPr="00A42DFE" w14:paraId="681FC313" w14:textId="77777777">
        <w:trPr>
          <w:cantSplit/>
        </w:trPr>
        <w:tc>
          <w:tcPr>
            <w:tcW w:w="1944" w:type="dxa"/>
          </w:tcPr>
          <w:p w14:paraId="42F751B0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</w:rPr>
              <w:t>Cinza esverdeado</w:t>
            </w:r>
          </w:p>
        </w:tc>
        <w:tc>
          <w:tcPr>
            <w:tcW w:w="1512" w:type="dxa"/>
            <w:shd w:val="clear" w:color="auto" w:fill="5D6D64"/>
          </w:tcPr>
          <w:p w14:paraId="2505B817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2DFE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#5D6D64</w:t>
            </w:r>
          </w:p>
        </w:tc>
        <w:tc>
          <w:tcPr>
            <w:tcW w:w="5976" w:type="dxa"/>
          </w:tcPr>
          <w:p w14:paraId="6773FF8D" w14:textId="77777777" w:rsidR="004D7356" w:rsidRPr="00A42DFE" w:rsidRDefault="00000000" w:rsidP="00193810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42DFE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Diferencia informação secundária no tema claro.</w:t>
            </w:r>
          </w:p>
        </w:tc>
      </w:tr>
    </w:tbl>
    <w:p w14:paraId="258B9D99" w14:textId="2873BBF5" w:rsidR="004D7356" w:rsidRPr="00A42DFE" w:rsidRDefault="00000000" w:rsidP="0019381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Porque existem diferentes verdes</w:t>
      </w:r>
    </w:p>
    <w:p w14:paraId="7829CD6C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variação de tonalidade permite atribuir funções diferentes à mesma família cromática. O verde mais vivo identifica a marca; o verde mais escuro dos botões cria uma superfície mais contrastante para o texto. Os fundos suaves deixam as fotografias, os nomes dos serviços e as acções sobressair.</w:t>
      </w:r>
    </w:p>
    <w:p w14:paraId="76BA9614" w14:textId="539BCA68" w:rsidR="004D7356" w:rsidRPr="00A42DFE" w:rsidRDefault="0087078B" w:rsidP="0019381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Cores que comunicam estados</w:t>
      </w:r>
    </w:p>
    <w:p w14:paraId="6F1C6231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 verde acompanha situações positivas; o âmbar chama a atenção para avisos; o vermelho identifica erros ou acções destrutivas; o azul distingue informação. As etiquetas incluem palavras que explicam o estado, para que a mensagem não dependa apenas da cor.</w:t>
      </w:r>
    </w:p>
    <w:p w14:paraId="2EEFE56B" w14:textId="22109ACE" w:rsidR="004D7356" w:rsidRPr="00A42DFE" w:rsidRDefault="00000000" w:rsidP="00CD5937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identidade nos dois temas</w:t>
      </w:r>
    </w:p>
    <w:p w14:paraId="3F43B4A2" w14:textId="77777777" w:rsidR="00193810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No tema claro, predominam fundos quase brancos e texto escuro. No tema escuro, as superfícies passam a verdes muito profundos e o texto torna-se claro. A família cromática mantém-se reconhecível. Nas áreas de uma empresa, as suas cores próprias podem aparecer nas acções e nos destaques, dentro da estrutura comum da MarcaFácil.</w:t>
      </w:r>
    </w:p>
    <w:p w14:paraId="2EF648A7" w14:textId="77777777" w:rsidR="00193810" w:rsidRDefault="00193810" w:rsidP="00193810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5918639D" w14:textId="727B97F1" w:rsidR="00193810" w:rsidRPr="00CD5937" w:rsidRDefault="00000000" w:rsidP="00CD593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CD5937">
        <w:rPr>
          <w:rFonts w:ascii="Times New Roman" w:hAnsi="Times New Roman" w:cs="Times New Roman"/>
          <w:b/>
          <w:bCs/>
          <w:sz w:val="24"/>
          <w:szCs w:val="24"/>
          <w:lang w:val="pt-PT"/>
        </w:rPr>
        <w:t>Tipografia e linguagem das formas</w:t>
      </w:r>
    </w:p>
    <w:p w14:paraId="7EF642B9" w14:textId="0B5BA207" w:rsidR="004D7356" w:rsidRPr="00CD5937" w:rsidRDefault="00000000" w:rsidP="00CD5937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CD5937">
        <w:rPr>
          <w:rFonts w:ascii="Times New Roman" w:hAnsi="Times New Roman" w:cs="Times New Roman"/>
          <w:b/>
          <w:bCs/>
          <w:sz w:val="24"/>
          <w:szCs w:val="24"/>
          <w:lang w:val="pt-PT"/>
        </w:rPr>
        <w:t>Poppins nos títulos</w:t>
      </w:r>
    </w:p>
    <w:p w14:paraId="486AAB04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Os títulos da plataforma usam Poppins. As formas geométricas e arredondadas estabelecem uma relação visual com o nome no logótipo e dão presença aos títulos das páginas, das secções e dos cartões. Os pesos mais fortes ajudam a identificar rapidamente os assuntos principais.</w:t>
      </w:r>
    </w:p>
    <w:p w14:paraId="3F2FA360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Esta relação não significa que o lettering do logótipo tenha sido composto em Poppins. O logótipo é apresentado como uma imagem própria; a fonte dos títulos funciona como uma ligação visual entre a marca e os ecrãs.</w:t>
      </w:r>
    </w:p>
    <w:p w14:paraId="219B7B6F" w14:textId="28204933" w:rsidR="004D7356" w:rsidRPr="00A42DFE" w:rsidRDefault="00351CD0" w:rsidP="00351CD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Inter na informação de utilização</w:t>
      </w:r>
    </w:p>
    <w:p w14:paraId="64DB17D4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Inter aparece no texto corrente, nos menus, nos formulários, nos botões e nas tabelas. A sua função é sustentar a leitura da informação que acompanha as tarefas: nomes, horários, preços, instruções e estados.</w:t>
      </w:r>
    </w:p>
    <w:p w14:paraId="442E1D4C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divisão entre Poppins e Inter cria dois níveis complementares. Os títulos dão estrutura e personalidade à página; o texto da interface mantém a informação operacional visualmente consistente. Tamanho, peso e tonalidade distinguem o título, o conteúdo e os detalhes de apoio.</w:t>
      </w:r>
    </w:p>
    <w:p w14:paraId="3826BB0F" w14:textId="3DE09C09" w:rsidR="004D7356" w:rsidRPr="00A42DFE" w:rsidRDefault="00351CD0" w:rsidP="00351CD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Cartões e cantos arredondados</w:t>
      </w:r>
    </w:p>
    <w:p w14:paraId="40E30F1B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Os cartões agrupam conteúdos relacionados e separam uma empresa, um serviço ou um conjunto de dados dos restantes. Os contornos são discretos e os cantos arredondados repetem a suavidade do símbolo da marca. O espaço entre grupos permite perceber a estrutura sem recorrer a divisórias pesadas.</w:t>
      </w:r>
    </w:p>
    <w:p w14:paraId="61C764C9" w14:textId="75352ABC" w:rsidR="004D7356" w:rsidRPr="00A42DFE" w:rsidRDefault="00351CD0" w:rsidP="00351CD0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Ícones e fotografias</w:t>
      </w:r>
    </w:p>
    <w:p w14:paraId="39725507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Os ícones são predominantemente lineares e acompanham tarefas como pesquisar, consultar o calendário, localizar uma empresa ou gerir uma marcação. A repetição do mesmo estilo cria familiaridade entre áreas diferentes.</w:t>
      </w:r>
    </w:p>
    <w:p w14:paraId="7234B77F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As fotografias aproximam a plataforma dos espaços e serviços apresentados. Nos cartões de empresas, a imagem introduz o conteúdo, enquanto o nome, a localização, os serviços e o preço permitem comparar opções. O logótipo identifica a plataforma; as fotografias e identidades das empresas distinguem a oferta.</w:t>
      </w:r>
    </w:p>
    <w:p w14:paraId="6B7067B0" w14:textId="18CB38C0" w:rsidR="004D7356" w:rsidRPr="00A42DFE" w:rsidRDefault="00930AD2" w:rsidP="00930AD2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Padrões visuais recorrentes</w:t>
      </w:r>
    </w:p>
    <w:p w14:paraId="61586815" w14:textId="77777777" w:rsidR="00DE2EF3" w:rsidRDefault="00000000" w:rsidP="00DE2EF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consistência resulta da repetição de cartões, superfícies suaves, títulos bem destacados e acções em verde. A interface não assenta num padrão ornamental repetitivo: a organização da informação é o principal elemento de composição.</w:t>
      </w:r>
    </w:p>
    <w:p w14:paraId="1B6D1318" w14:textId="77777777" w:rsidR="00DE2EF3" w:rsidRDefault="00DE2EF3" w:rsidP="00DE2EF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4640DD21" w14:textId="7474335A" w:rsidR="004D7356" w:rsidRPr="00DE2EF3" w:rsidRDefault="00000000" w:rsidP="00DE2EF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DE2EF3">
        <w:rPr>
          <w:rFonts w:ascii="Times New Roman" w:hAnsi="Times New Roman" w:cs="Times New Roman"/>
          <w:b/>
          <w:bCs/>
          <w:sz w:val="24"/>
          <w:szCs w:val="24"/>
          <w:lang w:val="pt-PT"/>
        </w:rPr>
        <w:t>Como a plataforma está disposta</w:t>
      </w:r>
    </w:p>
    <w:p w14:paraId="41702503" w14:textId="0EB4C4C0" w:rsidR="004D7356" w:rsidRPr="00A42DFE" w:rsidRDefault="00DE2EF3" w:rsidP="00DE2EF3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Navegação e área de trabalho</w:t>
      </w:r>
    </w:p>
    <w:p w14:paraId="0648BEC2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estrutura principal combina uma barra lateral de navegação, uma barra superior e uma área central de conteúdo. A navegação reúne os acessos disponíveis para o perfil activo. A área central apresenta a tarefa em curso, com um título, informação de apoio e as respectivas acções.</w:t>
      </w:r>
    </w:p>
    <w:p w14:paraId="2FCAC3B6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lastRenderedPageBreak/>
        <w:t>No computador, a barra lateral pode permanecer visível. No telefone e em outros ecrãs mais pequenos, abre como um painel, deixando mais espaço para o conteúdo. Os elementos reorganizam-se em menos colunas para acompanhar a largura disponível.</w:t>
      </w:r>
    </w:p>
    <w:p w14:paraId="10C2EF8B" w14:textId="3DD018D4" w:rsidR="004D7356" w:rsidRPr="00A42DFE" w:rsidRDefault="00B462EB" w:rsidP="00B462EB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Descoberta de empresas e serviços</w:t>
      </w:r>
    </w:p>
    <w:p w14:paraId="216C537B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área de descoberta organiza a oferta em cartões. Cada cartão reúne fotografia e informação comparável, como categoria, nome, localização, avaliação, serviços e preço inicial. A composição permite percorrer várias opções e abrir a empresa escolhida para conhecer os seus serviços.</w:t>
      </w:r>
    </w:p>
    <w:p w14:paraId="53CB6110" w14:textId="749F7AC8" w:rsidR="004D7356" w:rsidRPr="00A42DFE" w:rsidRDefault="00B462EB" w:rsidP="00B462EB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Marcação e gestão</w:t>
      </w:r>
    </w:p>
    <w:p w14:paraId="3C577250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O percurso de marcação distribui as escolhas por etapas, incluindo serviço, profissional, data e horário, seguidas da revisão. Esta organização apresenta as decisões de forma progressiva e dá contexto à confirmação final.</w:t>
      </w:r>
    </w:p>
    <w:p w14:paraId="01C93631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Nas áreas de gestão, a disposição adapta-se à consulta de agendas, equipas, serviços, clientes e resultados. Tabelas, formulários e cartões de resumo tornam-se mais presentes, mantendo as mesmas cores, famílias tipográficas e formas da restante plataforma.</w:t>
      </w:r>
    </w:p>
    <w:p w14:paraId="1F30A216" w14:textId="5E39B194" w:rsidR="004D7356" w:rsidRPr="00A42DFE" w:rsidRDefault="00B462EB" w:rsidP="00B462EB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Hierarquia e resposta às acções</w:t>
      </w:r>
    </w:p>
    <w:p w14:paraId="27C6E6E2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hierarquia visual parte do título da página, passa pelos grupos de informação e chega às acções disponíveis. Os botões principais têm maior destaque cromático. Etiquetas, mensagens e janelas sobrepostas mostram estados, resultados ou detalhes sem retirar ao utilizador a referência da tarefa.</w:t>
      </w:r>
    </w:p>
    <w:p w14:paraId="1494421F" w14:textId="7E562622" w:rsidR="004D7356" w:rsidRPr="00A42DFE" w:rsidRDefault="00B462EB" w:rsidP="00B462EB">
      <w:pPr>
        <w:pStyle w:val="Heading2"/>
        <w:numPr>
          <w:ilvl w:val="1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00000" w:rsidRPr="00A42DFE">
        <w:rPr>
          <w:rFonts w:ascii="Times New Roman" w:hAnsi="Times New Roman" w:cs="Times New Roman"/>
          <w:sz w:val="24"/>
          <w:szCs w:val="24"/>
          <w:lang w:val="pt-PT"/>
        </w:rPr>
        <w:t>Síntese da identidade</w:t>
      </w:r>
    </w:p>
    <w:p w14:paraId="16B966D2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Nome, símbolo e interface comunicam uma ideia comum: organizar uma marcação de forma compreensível. «MarcaFácil» apresenta a função e a promessa de simplicidade; o calendário com confirmação representa o agendamento; os verdes ligam a marca às acções; e a disposição em áreas e cartões dá ordem ao conteúdo.</w:t>
      </w:r>
    </w:p>
    <w:p w14:paraId="61AA4BAC" w14:textId="77777777" w:rsidR="004D7356" w:rsidRPr="00A42DFE" w:rsidRDefault="00000000" w:rsidP="00193810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42DFE">
        <w:rPr>
          <w:rFonts w:ascii="Times New Roman" w:hAnsi="Times New Roman" w:cs="Times New Roman"/>
          <w:sz w:val="24"/>
          <w:szCs w:val="24"/>
          <w:lang w:val="pt-PT"/>
        </w:rPr>
        <w:t>A identidade visual encontra a sua coerência nessa relação entre o que a plataforma se chama, o que o logótipo representa e a forma como a informação é apresentada.</w:t>
      </w:r>
    </w:p>
    <w:sectPr w:rsidR="004D7356" w:rsidRPr="00A42DFE" w:rsidSect="00034616">
      <w:footerReference w:type="default" r:id="rId9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58995" w14:textId="77777777" w:rsidR="00B254F3" w:rsidRDefault="00B254F3">
      <w:pPr>
        <w:spacing w:after="0" w:line="240" w:lineRule="auto"/>
      </w:pPr>
      <w:r>
        <w:separator/>
      </w:r>
    </w:p>
  </w:endnote>
  <w:endnote w:type="continuationSeparator" w:id="0">
    <w:p w14:paraId="05127C20" w14:textId="77777777" w:rsidR="00B254F3" w:rsidRDefault="00B25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13C6" w14:textId="4621F3C0" w:rsidR="004D7356" w:rsidRPr="000E0365" w:rsidRDefault="00000000">
    <w:pPr>
      <w:pStyle w:val="Footer"/>
      <w:jc w:val="right"/>
      <w:rPr>
        <w:rFonts w:ascii="Times New Roman" w:hAnsi="Times New Roman" w:cs="Times New Roman"/>
      </w:rPr>
    </w:pPr>
    <w:r w:rsidRPr="000E0365">
      <w:rPr>
        <w:rFonts w:ascii="Times New Roman" w:hAnsi="Times New Roman" w:cs="Times New Roman"/>
      </w:rPr>
      <w:fldChar w:fldCharType="begin"/>
    </w:r>
    <w:r w:rsidRPr="000E0365">
      <w:rPr>
        <w:rFonts w:ascii="Times New Roman" w:hAnsi="Times New Roman" w:cs="Times New Roman"/>
      </w:rPr>
      <w:instrText>PAGE</w:instrText>
    </w:r>
    <w:r w:rsidRPr="000E0365">
      <w:rPr>
        <w:rFonts w:ascii="Times New Roman" w:hAnsi="Times New Roman" w:cs="Times New Roman"/>
      </w:rPr>
      <w:fldChar w:fldCharType="separate"/>
    </w:r>
    <w:r w:rsidR="006A29E2" w:rsidRPr="000E0365">
      <w:rPr>
        <w:rFonts w:ascii="Times New Roman" w:hAnsi="Times New Roman" w:cs="Times New Roman"/>
        <w:noProof/>
      </w:rPr>
      <w:t>1</w:t>
    </w:r>
    <w:r w:rsidRPr="000E0365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9028" w14:textId="77777777" w:rsidR="00B254F3" w:rsidRDefault="00B254F3">
      <w:pPr>
        <w:spacing w:after="0" w:line="240" w:lineRule="auto"/>
      </w:pPr>
      <w:r>
        <w:separator/>
      </w:r>
    </w:p>
  </w:footnote>
  <w:footnote w:type="continuationSeparator" w:id="0">
    <w:p w14:paraId="484EE2DB" w14:textId="77777777" w:rsidR="00B254F3" w:rsidRDefault="00B25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4E7085"/>
    <w:multiLevelType w:val="multilevel"/>
    <w:tmpl w:val="7C5C6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81537832">
    <w:abstractNumId w:val="8"/>
  </w:num>
  <w:num w:numId="2" w16cid:durableId="988554143">
    <w:abstractNumId w:val="6"/>
  </w:num>
  <w:num w:numId="3" w16cid:durableId="1406876001">
    <w:abstractNumId w:val="5"/>
  </w:num>
  <w:num w:numId="4" w16cid:durableId="1014571018">
    <w:abstractNumId w:val="4"/>
  </w:num>
  <w:num w:numId="5" w16cid:durableId="1620645447">
    <w:abstractNumId w:val="7"/>
  </w:num>
  <w:num w:numId="6" w16cid:durableId="1441415909">
    <w:abstractNumId w:val="3"/>
  </w:num>
  <w:num w:numId="7" w16cid:durableId="1580015121">
    <w:abstractNumId w:val="2"/>
  </w:num>
  <w:num w:numId="8" w16cid:durableId="1666546957">
    <w:abstractNumId w:val="1"/>
  </w:num>
  <w:num w:numId="9" w16cid:durableId="2078093775">
    <w:abstractNumId w:val="0"/>
  </w:num>
  <w:num w:numId="10" w16cid:durableId="483594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EA"/>
    <w:rsid w:val="0006063C"/>
    <w:rsid w:val="000E0365"/>
    <w:rsid w:val="0015074B"/>
    <w:rsid w:val="00193810"/>
    <w:rsid w:val="0029639D"/>
    <w:rsid w:val="00326F90"/>
    <w:rsid w:val="00351CD0"/>
    <w:rsid w:val="004D7356"/>
    <w:rsid w:val="00544DA6"/>
    <w:rsid w:val="005F179E"/>
    <w:rsid w:val="006A29E2"/>
    <w:rsid w:val="0076644C"/>
    <w:rsid w:val="0087078B"/>
    <w:rsid w:val="00930AD2"/>
    <w:rsid w:val="00A42DFE"/>
    <w:rsid w:val="00AA1D8D"/>
    <w:rsid w:val="00AF43D9"/>
    <w:rsid w:val="00B254F3"/>
    <w:rsid w:val="00B462EB"/>
    <w:rsid w:val="00B47730"/>
    <w:rsid w:val="00B70CE9"/>
    <w:rsid w:val="00CB0664"/>
    <w:rsid w:val="00CD5937"/>
    <w:rsid w:val="00DE2EF3"/>
    <w:rsid w:val="00FC693F"/>
    <w:rsid w:val="00FD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3715F5-DB7E-461F-833F-A92D4E8E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60"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Identidade visual MarcaFácil</dc:title>
  <dc:subject>Nome, logótipo e organização visual da plataforma</dc:subject>
  <dc:creator/>
  <cp:keywords/>
  <dc:description>generated by python-docx</dc:description>
  <cp:lastModifiedBy>Jose_ Mboane</cp:lastModifiedBy>
  <cp:revision>17</cp:revision>
  <dcterms:created xsi:type="dcterms:W3CDTF">2013-12-23T23:15:00Z</dcterms:created>
  <dcterms:modified xsi:type="dcterms:W3CDTF">2026-09-15T07:28:00Z</dcterms:modified>
  <cp:category/>
</cp:coreProperties>
</file>