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234F" w14:textId="77777777" w:rsidR="00151A13" w:rsidRDefault="00151A13" w:rsidP="00151A13">
      <w:pPr>
        <w:jc w:val="both"/>
      </w:pPr>
      <w:r w:rsidRPr="00151A13">
        <w:rPr>
          <w:b/>
          <w:bCs/>
        </w:rPr>
        <w:t>REPORTE TÉCNICO Y ESTRATÉGICO CONSOLIDADO — MA.NU PRO</w:t>
      </w:r>
      <w:r w:rsidRPr="00151A13">
        <w:t xml:space="preserve"> </w:t>
      </w:r>
    </w:p>
    <w:p w14:paraId="0BEF0E19" w14:textId="77777777" w:rsidR="00151A13" w:rsidRDefault="00151A13" w:rsidP="00151A13">
      <w:pPr>
        <w:jc w:val="both"/>
      </w:pPr>
      <w:r w:rsidRPr="00151A13">
        <w:rPr>
          <w:b/>
          <w:bCs/>
        </w:rPr>
        <w:t>Fase:</w:t>
      </w:r>
      <w:r w:rsidRPr="00151A13">
        <w:t xml:space="preserve"> Pre-Lanzamiento (Ejecución y Despliegue) </w:t>
      </w:r>
    </w:p>
    <w:p w14:paraId="626E8AD6" w14:textId="2C60782D" w:rsidR="00151A13" w:rsidRPr="00151A13" w:rsidRDefault="00151A13" w:rsidP="00151A13">
      <w:pPr>
        <w:jc w:val="both"/>
      </w:pPr>
      <w:r w:rsidRPr="00151A13">
        <w:rPr>
          <w:b/>
          <w:bCs/>
        </w:rPr>
        <w:t>Clasificación:</w:t>
      </w:r>
      <w:r w:rsidRPr="00151A13">
        <w:t xml:space="preserve"> Confidencial / Hoja de Ruta Ejecutiva / Versión Definitiva</w:t>
      </w:r>
    </w:p>
    <w:p w14:paraId="45D11107" w14:textId="77777777" w:rsidR="00151A13" w:rsidRPr="00151A13" w:rsidRDefault="00151A13" w:rsidP="00151A13">
      <w:pPr>
        <w:jc w:val="both"/>
      </w:pPr>
      <w:r w:rsidRPr="00151A13">
        <w:t>Este documento unifica las auditorías técnicas y estratégicas en un plan de acción lineal. Incorpora las definiciones exactas sobre la arquitectura del producto, la separación estricta de los flujos de adquisición y la validación del PDF como entregable final, eliminando cualquier desviación teórica que comprometa la rentabilidad o la eficiencia operativa.</w:t>
      </w:r>
    </w:p>
    <w:p w14:paraId="008718DB" w14:textId="77777777" w:rsidR="00151A13" w:rsidRPr="00151A13" w:rsidRDefault="00151A13" w:rsidP="00151A13">
      <w:pPr>
        <w:jc w:val="both"/>
      </w:pPr>
      <w:r w:rsidRPr="00151A13">
        <w:pict w14:anchorId="2DCE67BD">
          <v:rect id="_x0000_i1031" style="width:0;height:1.5pt" o:hralign="center" o:hrstd="t" o:hr="t" fillcolor="#a0a0a0" stroked="f"/>
        </w:pict>
      </w:r>
    </w:p>
    <w:p w14:paraId="59D13ED5" w14:textId="77777777" w:rsidR="00151A13" w:rsidRPr="00151A13" w:rsidRDefault="00151A13" w:rsidP="00151A13">
      <w:pPr>
        <w:jc w:val="both"/>
        <w:rPr>
          <w:b/>
          <w:bCs/>
        </w:rPr>
      </w:pPr>
      <w:r w:rsidRPr="00151A13">
        <w:rPr>
          <w:b/>
          <w:bCs/>
        </w:rPr>
        <w:t>1. MODELO DE NEGOCIO Y MONETIZACIÓN (Cascada Aislada)</w:t>
      </w:r>
    </w:p>
    <w:p w14:paraId="4B6450D7" w14:textId="77777777" w:rsidR="00151A13" w:rsidRPr="00151A13" w:rsidRDefault="00151A13" w:rsidP="00151A13">
      <w:pPr>
        <w:jc w:val="both"/>
      </w:pPr>
      <w:r w:rsidRPr="00151A13">
        <w:t>Se elimina el concepto "</w:t>
      </w:r>
      <w:proofErr w:type="spellStart"/>
      <w:r w:rsidRPr="00151A13">
        <w:t>lifetime</w:t>
      </w:r>
      <w:proofErr w:type="spellEnd"/>
      <w:r w:rsidRPr="00151A13">
        <w:t xml:space="preserve">" y se ratifica a </w:t>
      </w:r>
      <w:proofErr w:type="spellStart"/>
      <w:r w:rsidRPr="00151A13">
        <w:t>MaNu</w:t>
      </w:r>
      <w:proofErr w:type="spellEnd"/>
      <w:r w:rsidRPr="00151A13">
        <w:t xml:space="preserve"> PRO como un motor de leads B2B financiado por </w:t>
      </w:r>
      <w:proofErr w:type="spellStart"/>
      <w:r w:rsidRPr="00151A13">
        <w:t>infoproductos</w:t>
      </w:r>
      <w:proofErr w:type="spellEnd"/>
      <w:r w:rsidRPr="00151A13">
        <w:t xml:space="preserve"> transaccionales B2C. Los flujos operan de manera independiente:</w:t>
      </w:r>
    </w:p>
    <w:p w14:paraId="627E16C7" w14:textId="77777777" w:rsidR="00151A13" w:rsidRPr="00151A13" w:rsidRDefault="00151A13" w:rsidP="00151A13">
      <w:pPr>
        <w:numPr>
          <w:ilvl w:val="0"/>
          <w:numId w:val="1"/>
        </w:numPr>
        <w:jc w:val="both"/>
      </w:pPr>
      <w:r w:rsidRPr="00151A13">
        <w:rPr>
          <w:b/>
          <w:bCs/>
        </w:rPr>
        <w:t>B2C (Liquidador de CAC):</w:t>
      </w:r>
      <w:r w:rsidRPr="00151A13">
        <w:t xml:space="preserve"> El usuario paga $14.99 por una "Fotografía Financiera" (Perfil Full). La transacción es única y de margen casi total. Su función es cubrir el costo de adquisición de tráfico.</w:t>
      </w:r>
    </w:p>
    <w:p w14:paraId="1A3CC5DC" w14:textId="77777777" w:rsidR="00151A13" w:rsidRPr="00151A13" w:rsidRDefault="00151A13" w:rsidP="00151A13">
      <w:pPr>
        <w:numPr>
          <w:ilvl w:val="0"/>
          <w:numId w:val="1"/>
        </w:numPr>
        <w:jc w:val="both"/>
      </w:pPr>
      <w:r w:rsidRPr="00151A13">
        <w:rPr>
          <w:b/>
          <w:bCs/>
        </w:rPr>
        <w:t>B2B (Motor de Rentabilidad):</w:t>
      </w:r>
      <w:r w:rsidRPr="00151A13">
        <w:t xml:space="preserve"> La ganancia a escala se genera por la venta de leads calificados a asesores financieros ($75-$150 por perfil), gatillada únicamente por el usuario de forma proactiva.</w:t>
      </w:r>
    </w:p>
    <w:p w14:paraId="287F3C2D" w14:textId="77777777" w:rsidR="00151A13" w:rsidRPr="00151A13" w:rsidRDefault="00151A13" w:rsidP="00151A13">
      <w:pPr>
        <w:jc w:val="both"/>
        <w:rPr>
          <w:b/>
          <w:bCs/>
        </w:rPr>
      </w:pPr>
      <w:r w:rsidRPr="00151A13">
        <w:rPr>
          <w:b/>
          <w:bCs/>
        </w:rPr>
        <w:t>2. ARQUITECTURA TÉCNICA Y EL ENTREGABLE (Cero Infraestructura)</w:t>
      </w:r>
    </w:p>
    <w:p w14:paraId="3434471E" w14:textId="77777777" w:rsidR="00151A13" w:rsidRPr="00151A13" w:rsidRDefault="00151A13" w:rsidP="00151A13">
      <w:pPr>
        <w:jc w:val="both"/>
      </w:pPr>
      <w:r w:rsidRPr="00151A13">
        <w:t xml:space="preserve">La decisión de mantener una arquitectura </w:t>
      </w:r>
      <w:proofErr w:type="spellStart"/>
      <w:r w:rsidRPr="00151A13">
        <w:rPr>
          <w:i/>
          <w:iCs/>
        </w:rPr>
        <w:t>stateless</w:t>
      </w:r>
      <w:proofErr w:type="spellEnd"/>
      <w:r w:rsidRPr="00151A13">
        <w:t xml:space="preserve"> (sin persistencia en base de datos) queda validada y se extiende al formato del entregable.</w:t>
      </w:r>
    </w:p>
    <w:p w14:paraId="54990949" w14:textId="77777777" w:rsidR="00151A13" w:rsidRPr="00151A13" w:rsidRDefault="00151A13" w:rsidP="00151A13">
      <w:pPr>
        <w:numPr>
          <w:ilvl w:val="0"/>
          <w:numId w:val="2"/>
        </w:numPr>
        <w:jc w:val="both"/>
      </w:pPr>
      <w:r w:rsidRPr="00151A13">
        <w:rPr>
          <w:b/>
          <w:bCs/>
        </w:rPr>
        <w:t>Rechazo del Link Interactivo:</w:t>
      </w:r>
      <w:r w:rsidRPr="00151A13">
        <w:t xml:space="preserve"> Se descarta el desarrollo de un reporte web protegido por PIN. Este formato forzaría la creación de bases de datos, pago de servidores y gestión de seguridad continua, reintroduciendo el riesgo de "pasivo perpetuo".</w:t>
      </w:r>
    </w:p>
    <w:p w14:paraId="0E0628FD" w14:textId="77777777" w:rsidR="00151A13" w:rsidRPr="00151A13" w:rsidRDefault="00151A13" w:rsidP="00151A13">
      <w:pPr>
        <w:numPr>
          <w:ilvl w:val="0"/>
          <w:numId w:val="2"/>
        </w:numPr>
        <w:jc w:val="both"/>
      </w:pPr>
      <w:r w:rsidRPr="00151A13">
        <w:rPr>
          <w:b/>
          <w:bCs/>
        </w:rPr>
        <w:t>El PDF como Producto Final:</w:t>
      </w:r>
      <w:r w:rsidRPr="00151A13">
        <w:t xml:space="preserve"> El entregable del Tier 3 ($14.99) será un documento PDF de alto valor percibido enviado por correo. El PDF es seguro, portátil, cierra la transacción técnica en el acto y transfiere el costo de almacenamiento al usuario. Además, si el usuario requiere actualizar su plan a futuro, el producto lo incentiva naturalmente a contactar al asesor financiero (nuestro cliente B2B).</w:t>
      </w:r>
    </w:p>
    <w:p w14:paraId="1D5F21DE" w14:textId="77777777" w:rsidR="00151A13" w:rsidRPr="00151A13" w:rsidRDefault="00151A13" w:rsidP="00151A13">
      <w:pPr>
        <w:numPr>
          <w:ilvl w:val="0"/>
          <w:numId w:val="2"/>
        </w:numPr>
        <w:jc w:val="both"/>
      </w:pPr>
      <w:r w:rsidRPr="00151A13">
        <w:rPr>
          <w:b/>
          <w:bCs/>
        </w:rPr>
        <w:t>Fricción Nula:</w:t>
      </w:r>
      <w:r w:rsidRPr="00151A13">
        <w:t xml:space="preserve"> Dado que completar el perfil inicial toma solo 20 segundos (8 campos numéricos), la ausencia de guardado de sesión no penaliza la retención.</w:t>
      </w:r>
    </w:p>
    <w:p w14:paraId="65A2FEB7" w14:textId="77777777" w:rsidR="00151A13" w:rsidRPr="00151A13" w:rsidRDefault="00151A13" w:rsidP="00151A13">
      <w:pPr>
        <w:jc w:val="both"/>
        <w:rPr>
          <w:b/>
          <w:bCs/>
        </w:rPr>
      </w:pPr>
      <w:r w:rsidRPr="00151A13">
        <w:rPr>
          <w:b/>
          <w:bCs/>
        </w:rPr>
        <w:t>3. AISLAMIENTO LEGAL Y REFINAMIENTO DEL EMBUDO</w:t>
      </w:r>
    </w:p>
    <w:p w14:paraId="39128DBE" w14:textId="77777777" w:rsidR="00151A13" w:rsidRPr="00151A13" w:rsidRDefault="00151A13" w:rsidP="00151A13">
      <w:pPr>
        <w:jc w:val="both"/>
      </w:pPr>
      <w:r w:rsidRPr="00151A13">
        <w:t>La interacción con el usuario se divide en compartimentos estancos para maximizar la conversión y anular riesgos legales:</w:t>
      </w:r>
    </w:p>
    <w:p w14:paraId="17D49502" w14:textId="77777777" w:rsidR="00151A13" w:rsidRPr="00151A13" w:rsidRDefault="00151A13" w:rsidP="00151A13">
      <w:pPr>
        <w:numPr>
          <w:ilvl w:val="0"/>
          <w:numId w:val="3"/>
        </w:numPr>
        <w:jc w:val="both"/>
      </w:pPr>
      <w:r w:rsidRPr="00151A13">
        <w:rPr>
          <w:b/>
          <w:bCs/>
        </w:rPr>
        <w:t>Landing Page (Cero distracciones):</w:t>
      </w:r>
      <w:r w:rsidRPr="00151A13">
        <w:t xml:space="preserve"> La página de inicio se centrará 100% en el usuario con el enfoque "</w:t>
      </w:r>
      <w:proofErr w:type="spellStart"/>
      <w:r w:rsidRPr="00151A13">
        <w:t>Armá</w:t>
      </w:r>
      <w:proofErr w:type="spellEnd"/>
      <w:r w:rsidRPr="00151A13">
        <w:t xml:space="preserve"> tu plan". Se elimina cualquier mención a redes de asesores financieros en el </w:t>
      </w:r>
      <w:proofErr w:type="spellStart"/>
      <w:r w:rsidRPr="00151A13">
        <w:rPr>
          <w:i/>
          <w:iCs/>
        </w:rPr>
        <w:t>hero</w:t>
      </w:r>
      <w:proofErr w:type="spellEnd"/>
      <w:r w:rsidRPr="00151A13">
        <w:t xml:space="preserve"> para evitar barreras de desconfianza prematura.</w:t>
      </w:r>
    </w:p>
    <w:p w14:paraId="51651F2E" w14:textId="77777777" w:rsidR="00151A13" w:rsidRPr="00151A13" w:rsidRDefault="00151A13" w:rsidP="00151A13">
      <w:pPr>
        <w:numPr>
          <w:ilvl w:val="0"/>
          <w:numId w:val="3"/>
        </w:numPr>
        <w:jc w:val="both"/>
      </w:pPr>
      <w:r w:rsidRPr="00151A13">
        <w:rPr>
          <w:b/>
          <w:bCs/>
        </w:rPr>
        <w:lastRenderedPageBreak/>
        <w:t>Flujo B2C (Tier 2 - Captura de Email):</w:t>
      </w:r>
      <w:r w:rsidRPr="00151A13">
        <w:t xml:space="preserve"> La solicitud del correo es exclusivamente para enviar el resultado exacto del Magic Number. Al no existir transferencia a terceros en este punto, no se requiere ningún </w:t>
      </w:r>
      <w:proofErr w:type="spellStart"/>
      <w:r w:rsidRPr="00151A13">
        <w:rPr>
          <w:i/>
          <w:iCs/>
        </w:rPr>
        <w:t>checkbox</w:t>
      </w:r>
      <w:proofErr w:type="spellEnd"/>
      <w:r w:rsidRPr="00151A13">
        <w:t xml:space="preserve"> de consentimiento B2B. Es un trato directo entre la plataforma y el usuario.</w:t>
      </w:r>
    </w:p>
    <w:p w14:paraId="2F69FD0E" w14:textId="77777777" w:rsidR="00151A13" w:rsidRPr="00151A13" w:rsidRDefault="00151A13" w:rsidP="00151A13">
      <w:pPr>
        <w:numPr>
          <w:ilvl w:val="0"/>
          <w:numId w:val="3"/>
        </w:numPr>
        <w:jc w:val="both"/>
      </w:pPr>
      <w:r w:rsidRPr="00151A13">
        <w:rPr>
          <w:b/>
          <w:bCs/>
        </w:rPr>
        <w:t>Flujo B2B (Modal de Asesores):</w:t>
      </w:r>
      <w:r w:rsidRPr="00151A13">
        <w:t xml:space="preserve"> La transferencia del lead solo ocurre si el usuario presiona "Contactar un asesor". Es aquí, al final del embudo, donde brilla el diseño de transparencia ("Lo que verá tu asesor") y se captura el consentimiento explícito antes del envío de los datos patrimoniales.</w:t>
      </w:r>
    </w:p>
    <w:p w14:paraId="101DD7A8" w14:textId="77777777" w:rsidR="00151A13" w:rsidRPr="00151A13" w:rsidRDefault="00151A13" w:rsidP="00151A13">
      <w:pPr>
        <w:jc w:val="both"/>
        <w:rPr>
          <w:b/>
          <w:bCs/>
        </w:rPr>
      </w:pPr>
      <w:r w:rsidRPr="00151A13">
        <w:rPr>
          <w:b/>
          <w:bCs/>
        </w:rPr>
        <w:t>4. GO-TO-MARKET Y SECUENCIA DE LANZAMIENTO</w:t>
      </w:r>
    </w:p>
    <w:p w14:paraId="63E70C24" w14:textId="77777777" w:rsidR="00151A13" w:rsidRPr="00151A13" w:rsidRDefault="00151A13" w:rsidP="00151A13">
      <w:pPr>
        <w:jc w:val="both"/>
      </w:pPr>
      <w:r w:rsidRPr="00151A13">
        <w:t>El lanzamiento comercial invierte la lógica tradicional.</w:t>
      </w:r>
    </w:p>
    <w:p w14:paraId="31C99F30" w14:textId="77777777" w:rsidR="00151A13" w:rsidRPr="00151A13" w:rsidRDefault="00151A13" w:rsidP="00151A13">
      <w:pPr>
        <w:numPr>
          <w:ilvl w:val="0"/>
          <w:numId w:val="4"/>
        </w:numPr>
        <w:jc w:val="both"/>
      </w:pPr>
      <w:r w:rsidRPr="00151A13">
        <w:rPr>
          <w:b/>
          <w:bCs/>
        </w:rPr>
        <w:t>Piloto Fundacional B2B:</w:t>
      </w:r>
      <w:r w:rsidRPr="00151A13">
        <w:t xml:space="preserve"> El GTM comienza obligatoriamente con el cierre de contratos </w:t>
      </w:r>
      <w:proofErr w:type="spellStart"/>
      <w:r w:rsidRPr="00151A13">
        <w:t>pre-lanzamiento</w:t>
      </w:r>
      <w:proofErr w:type="spellEnd"/>
      <w:r w:rsidRPr="00151A13">
        <w:t xml:space="preserve"> con 3 consultoras o mesas de dinero conocidas.</w:t>
      </w:r>
    </w:p>
    <w:p w14:paraId="1EECD3AC" w14:textId="77777777" w:rsidR="00151A13" w:rsidRPr="00151A13" w:rsidRDefault="00151A13" w:rsidP="00151A13">
      <w:pPr>
        <w:numPr>
          <w:ilvl w:val="0"/>
          <w:numId w:val="4"/>
        </w:numPr>
        <w:jc w:val="both"/>
      </w:pPr>
      <w:r w:rsidRPr="00151A13">
        <w:rPr>
          <w:b/>
          <w:bCs/>
        </w:rPr>
        <w:t>Activación B2C:</w:t>
      </w:r>
      <w:r w:rsidRPr="00151A13">
        <w:t xml:space="preserve"> La adquisición de tráfico pagado para el consumidor final se encenderá únicamente cuando la capacidad de absorción de los leads B2B esté garantizada por estos contratos piloto.</w:t>
      </w:r>
    </w:p>
    <w:p w14:paraId="7E814226" w14:textId="77777777" w:rsidR="00151A13" w:rsidRPr="00151A13" w:rsidRDefault="00151A13" w:rsidP="00151A13">
      <w:pPr>
        <w:jc w:val="both"/>
        <w:rPr>
          <w:b/>
          <w:bCs/>
        </w:rPr>
      </w:pPr>
      <w:r w:rsidRPr="00151A13">
        <w:rPr>
          <w:b/>
          <w:bCs/>
        </w:rPr>
        <w:t>5. PLAN DE ACCIÓN TÉCNICO INMEDIATO (Bloqueantes)</w:t>
      </w:r>
    </w:p>
    <w:p w14:paraId="3FD3B5BF" w14:textId="77777777" w:rsidR="00151A13" w:rsidRPr="00151A13" w:rsidRDefault="00151A13" w:rsidP="00151A13">
      <w:pPr>
        <w:jc w:val="both"/>
      </w:pPr>
      <w:r w:rsidRPr="00151A13">
        <w:t>Previo al lanzamiento, el equipo de desarrollo debe ejecutar las siguientes correcciones sobre el código base:</w:t>
      </w:r>
    </w:p>
    <w:p w14:paraId="37F049A9" w14:textId="77777777" w:rsidR="00151A13" w:rsidRPr="00151A13" w:rsidRDefault="00151A13" w:rsidP="00151A13">
      <w:pPr>
        <w:numPr>
          <w:ilvl w:val="0"/>
          <w:numId w:val="5"/>
        </w:numPr>
        <w:jc w:val="both"/>
      </w:pPr>
      <w:r w:rsidRPr="00151A13">
        <w:rPr>
          <w:b/>
          <w:bCs/>
        </w:rPr>
        <w:t xml:space="preserve">Rebalanceo del Embudo (Email vs. </w:t>
      </w:r>
      <w:proofErr w:type="spellStart"/>
      <w:r w:rsidRPr="00151A13">
        <w:rPr>
          <w:b/>
          <w:bCs/>
        </w:rPr>
        <w:t>Paid</w:t>
      </w:r>
      <w:proofErr w:type="spellEnd"/>
      <w:r w:rsidRPr="00151A13">
        <w:rPr>
          <w:b/>
          <w:bCs/>
        </w:rPr>
        <w:t>):</w:t>
      </w:r>
      <w:r w:rsidRPr="00151A13">
        <w:t xml:space="preserve"> En la lógica de estados, el simulador interactivo de variables de jubilación debe removerse del Tier 2 (Email) y quedar como beneficio exclusivo del Tier 3 ($14.99). El Tier 2 solo debe entregar el número exacto, generando la necesidad del plan de acción.</w:t>
      </w:r>
    </w:p>
    <w:p w14:paraId="1846BA1B" w14:textId="77777777" w:rsidR="00151A13" w:rsidRPr="00151A13" w:rsidRDefault="00151A13" w:rsidP="00151A13">
      <w:pPr>
        <w:numPr>
          <w:ilvl w:val="0"/>
          <w:numId w:val="5"/>
        </w:numPr>
        <w:jc w:val="both"/>
      </w:pPr>
      <w:r w:rsidRPr="00151A13">
        <w:rPr>
          <w:b/>
          <w:bCs/>
        </w:rPr>
        <w:t>Purga de Terminología:</w:t>
      </w:r>
      <w:r w:rsidRPr="00151A13">
        <w:t xml:space="preserve"> Reemplazar cualquier instancia de la palabra "</w:t>
      </w:r>
      <w:proofErr w:type="spellStart"/>
      <w:r w:rsidRPr="00151A13">
        <w:t>lifetime</w:t>
      </w:r>
      <w:proofErr w:type="spellEnd"/>
      <w:r w:rsidRPr="00151A13">
        <w:t>" en los archivos de traducción e interfaz por "Perfil Full" o "Fotografía Financiera".</w:t>
      </w:r>
    </w:p>
    <w:p w14:paraId="6C5E4BE3" w14:textId="77777777" w:rsidR="00151A13" w:rsidRPr="00151A13" w:rsidRDefault="00151A13" w:rsidP="00151A13">
      <w:pPr>
        <w:numPr>
          <w:ilvl w:val="0"/>
          <w:numId w:val="5"/>
        </w:numPr>
        <w:jc w:val="both"/>
      </w:pPr>
      <w:r w:rsidRPr="00151A13">
        <w:rPr>
          <w:b/>
          <w:bCs/>
        </w:rPr>
        <w:t xml:space="preserve">Cobertura de </w:t>
      </w:r>
      <w:proofErr w:type="spellStart"/>
      <w:r w:rsidRPr="00151A13">
        <w:rPr>
          <w:b/>
          <w:bCs/>
        </w:rPr>
        <w:t>Tests</w:t>
      </w:r>
      <w:proofErr w:type="spellEnd"/>
      <w:r w:rsidRPr="00151A13">
        <w:rPr>
          <w:b/>
          <w:bCs/>
        </w:rPr>
        <w:t>:</w:t>
      </w:r>
      <w:r w:rsidRPr="00151A13">
        <w:t xml:space="preserve"> Implementar </w:t>
      </w:r>
      <w:proofErr w:type="spellStart"/>
      <w:r w:rsidRPr="00151A13">
        <w:t>tests</w:t>
      </w:r>
      <w:proofErr w:type="spellEnd"/>
      <w:r w:rsidRPr="00151A13">
        <w:t xml:space="preserve"> unitarios sobre el motor financiero (cálculos a 30 años, </w:t>
      </w:r>
      <w:proofErr w:type="spellStart"/>
      <w:r w:rsidRPr="00151A13">
        <w:rPr>
          <w:i/>
          <w:iCs/>
        </w:rPr>
        <w:t>drawdown</w:t>
      </w:r>
      <w:proofErr w:type="spellEnd"/>
      <w:r w:rsidRPr="00151A13">
        <w:t>, inflación fija al 2.5%) para blindar la credibilidad matemática del producto ante cualquier caso extremo de inputs.</w:t>
      </w:r>
    </w:p>
    <w:p w14:paraId="78923880" w14:textId="77777777" w:rsidR="00151A13" w:rsidRPr="00151A13" w:rsidRDefault="00151A13" w:rsidP="00151A13">
      <w:pPr>
        <w:numPr>
          <w:ilvl w:val="0"/>
          <w:numId w:val="5"/>
        </w:numPr>
        <w:jc w:val="both"/>
      </w:pPr>
      <w:r w:rsidRPr="00151A13">
        <w:rPr>
          <w:b/>
          <w:bCs/>
        </w:rPr>
        <w:t>Instrumentación de Datos:</w:t>
      </w:r>
      <w:r w:rsidRPr="00151A13">
        <w:t xml:space="preserve"> </w:t>
      </w:r>
      <w:proofErr w:type="spellStart"/>
      <w:r w:rsidRPr="00151A13">
        <w:t>Trackear</w:t>
      </w:r>
      <w:proofErr w:type="spellEnd"/>
      <w:r w:rsidRPr="00151A13">
        <w:t xml:space="preserve"> milimétricamente la tasa de conversión del Tier 1 (Rango) al Tier 2 (Captura de Email). Al no tener cuentas de usuario, esta métrica determina la viabilidad de la adquisición.</w:t>
      </w:r>
    </w:p>
    <w:p w14:paraId="07C46E6B" w14:textId="77777777" w:rsidR="005E50C4" w:rsidRDefault="005E50C4"/>
    <w:sectPr w:rsidR="005E50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5E2C"/>
    <w:multiLevelType w:val="multilevel"/>
    <w:tmpl w:val="04A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5A04"/>
    <w:multiLevelType w:val="multilevel"/>
    <w:tmpl w:val="4A82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45D11"/>
    <w:multiLevelType w:val="multilevel"/>
    <w:tmpl w:val="629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D37D6"/>
    <w:multiLevelType w:val="multilevel"/>
    <w:tmpl w:val="A6E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03A49"/>
    <w:multiLevelType w:val="multilevel"/>
    <w:tmpl w:val="A65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2077">
    <w:abstractNumId w:val="0"/>
  </w:num>
  <w:num w:numId="2" w16cid:durableId="249118159">
    <w:abstractNumId w:val="3"/>
  </w:num>
  <w:num w:numId="3" w16cid:durableId="1971474613">
    <w:abstractNumId w:val="2"/>
  </w:num>
  <w:num w:numId="4" w16cid:durableId="8651468">
    <w:abstractNumId w:val="4"/>
  </w:num>
  <w:num w:numId="5" w16cid:durableId="1721590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13"/>
    <w:rsid w:val="00151A13"/>
    <w:rsid w:val="005E50C4"/>
    <w:rsid w:val="00E0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F766B"/>
  <w15:chartTrackingRefBased/>
  <w15:docId w15:val="{5C5E0BCE-458C-4C4E-BD30-F879E0A2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A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A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A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A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A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A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A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739</Words>
  <Characters>3929</Characters>
  <Application>Microsoft Office Word</Application>
  <DocSecurity>0</DocSecurity>
  <Lines>78</Lines>
  <Paragraphs>31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Boccacci</dc:creator>
  <cp:keywords/>
  <dc:description/>
  <cp:lastModifiedBy>Martín Boccacci</cp:lastModifiedBy>
  <cp:revision>1</cp:revision>
  <dcterms:created xsi:type="dcterms:W3CDTF">2026-04-16T19:24:00Z</dcterms:created>
  <dcterms:modified xsi:type="dcterms:W3CDTF">2026-04-16T19:35:00Z</dcterms:modified>
</cp:coreProperties>
</file>