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4E79"/>
          <w:sz w:val="40"/>
          <w:szCs w:val="40"/>
        </w:rPr>
        <w:t xml:space="preserve">MAGIC NUMBER PRO</w:t>
      </w:r>
    </w:p>
    <w:p>
      <w:pPr>
        <w:spacing w:after="40"/>
      </w:pPr>
      <w:r>
        <w:rPr>
          <w:color w:val="333333"/>
          <w:sz w:val="26"/>
          <w:szCs w:val="26"/>
        </w:rPr>
        <w:t xml:space="preserve">Informe ejecutivo — Estado de situación y pasos a seguir</w:t>
      </w:r>
    </w:p>
    <w:p>
      <w:pPr>
        <w:pBdr>
          <w:bottom w:val="single" w:color="1E4E79" w:sz="8" w:space="4"/>
        </w:pBdr>
        <w:tabs>
          <w:tab w:val="right" w:pos="9026"/>
        </w:tabs>
        <w:spacing w:after="240"/>
      </w:pPr>
      <w:r>
        <w:rPr>
          <w:color w:val="595959"/>
          <w:sz w:val="20"/>
          <w:szCs w:val="20"/>
        </w:rPr>
        <w:t xml:space="preserve">10 de junio de 2026</w:t>
      </w:r>
      <w:r>
        <w:rPr>
          <w:color w:val="595959"/>
          <w:sz w:val="20"/>
          <w:szCs w:val="20"/>
        </w:rPr>
        <w:t xml:space="preserve">	Base: auditorías técnicas v1/v2 + análisis estratégico (commit 4a4f702)</w:t>
      </w:r>
    </w:p>
    <w:p>
      <w:pPr>
        <w:pStyle w:val="Heading1"/>
      </w:pPr>
      <w:r>
        <w:t xml:space="preserve">Resumen ejecutivo</w:t>
      </w:r>
    </w:p>
    <w:p>
      <w:pPr>
        <w:spacing w:after="140"/>
      </w:pPr>
      <w:r>
        <w:t xml:space="preserve">Magic Number PRO está </w:t>
      </w:r>
      <w:r>
        <w:rPr>
          <w:b/>
          <w:bCs/>
        </w:rPr>
        <w:t xml:space="preserve">técnicamente listo y comercialmente incompleto</w:t>
      </w:r>
      <w:r>
        <w:t xml:space="preserve">. El producto —calculadora de retiro para el mercado hispanohablante, MVP de 3 módulos, motor financiero riguroso con 40 tests automatizados— quedó en su mejor estado histórico tras las auditorías y correcciones de esta semana. Pero hoy no puede cobrar (el botón de pago es un placeholder), no puede vender leads legalmente (falta el consentimiento registrable) y no tiene plan de distribución. Ninguno de los tres bloqueantes es grande en esfuerzo; los tres son fatales si se lanza sin resolverlos.</w:t>
      </w:r>
    </w:p>
    <w:p>
      <w:pPr>
        <w:spacing w:after="140"/>
      </w:pPr>
      <w:r>
        <w:t xml:space="preserve">Este informe también plantea una alternativa estratégica surgida del análisis: </w:t>
      </w:r>
      <w:r>
        <w:rPr>
          <w:b/>
          <w:bCs/>
        </w:rPr>
        <w:t xml:space="preserve">venderle la máquina a los asesores financieros (marca blanca por suscripción) en lugar de venderles leads sueltos</w:t>
      </w:r>
      <w:r>
        <w:t xml:space="preserve">. Cambia la economía del negocio de ingresos por transacción a ingresos recurrentes, y disuelve el principal riesgo legal. Recomendamos validarla en 30 días con bajo costo antes de comprometer más desarrollo al embudo actual.</w:t>
      </w:r>
    </w:p>
    <w:p>
      <w:pPr>
        <w:pStyle w:val="Heading1"/>
      </w:pPr>
      <w:r>
        <w:t xml:space="preserve">1. Estado de situación</w:t>
      </w:r>
    </w:p>
    <w:p>
      <w:pPr>
        <w:spacing w:after="140"/>
      </w:pPr>
      <w:r>
        <w:t xml:space="preserve">Qué hay construido y verificado: aplicación React desplegada con CI en Cloudflare Pages (magic-number.app), bilingüe EN/ES, sin servidores propios. MVP de 3 módulos gratuitos (Tu Magic Number, Costo de Inacción, Guía) con 13 módulos adicionales encapsulados para el futuro. Motor de cálculo en términos reales (inflación, impuestos, deudas, legado) cubierto por 40 tests unitarios que pasan al 100%. Captura de leads operativa contra Supabase, con snapshot financiero completo del usuario. Analytics de embudo instrumentado esta semana (landing, cálculo del número, paywall, conversión de email).</w:t>
      </w:r>
    </w:p>
    <w:p>
      <w:pPr>
        <w:spacing w:after="140"/>
      </w:pPr>
      <w:r>
        <w:t xml:space="preserve">Métricas actuales: </w:t>
      </w:r>
      <w:r>
        <w:rPr>
          <w:b/>
          <w:bCs/>
        </w:rPr>
        <w:t xml:space="preserve">ingresos $0, usuarios 0, leads 2 (de prueba)</w:t>
      </w:r>
      <w:r>
        <w:t xml:space="preserve">. El producto está en pre-lanzamiento real: nada del modelo de negocio se ha validado con mercado todavía.</w:t>
      </w:r>
    </w:p>
    <w:p>
      <w:pPr>
        <w:spacing w:after="140"/>
      </w:pPr>
      <w:r>
        <w:t xml:space="preserve">Embudo definido (decisión vigente): nivel gratuito sin registro (resultado en rango) → micro-pago de $3.99 con entrega de PDF por email (“Fotografía Financiera”) → botón transversal de “Consultar a un Asesor” que genera el lead B2B (valor objetivo $75–150) para una red piloto de 3 consultoras.</w:t>
      </w:r>
    </w:p>
    <w:p>
      <w:pPr>
        <w:pStyle w:val="Heading1"/>
      </w:pPr>
      <w:r>
        <w:t xml:space="preserve">2. Puntos fuertes (y cuáles estamos subvalorando)</w:t>
      </w:r>
    </w:p>
    <w:p>
      <w:pPr>
        <w:pStyle w:val="ListParagraph"/>
        <w:numPr>
          <w:ilvl w:val="0"/>
          <w:numId w:val="2"/>
        </w:numPr>
        <w:spacing w:after="100"/>
      </w:pPr>
      <w:r>
        <w:rPr>
          <w:b/>
          <w:bCs/>
        </w:rPr>
        <w:t xml:space="preserve">El motor es un activo de confianza, no solo código. </w:t>
      </w:r>
      <w:r>
        <w:t xml:space="preserve">Calcula en términos reales, modela impuestos y eventos de deuda, y está testeado. La mayoría de las calculadoras competidoras son cajas negras optimistas. Hoy esa rigurosidad es invisible para el usuario: falta una página “cómo calculamos” que la convierta en argumento de venta.</w:t>
      </w:r>
    </w:p>
    <w:p>
      <w:pPr>
        <w:pStyle w:val="ListParagraph"/>
        <w:numPr>
          <w:ilvl w:val="0"/>
          <w:numId w:val="2"/>
        </w:numPr>
        <w:spacing w:after="100"/>
      </w:pPr>
      <w:r>
        <w:rPr>
          <w:b/>
          <w:bCs/>
        </w:rPr>
        <w:t xml:space="preserve">El momento del “reveal” del número está muy bien resuelto</w:t>
      </w:r>
      <w:r>
        <w:t xml:space="preserve"> (rango borroso → desbloqueo → cifra exacta). Es el corazón emocional del producto y el principal motor de conversión.</w:t>
      </w:r>
    </w:p>
    <w:p>
      <w:pPr>
        <w:pStyle w:val="ListParagraph"/>
        <w:numPr>
          <w:ilvl w:val="0"/>
          <w:numId w:val="2"/>
        </w:numPr>
        <w:spacing w:after="100"/>
      </w:pPr>
      <w:r>
        <w:rPr>
          <w:b/>
          <w:bCs/>
        </w:rPr>
        <w:t xml:space="preserve">“Costo de Inacción” es el mejor gancho de marketing que tenemos</w:t>
      </w:r>
      <w:r>
        <w:t xml:space="preserve"> — “esperar te cuesta $X por mes” es más potente que “descubrí tu número”. Hoy no aparece en la landing: es nuestro mejor anuncio, escondido dentro del producto.</w:t>
      </w:r>
    </w:p>
    <w:p>
      <w:pPr>
        <w:pStyle w:val="ListParagraph"/>
        <w:numPr>
          <w:ilvl w:val="0"/>
          <w:numId w:val="2"/>
        </w:numPr>
        <w:spacing w:after="100"/>
      </w:pPr>
      <w:r>
        <w:rPr>
          <w:b/>
          <w:bCs/>
        </w:rPr>
        <w:t xml:space="preserve">El lead B2B es de altísima calidad intrínseca: </w:t>
      </w:r>
      <w:r>
        <w:t xml:space="preserve">contacto + perfil financiero completo + intención explícita. Es exactamente lo que un asesor quiere comprar (cuando podamos vendérselo legalmente).</w:t>
      </w:r>
    </w:p>
    <w:p>
      <w:pPr>
        <w:pStyle w:val="ListParagraph"/>
        <w:numPr>
          <w:ilvl w:val="0"/>
          <w:numId w:val="2"/>
        </w:numPr>
        <w:spacing w:after="100"/>
      </w:pPr>
      <w:r>
        <w:rPr>
          <w:b/>
          <w:bCs/>
        </w:rPr>
        <w:t xml:space="preserve">Costo operativo cercano a cero y base técnica sana</w:t>
      </w:r>
      <w:r>
        <w:t xml:space="preserve">: sin servidores, deploy automático, arquitectura ordenada tras el refactor. Podemos iterar rápido y barato.</w:t>
      </w:r>
    </w:p>
    <w:p>
      <w:pPr>
        <w:pStyle w:val="Heading1"/>
      </w:pPr>
      <w:r>
        <w:t xml:space="preserve">3. Desafíos críticos</w:t>
      </w:r>
    </w:p>
    <w:p>
      <w:pPr>
        <w:spacing w:after="140"/>
      </w:pPr>
      <w:r>
        <w:t xml:space="preserve">Ordenados por gravedad. Los tres primeros son </w:t>
      </w:r>
      <w:r>
        <w:rPr>
          <w:b/>
          <w:bCs/>
        </w:rPr>
        <w:t xml:space="preserve">bloqueantes de lanzamiento</w:t>
      </w:r>
      <w:r>
        <w:t xml:space="preserv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30"/>
        <w:gridCol w:w="2300"/>
        <w:gridCol w:w="4800"/>
        <w:gridCol w:w="2118"/>
      </w:tblGrid>
      <w:tr>
        <w:tc>
          <w:tcPr>
            <w:tcW w:type="dxa" w:w="430"/>
            <w:tcBorders>
              <w:top w:val="single" w:color="BFBFBF" w:sz="1"/>
              <w:left w:val="single" w:color="BFBFBF" w:sz="1"/>
              <w:bottom w:val="single" w:color="BFBFBF" w:sz="1"/>
              <w:right w:val="single" w:color="BFBFBF" w:sz="1"/>
            </w:tcBorders>
            <w:shd w:fill="D9E2F0" w:val="clear"/>
            <w:tcMar>
              <w:top w:type="dxa" w:w="80"/>
              <w:left w:type="dxa" w:w="120"/>
              <w:bottom w:type="dxa" w:w="80"/>
              <w:right w:type="dxa" w:w="120"/>
            </w:tcMar>
          </w:tcPr>
          <w:p>
            <w:r>
              <w:rPr>
                <w:b/>
                <w:bCs/>
                <w:sz w:val="20"/>
                <w:szCs w:val="20"/>
              </w:rPr>
              <w:t xml:space="preserve">#</w:t>
            </w:r>
          </w:p>
        </w:tc>
        <w:tc>
          <w:tcPr>
            <w:tcW w:type="dxa" w:w="2300"/>
            <w:tcBorders>
              <w:top w:val="single" w:color="BFBFBF" w:sz="1"/>
              <w:left w:val="single" w:color="BFBFBF" w:sz="1"/>
              <w:bottom w:val="single" w:color="BFBFBF" w:sz="1"/>
              <w:right w:val="single" w:color="BFBFBF" w:sz="1"/>
            </w:tcBorders>
            <w:shd w:fill="D9E2F0" w:val="clear"/>
            <w:tcMar>
              <w:top w:type="dxa" w:w="80"/>
              <w:left w:type="dxa" w:w="120"/>
              <w:bottom w:type="dxa" w:w="80"/>
              <w:right w:type="dxa" w:w="120"/>
            </w:tcMar>
          </w:tcPr>
          <w:p>
            <w:r>
              <w:rPr>
                <w:b/>
                <w:bCs/>
                <w:sz w:val="20"/>
                <w:szCs w:val="20"/>
              </w:rPr>
              <w:t xml:space="preserve">Desafío</w:t>
            </w:r>
          </w:p>
        </w:tc>
        <w:tc>
          <w:tcPr>
            <w:tcW w:type="dxa" w:w="4800"/>
            <w:tcBorders>
              <w:top w:val="single" w:color="BFBFBF" w:sz="1"/>
              <w:left w:val="single" w:color="BFBFBF" w:sz="1"/>
              <w:bottom w:val="single" w:color="BFBFBF" w:sz="1"/>
              <w:right w:val="single" w:color="BFBFBF" w:sz="1"/>
            </w:tcBorders>
            <w:shd w:fill="D9E2F0" w:val="clear"/>
            <w:tcMar>
              <w:top w:type="dxa" w:w="80"/>
              <w:left w:type="dxa" w:w="120"/>
              <w:bottom w:type="dxa" w:w="80"/>
              <w:right w:type="dxa" w:w="120"/>
            </w:tcMar>
          </w:tcPr>
          <w:p>
            <w:r>
              <w:rPr>
                <w:b/>
                <w:bCs/>
                <w:sz w:val="20"/>
                <w:szCs w:val="20"/>
              </w:rPr>
              <w:t xml:space="preserve">Situación</w:t>
            </w:r>
          </w:p>
        </w:tc>
        <w:tc>
          <w:tcPr>
            <w:tcW w:type="dxa" w:w="2118"/>
            <w:tcBorders>
              <w:top w:val="single" w:color="BFBFBF" w:sz="1"/>
              <w:left w:val="single" w:color="BFBFBF" w:sz="1"/>
              <w:bottom w:val="single" w:color="BFBFBF" w:sz="1"/>
              <w:right w:val="single" w:color="BFBFBF" w:sz="1"/>
            </w:tcBorders>
            <w:shd w:fill="D9E2F0" w:val="clear"/>
            <w:tcMar>
              <w:top w:type="dxa" w:w="80"/>
              <w:left w:type="dxa" w:w="120"/>
              <w:bottom w:type="dxa" w:w="80"/>
              <w:right w:type="dxa" w:w="120"/>
            </w:tcMar>
          </w:tcPr>
          <w:p>
            <w:r>
              <w:rPr>
                <w:b/>
                <w:bCs/>
                <w:sz w:val="20"/>
                <w:szCs w:val="20"/>
              </w:rPr>
              <w:t xml:space="preserve">Esfuerzo de resolución</w:t>
            </w:r>
          </w:p>
        </w:tc>
      </w:tr>
      <w:tr>
        <w:tc>
          <w:tcPr>
            <w:tcW w:type="dxa" w:w="4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B33A3A"/>
                <w:sz w:val="20"/>
                <w:szCs w:val="20"/>
              </w:rPr>
              <w:t xml:space="preserve">1</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Legalidad del negocio B2B</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Vender leads con datos financieros personales exige consentimiento informado y registrable (Ley 25.326). Hoy no existe checkbox, ni registro de consentimiento, ni Términos y Condiciones. Cada lead vendido sería un pasivo, y las consultoras serias lo van a exigir.</w:t>
            </w:r>
          </w:p>
        </w:tc>
        <w:tc>
          <w:tcPr>
            <w:tcW w:type="dxa" w:w="211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Bajo: 1–2 días (checkbox + columna en BD + T&amp;C)</w:t>
            </w:r>
          </w:p>
        </w:tc>
      </w:tr>
      <w:tr>
        <w:tc>
          <w:tcPr>
            <w:tcW w:type="dxa" w:w="4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B33A3A"/>
                <w:sz w:val="20"/>
                <w:szCs w:val="20"/>
              </w:rPr>
              <w:t xml:space="preserve">2</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No podemos cobrar</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El botón de $3.99 es un aviso de “próximamente”. No hay pasarela de pago, ni generación del PDF, ni envío por email. Todo el modelo de autofinanciación del CAC es hipótesis sin testear.</w:t>
            </w:r>
          </w:p>
        </w:tc>
        <w:tc>
          <w:tcPr>
            <w:tcW w:type="dxa" w:w="211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Medio: 1–2 semanas (pago + PDF + email transaccional)</w:t>
            </w:r>
          </w:p>
        </w:tc>
      </w:tr>
      <w:tr>
        <w:tc>
          <w:tcPr>
            <w:tcW w:type="dxa" w:w="4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B33A3A"/>
                <w:sz w:val="20"/>
                <w:szCs w:val="20"/>
              </w:rPr>
              <w:t xml:space="preserve">3</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Producto de EE.UU. para audiencia argentina</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La app habla voseo y apunta a Argentina, pero compara al usuario contra percentiles de riqueza de EE.UU., recomienda CDs con FDIC y bonos del Tesoro, y asume 2,5% de inflación. Para quien vivió 100%+ de inflación, eso destruye la credibilidad en el momento exacto en que más la necesitamos.</w:t>
            </w:r>
          </w:p>
        </w:tc>
        <w:tc>
          <w:tcPr>
            <w:tcW w:type="dxa" w:w="211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Decisión estratégica + días de trabajo (ver propuesta B)</w:t>
            </w:r>
          </w:p>
        </w:tc>
      </w:tr>
      <w:tr>
        <w:tc>
          <w:tcPr>
            <w:tcW w:type="dxa" w:w="4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9A6700"/>
                <w:sz w:val="20"/>
                <w:szCs w:val="20"/>
              </w:rPr>
              <w:t xml:space="preserve">4</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Distribución y economía del $3.99</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$3.99 deja ~$3.28 netos tras comisiones: solo cubre adquisición orgánica, y no hay plan orgánico documentado (sin contenido, SEO ni partnerships). La pregunta sin respuesta: ¿de dónde salen los primeros 1.000 usuarios?</w:t>
            </w:r>
          </w:p>
        </w:tc>
        <w:tc>
          <w:tcPr>
            <w:tcW w:type="dxa" w:w="211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Alto: es el trabajo estratégico pendiente</w:t>
            </w:r>
          </w:p>
        </w:tc>
      </w:tr>
      <w:tr>
        <w:tc>
          <w:tcPr>
            <w:tcW w:type="dxa" w:w="4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9A6700"/>
                <w:sz w:val="20"/>
                <w:szCs w:val="20"/>
              </w:rPr>
              <w:t xml:space="preserve">5</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Mensaje fragmentado</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Conviven versiones distintas de precio y promesa entre documentos internos, landing y código ($14.99 vs $3.99; “10 minutos” vs 3; “16 módulos” vs MVP de 3). Barato de arreglar hoy, caro después del primer usuario real.</w:t>
            </w:r>
          </w:p>
        </w:tc>
        <w:tc>
          <w:tcPr>
            <w:tcW w:type="dxa" w:w="211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Bajo: horas</w:t>
            </w:r>
          </w:p>
        </w:tc>
      </w:tr>
      <w:tr>
        <w:tc>
          <w:tcPr>
            <w:tcW w:type="dxa" w:w="4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9A6700"/>
                <w:sz w:val="20"/>
                <w:szCs w:val="20"/>
              </w:rPr>
              <w:t xml:space="preserve">6</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Producto de un solo uso</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La arquitectura sin cuentas es excelente para reducir fricción de entrada y mala para el valor de vida: no hay recordatorios, seguimiento ni hábito. El PDF es un punto final, no un punto de retorno.</w:t>
            </w:r>
          </w:p>
        </w:tc>
        <w:tc>
          <w:tcPr>
            <w:tcW w:type="dxa" w:w="211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Se resuelve solo en el modelo white-label (ver propuesta A)</w:t>
            </w:r>
          </w:p>
        </w:tc>
      </w:tr>
      <w:tr>
        <w:tc>
          <w:tcPr>
            <w:tcW w:type="dxa" w:w="43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9A6700"/>
                <w:sz w:val="20"/>
                <w:szCs w:val="20"/>
              </w:rPr>
              <w:t xml:space="preserve">7</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Fragilidad operativa</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La copia local del código lleva días dañada (se trabaja y commitea igual, pero el disco local no compila); la única copia íntegra es GitHub. Bus factor = 1: una sola persona y una sola máquina. Además, el control de acceso premium es 100% del lado del navegador: al integrar pagos hay que mover la autorización al servidor o el paywall es decorativo.</w:t>
            </w:r>
          </w:p>
        </w:tc>
        <w:tc>
          <w:tcPr>
            <w:tcW w:type="dxa" w:w="211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Bajo: 1 comando (restaurar) + disciplina</w:t>
            </w:r>
          </w:p>
        </w:tc>
      </w:tr>
    </w:tbl>
    <w:p>
      <w:pPr>
        <w:pStyle w:val="Heading1"/>
        <w:pageBreakBefore/>
      </w:pPr>
      <w:r>
        <w:t xml:space="preserve">4. Propuestas out-of-the-box</w:t>
      </w:r>
    </w:p>
    <w:p>
      <w:pPr>
        <w:pStyle w:val="Heading2"/>
      </w:pPr>
      <w:r>
        <w:t xml:space="preserve">Propuesta A (estructural) — Vender la máquina, no los leads</w:t>
      </w:r>
    </w:p>
    <w:p>
      <w:pPr>
        <w:spacing w:after="140"/>
      </w:pPr>
      <w:r>
        <w:t xml:space="preserve">Sin darnos cuenta construimos </w:t>
      </w:r>
      <w:r>
        <w:rPr>
          <w:b/>
          <w:bCs/>
        </w:rPr>
        <w:t xml:space="preserve">la mejor herramienta de captación de clientes que un asesor financiero independiente de LATAM podría tener</w:t>
      </w:r>
      <w:r>
        <w:t xml:space="preserve">: calculadora con momento “wow”, motor riguroso, captura de perfil financiero completo y modal de transparencia. La estamos usando para vender PDFs de $3.99 y leads sueltos. La inversión del modelo: </w:t>
      </w:r>
      <w:r>
        <w:rPr>
          <w:b/>
          <w:bCs/>
        </w:rPr>
        <w:t xml:space="preserve">el cliente no es el usuario final ni el comprador de leads — es el asesor. El producto es la máquina misma, en marca blanca.</w:t>
      </w:r>
    </w:p>
    <w:p>
      <w:pPr>
        <w:pStyle w:val="ListParagraph"/>
        <w:numPr>
          <w:ilvl w:val="0"/>
          <w:numId w:val="2"/>
        </w:numPr>
        <w:spacing w:after="100"/>
      </w:pPr>
      <w:r>
        <w:rPr>
          <w:b/>
          <w:bCs/>
        </w:rPr>
        <w:t xml:space="preserve">Mecánica: </w:t>
      </w:r>
      <w:r>
        <w:t xml:space="preserve">cada asesor/consultora obtiene su instancia con su logo y su link (magicnumber.app/su-marca), la distribuye a su propia audiencia, y cada lead generado es suyo, con consentimiento directo del usuario hacia ese asesor identificado.</w:t>
      </w:r>
    </w:p>
    <w:p>
      <w:pPr>
        <w:pStyle w:val="ListParagraph"/>
        <w:numPr>
          <w:ilvl w:val="0"/>
          <w:numId w:val="2"/>
        </w:numPr>
        <w:spacing w:after="100"/>
      </w:pPr>
      <w:r>
        <w:rPr>
          <w:b/>
          <w:bCs/>
        </w:rPr>
        <w:t xml:space="preserve">Modelo de ingresos: </w:t>
      </w:r>
      <w:r>
        <w:t xml:space="preserve">suscripción de USD 49–99/mes por asiento, en lugar de $75–150 por lead único. Referencia: 50 asesores × $79 ≈ $47.000 anuales recurrentes, con churn naturalmente bajo (la herramienta que te trae clientes no se cancela).</w:t>
      </w:r>
    </w:p>
    <w:p>
      <w:pPr>
        <w:pStyle w:val="ListParagraph"/>
        <w:numPr>
          <w:ilvl w:val="0"/>
          <w:numId w:val="2"/>
        </w:numPr>
        <w:spacing w:after="100"/>
      </w:pPr>
      <w:r>
        <w:rPr>
          <w:b/>
          <w:bCs/>
        </w:rPr>
        <w:t xml:space="preserve">Por qué resuelve los desafíos de la tabla: </w:t>
      </w:r>
      <w:r>
        <w:t xml:space="preserve">el problema legal se disuelve (no hay cesión de datos a terceros: el usuario se los entrega directamente a su asesor); la calidad del lead deja de ser disputa (cada asesor genera los suyos); la distribución se invierte (cada suscriptor trae su tráfico); y el re-engagement pasa a manos de quien tiene la relación y el incentivo para hacerlo.</w:t>
      </w:r>
    </w:p>
    <w:p>
      <w:pPr>
        <w:pStyle w:val="ListParagraph"/>
        <w:numPr>
          <w:ilvl w:val="0"/>
          <w:numId w:val="2"/>
        </w:numPr>
        <w:spacing w:after="100"/>
      </w:pPr>
      <w:r>
        <w:rPr>
          <w:b/>
          <w:bCs/>
        </w:rPr>
        <w:t xml:space="preserve">El B2C actual no se tira: </w:t>
      </w:r>
      <w:r>
        <w:t xml:space="preserve">magic-number.app pasa a ser la demo viva y la fábrica de casos de éxito para venderle el SaaS a los asesores. El embudo actual se convierte en el marketing del negocio real.</w:t>
      </w:r>
    </w:p>
    <w:p>
      <w:pPr>
        <w:pStyle w:val="Heading2"/>
      </w:pPr>
      <w:r>
        <w:t xml:space="preserve">Propuesta B (posicionamiento) — La calculadora que entiende la inflación de verdad</w:t>
      </w:r>
    </w:p>
    <w:p>
      <w:pPr>
        <w:spacing w:after="140"/>
      </w:pPr>
      <w:r>
        <w:t xml:space="preserve">Convertir el desafío #3 en el foso competitivo: ser explícitamente </w:t>
      </w:r>
      <w:r>
        <w:rPr>
          <w:b/>
          <w:bCs/>
        </w:rPr>
        <w:t xml:space="preserve">la herramienta de planificación en dólares para latinoamericanos</w:t>
      </w:r>
      <w:r>
        <w:t xml:space="preserve"> — benchmarks regionales, inflación dual (USD para el plan, local para el contexto), instrumentos accesibles desde la región. Nadie sirve bien ese nicho, y es exactamente nuestra audiencia. La alternativa (mantener supuestos de EE.UU. sin declararlo) es la peor opción posible.</w:t>
      </w:r>
    </w:p>
    <w:p>
      <w:pPr>
        <w:pStyle w:val="Heading2"/>
      </w:pPr>
      <w:r>
        <w:t xml:space="preserve">Propuesta C (canal y gancho) — WhatsApp + Costo de Inacción</w:t>
      </w:r>
    </w:p>
    <w:p>
      <w:pPr>
        <w:spacing w:after="140"/>
      </w:pPr>
      <w:r>
        <w:t xml:space="preserve">El cliente financiero de LATAM vive en WhatsApp: entregar la “Fotografía Financiera” y el contacto asesor–cliente por ese canal reduce fricción y multiplica el reenvío (un PDF se comparte con la pareja o el contador: cada PDF es distribución gratuita). Y en marketing, liderar la landing y las piezas con </w:t>
      </w:r>
      <w:r>
        <w:rPr>
          <w:b/>
          <w:bCs/>
        </w:rPr>
        <w:t xml:space="preserve">“esperar te cuesta $X por mes”</w:t>
      </w:r>
      <w:r>
        <w:t xml:space="preserve"> en lugar del genérico “descubrí tu número”: es nuestro mensaje más potente y hoy está oculto dentro del producto.</w:t>
      </w:r>
    </w:p>
    <w:p>
      <w:pPr>
        <w:pStyle w:val="Heading1"/>
      </w:pPr>
      <w:r>
        <w:t xml:space="preserve">5. Pasos a seguir (próximos 30 días)</w:t>
      </w:r>
    </w:p>
    <w:p>
      <w:pPr>
        <w:pStyle w:val="ListParagraph"/>
        <w:numPr>
          <w:ilvl w:val="0"/>
          <w:numId w:val="3"/>
        </w:numPr>
        <w:spacing w:after="120"/>
      </w:pPr>
      <w:r>
        <w:rPr>
          <w:b/>
          <w:bCs/>
        </w:rPr>
        <w:t xml:space="preserve">Semana 1 — Sanear y legalizar (bloqueantes 1, 5 y 7): </w:t>
      </w:r>
      <w:r>
        <w:t xml:space="preserve">restaurar el entorno local de trabajo; implementar consentimiento registrable (checkbox + texto versionado + fecha en la base) y publicar Términos y Condiciones; unificar precio y promesa en landing y app, liderando con Costo de Inacción.</w:t>
      </w:r>
    </w:p>
    <w:p>
      <w:pPr>
        <w:pStyle w:val="ListParagraph"/>
        <w:numPr>
          <w:ilvl w:val="0"/>
          <w:numId w:val="3"/>
        </w:numPr>
        <w:spacing w:after="120"/>
      </w:pPr>
      <w:r>
        <w:rPr>
          <w:b/>
          <w:bCs/>
        </w:rPr>
        <w:t xml:space="preserve">Semanas 2–3 — Poder cobrar (bloqueante 2): </w:t>
      </w:r>
      <w:r>
        <w:t xml:space="preserve">integrar el flujo completo de $3.99 (pago → PDF → entrega por email, con registro mínimo de pago/entrega para soporte y reenvíos) o retirar el botón hasta que exista.</w:t>
      </w:r>
    </w:p>
    <w:p>
      <w:pPr>
        <w:pStyle w:val="ListParagraph"/>
        <w:numPr>
          <w:ilvl w:val="0"/>
          <w:numId w:val="3"/>
        </w:numPr>
        <w:spacing w:after="120"/>
      </w:pPr>
      <w:r>
        <w:rPr>
          <w:b/>
          <w:bCs/>
        </w:rPr>
        <w:t xml:space="preserve">En paralelo — Validar la Propuesta A con costo casi nulo: </w:t>
      </w:r>
      <w:r>
        <w:t xml:space="preserve">10 entrevistas con asesores financieros independientes y 2 pilotos con instancia de marca blanca. Preguntas a responder: ¿pagarían $49–99/mes? ¿qué necesitan para confiar? ¿quién decide en una consultora?</w:t>
      </w:r>
    </w:p>
    <w:p>
      <w:pPr>
        <w:pStyle w:val="ListParagraph"/>
        <w:numPr>
          <w:ilvl w:val="0"/>
          <w:numId w:val="3"/>
        </w:numPr>
        <w:spacing w:after="120"/>
      </w:pPr>
      <w:r>
        <w:rPr>
          <w:b/>
          <w:bCs/>
        </w:rPr>
        <w:t xml:space="preserve">Día 30 — Decisión de modelo: </w:t>
      </w:r>
      <w:r>
        <w:t xml:space="preserve">con datos de los pilotos y del embudo B2C ya medible, decidir si el negocio principal es venta de leads, marca blanca, o ambos secuenciados. Hasta esa fecha, no comprometer desarrollo adicional al embudo de venta de leads.</w:t>
      </w:r>
    </w:p>
    <w:p>
      <w:pPr>
        <w:spacing w:after="140"/>
      </w:pPr>
    </w:p>
    <w:p>
      <w:pPr>
        <w:pBdr>
          <w:top w:val="single" w:color="BFBFBF" w:sz="6" w:space="4"/>
        </w:pBdr>
        <w:spacing w:before="200"/>
      </w:pPr>
      <w:r>
        <w:rPr>
          <w:i/>
          <w:iCs/>
          <w:color w:val="595959"/>
          <w:sz w:val="20"/>
          <w:szCs w:val="20"/>
        </w:rPr>
        <w:t xml:space="preserve">Conclusión: el riesgo del proyecto ya no es técnico — es de foco comercial y cumplimiento. Con 2–3 semanas de trabajo dirigido quedamos en condiciones reales de validar mercado; la decisión estratégica importante (leads vs. marca blanca) puede tomarse con datos en 30 días.</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Magic Number PRO — Confidencial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E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2026-06-10T21:29:34.233Z</dcterms:created>
  <dcterms:modified xsi:type="dcterms:W3CDTF">2026-06-10T21:29:34.233Z</dcterms:modified>
</cp:coreProperties>
</file>

<file path=docProps/custom.xml><?xml version="1.0" encoding="utf-8"?>
<Properties xmlns="http://schemas.openxmlformats.org/officeDocument/2006/custom-properties" xmlns:vt="http://schemas.openxmlformats.org/officeDocument/2006/docPropsVTypes"/>
</file>