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6DEC3" w14:textId="77777777" w:rsidR="003D0FC0" w:rsidRPr="003D0FC0" w:rsidRDefault="003D0FC0" w:rsidP="003D0FC0">
      <w:pPr>
        <w:pBdr>
          <w:bottom w:val="single" w:sz="4" w:space="1" w:color="auto"/>
        </w:pBdr>
        <w:jc w:val="center"/>
      </w:pPr>
      <w:r w:rsidRPr="003D0FC0">
        <w:rPr>
          <w:b/>
          <w:bCs/>
        </w:rPr>
        <w:t>INFORME ESTRATÉGICO DE EVOLUCIÓN Y GO-TO-MARKET: MAGIC NUMBER PRO</w:t>
      </w:r>
    </w:p>
    <w:p w14:paraId="5FECBDEC" w14:textId="77777777" w:rsidR="003D0FC0" w:rsidRPr="003D0FC0" w:rsidRDefault="003D0FC0" w:rsidP="003D0FC0">
      <w:r w:rsidRPr="003D0FC0">
        <w:rPr>
          <w:b/>
          <w:bCs/>
        </w:rPr>
        <w:t>1. Resumen Ejecutivo</w:t>
      </w:r>
    </w:p>
    <w:p w14:paraId="183EF3D5" w14:textId="77777777" w:rsidR="003D0FC0" w:rsidRPr="003D0FC0" w:rsidRDefault="003D0FC0" w:rsidP="003D0FC0">
      <w:r w:rsidRPr="003D0FC0">
        <w:t>Magic Number PRO se consolida como una herramienta financiera de prospección de alta intensidad ("</w:t>
      </w:r>
      <w:proofErr w:type="spellStart"/>
      <w:r w:rsidRPr="003D0FC0">
        <w:t>Value</w:t>
      </w:r>
      <w:proofErr w:type="spellEnd"/>
      <w:r w:rsidRPr="003D0FC0">
        <w:t xml:space="preserve">-Trap"). Su objetivo es generar un momento de revelación matemática en el usuario sobre su jubilación, convirtiendo esa urgencia en </w:t>
      </w:r>
      <w:r w:rsidRPr="003D0FC0">
        <w:rPr>
          <w:i/>
          <w:iCs/>
        </w:rPr>
        <w:t>leads</w:t>
      </w:r>
      <w:r w:rsidRPr="003D0FC0">
        <w:t xml:space="preserve"> autocalificados y de alta intención para asesores financieros independientes (FA). El modelo de negocio se estructura en dos vías: monetización B2C como filtro de compromiso (suscripciones de ~$15 a ~$50+) y monetización B2B mediante la derivación de prospectos.</w:t>
      </w:r>
    </w:p>
    <w:p w14:paraId="421CF7D6" w14:textId="77777777" w:rsidR="003D0FC0" w:rsidRPr="003D0FC0" w:rsidRDefault="003D0FC0" w:rsidP="003D0FC0">
      <w:r w:rsidRPr="003D0FC0">
        <w:rPr>
          <w:b/>
          <w:bCs/>
        </w:rPr>
        <w:t>2. Actualizaciones Críticas del Producto</w:t>
      </w:r>
    </w:p>
    <w:p w14:paraId="6C5CB531" w14:textId="77777777" w:rsidR="003D0FC0" w:rsidRPr="003D0FC0" w:rsidRDefault="003D0FC0" w:rsidP="003D0FC0">
      <w:r w:rsidRPr="003D0FC0">
        <w:t>El desarrollo reciente ha integrado funciones diseñadas específicamente para acelerar la conversión comercial:</w:t>
      </w:r>
    </w:p>
    <w:p w14:paraId="3B9FFA95" w14:textId="77777777" w:rsidR="003D0FC0" w:rsidRPr="003D0FC0" w:rsidRDefault="003D0FC0" w:rsidP="003D0FC0">
      <w:pPr>
        <w:numPr>
          <w:ilvl w:val="0"/>
          <w:numId w:val="1"/>
        </w:numPr>
      </w:pPr>
      <w:r w:rsidRPr="003D0FC0">
        <w:rPr>
          <w:b/>
          <w:bCs/>
        </w:rPr>
        <w:t xml:space="preserve">Módulo "Cost </w:t>
      </w:r>
      <w:proofErr w:type="spellStart"/>
      <w:r w:rsidRPr="003D0FC0">
        <w:rPr>
          <w:b/>
          <w:bCs/>
        </w:rPr>
        <w:t>of</w:t>
      </w:r>
      <w:proofErr w:type="spellEnd"/>
      <w:r w:rsidRPr="003D0FC0">
        <w:rPr>
          <w:b/>
          <w:bCs/>
        </w:rPr>
        <w:t xml:space="preserve"> </w:t>
      </w:r>
      <w:proofErr w:type="spellStart"/>
      <w:r w:rsidRPr="003D0FC0">
        <w:rPr>
          <w:b/>
          <w:bCs/>
        </w:rPr>
        <w:t>Inaction</w:t>
      </w:r>
      <w:proofErr w:type="spellEnd"/>
      <w:r w:rsidRPr="003D0FC0">
        <w:rPr>
          <w:b/>
          <w:bCs/>
        </w:rPr>
        <w:t>" (Costo de Inacción):</w:t>
      </w:r>
      <w:r w:rsidRPr="003D0FC0">
        <w:t xml:space="preserve"> Cuantifica la pérdida económica exacta por retrasar la inversión, actuando como el principal catalizador psicológico para la acción.</w:t>
      </w:r>
    </w:p>
    <w:p w14:paraId="035D019F" w14:textId="77777777" w:rsidR="003D0FC0" w:rsidRPr="003D0FC0" w:rsidRDefault="003D0FC0" w:rsidP="003D0FC0">
      <w:pPr>
        <w:numPr>
          <w:ilvl w:val="0"/>
          <w:numId w:val="1"/>
        </w:numPr>
      </w:pPr>
      <w:r w:rsidRPr="003D0FC0">
        <w:rPr>
          <w:b/>
          <w:bCs/>
        </w:rPr>
        <w:t xml:space="preserve">Proyección Dinámica ("How </w:t>
      </w:r>
      <w:proofErr w:type="spellStart"/>
      <w:r w:rsidRPr="003D0FC0">
        <w:rPr>
          <w:b/>
          <w:bCs/>
        </w:rPr>
        <w:t>to</w:t>
      </w:r>
      <w:proofErr w:type="spellEnd"/>
      <w:r w:rsidRPr="003D0FC0">
        <w:rPr>
          <w:b/>
          <w:bCs/>
        </w:rPr>
        <w:t xml:space="preserve"> Close </w:t>
      </w:r>
      <w:proofErr w:type="spellStart"/>
      <w:r w:rsidRPr="003D0FC0">
        <w:rPr>
          <w:b/>
          <w:bCs/>
        </w:rPr>
        <w:t>the</w:t>
      </w:r>
      <w:proofErr w:type="spellEnd"/>
      <w:r w:rsidRPr="003D0FC0">
        <w:rPr>
          <w:b/>
          <w:bCs/>
        </w:rPr>
        <w:t xml:space="preserve"> Gap"):</w:t>
      </w:r>
      <w:r w:rsidRPr="003D0FC0">
        <w:t xml:space="preserve"> Integración de la edad real de retiro si se mantienen los hábitos actuales, acompañada de soluciones directas y botones de llamada a la acción ("Hablar con un FA").</w:t>
      </w:r>
    </w:p>
    <w:p w14:paraId="2213DBEC" w14:textId="77777777" w:rsidR="003D0FC0" w:rsidRPr="003D0FC0" w:rsidRDefault="003D0FC0" w:rsidP="003D0FC0">
      <w:pPr>
        <w:numPr>
          <w:ilvl w:val="0"/>
          <w:numId w:val="1"/>
        </w:numPr>
      </w:pPr>
      <w:r w:rsidRPr="003D0FC0">
        <w:rPr>
          <w:b/>
          <w:bCs/>
        </w:rPr>
        <w:t xml:space="preserve">Módulo de "Legacy" (Herencia) - </w:t>
      </w:r>
      <w:r w:rsidRPr="003D0FC0">
        <w:rPr>
          <w:b/>
          <w:bCs/>
          <w:i/>
          <w:iCs/>
        </w:rPr>
        <w:t>En desarrollo</w:t>
      </w:r>
      <w:r w:rsidRPr="003D0FC0">
        <w:rPr>
          <w:b/>
          <w:bCs/>
        </w:rPr>
        <w:t>:</w:t>
      </w:r>
      <w:r w:rsidRPr="003D0FC0">
        <w:t xml:space="preserve"> Implementación de un cálculo de capital residual, superando el modelo tradicional de "llegar a cero" y atrayendo a clientes de alto patrimonio interesados en fideicomisos y seguros.</w:t>
      </w:r>
    </w:p>
    <w:p w14:paraId="6EE8B82F" w14:textId="77777777" w:rsidR="003D0FC0" w:rsidRPr="003D0FC0" w:rsidRDefault="003D0FC0" w:rsidP="003D0FC0">
      <w:pPr>
        <w:numPr>
          <w:ilvl w:val="0"/>
          <w:numId w:val="1"/>
        </w:numPr>
      </w:pPr>
      <w:r w:rsidRPr="003D0FC0">
        <w:rPr>
          <w:b/>
          <w:bCs/>
        </w:rPr>
        <w:t>Fricción Impositiva Flexible:</w:t>
      </w:r>
      <w:r w:rsidRPr="003D0FC0">
        <w:t xml:space="preserve"> Sustitución de tasas fijas (como un 1.5% de Bienes Personales) por un control dinámico que resta un porcentaje de fricción al rendimiento, manteniendo la escalabilidad internacional de la plataforma.</w:t>
      </w:r>
    </w:p>
    <w:p w14:paraId="70EEDFE7" w14:textId="77777777" w:rsidR="003D0FC0" w:rsidRPr="003D0FC0" w:rsidRDefault="003D0FC0" w:rsidP="003D0FC0">
      <w:r w:rsidRPr="003D0FC0">
        <w:rPr>
          <w:b/>
          <w:bCs/>
        </w:rPr>
        <w:t>3. Posicionamiento Competitivo en el Mercado</w:t>
      </w:r>
    </w:p>
    <w:p w14:paraId="17109270" w14:textId="77777777" w:rsidR="003D0FC0" w:rsidRPr="003D0FC0" w:rsidRDefault="003D0FC0" w:rsidP="003D0FC0">
      <w:r w:rsidRPr="003D0FC0">
        <w:t>La plataforma se sitúa estratégicamente en un espacio no cubierto por los referentes actuales:</w:t>
      </w:r>
    </w:p>
    <w:p w14:paraId="71CE8D5B" w14:textId="77777777" w:rsidR="003D0FC0" w:rsidRPr="003D0FC0" w:rsidRDefault="003D0FC0" w:rsidP="003D0FC0">
      <w:pPr>
        <w:numPr>
          <w:ilvl w:val="0"/>
          <w:numId w:val="2"/>
        </w:numPr>
      </w:pPr>
      <w:r w:rsidRPr="003D0FC0">
        <w:rPr>
          <w:b/>
          <w:bCs/>
        </w:rPr>
        <w:t xml:space="preserve">Frente a </w:t>
      </w:r>
      <w:proofErr w:type="spellStart"/>
      <w:r w:rsidRPr="003D0FC0">
        <w:rPr>
          <w:b/>
          <w:bCs/>
        </w:rPr>
        <w:t>SmartAsset</w:t>
      </w:r>
      <w:proofErr w:type="spellEnd"/>
      <w:r w:rsidRPr="003D0FC0">
        <w:rPr>
          <w:b/>
          <w:bCs/>
        </w:rPr>
        <w:t>:</w:t>
      </w:r>
      <w:r w:rsidRPr="003D0FC0">
        <w:t xml:space="preserve"> Mientras que ellos operan por volumen vendiendo </w:t>
      </w:r>
      <w:r w:rsidRPr="003D0FC0">
        <w:rPr>
          <w:i/>
          <w:iCs/>
        </w:rPr>
        <w:t>leads</w:t>
      </w:r>
      <w:r w:rsidRPr="003D0FC0">
        <w:t xml:space="preserve"> fríos a un alto costo operativo, Magic Number </w:t>
      </w:r>
      <w:proofErr w:type="gramStart"/>
      <w:r w:rsidRPr="003D0FC0">
        <w:t>PRO entrega</w:t>
      </w:r>
      <w:proofErr w:type="gramEnd"/>
      <w:r w:rsidRPr="003D0FC0">
        <w:t xml:space="preserve"> </w:t>
      </w:r>
      <w:r w:rsidRPr="003D0FC0">
        <w:rPr>
          <w:i/>
          <w:iCs/>
        </w:rPr>
        <w:t>leads</w:t>
      </w:r>
      <w:r w:rsidRPr="003D0FC0">
        <w:t xml:space="preserve"> que ya validaron su compromiso económico pagando por su propio reporte.</w:t>
      </w:r>
    </w:p>
    <w:p w14:paraId="1C11BE84" w14:textId="77777777" w:rsidR="003D0FC0" w:rsidRPr="003D0FC0" w:rsidRDefault="003D0FC0" w:rsidP="003D0FC0">
      <w:pPr>
        <w:numPr>
          <w:ilvl w:val="0"/>
          <w:numId w:val="2"/>
        </w:numPr>
      </w:pPr>
      <w:r w:rsidRPr="003D0FC0">
        <w:rPr>
          <w:b/>
          <w:bCs/>
        </w:rPr>
        <w:t xml:space="preserve">Frente a </w:t>
      </w:r>
      <w:proofErr w:type="spellStart"/>
      <w:r w:rsidRPr="003D0FC0">
        <w:rPr>
          <w:b/>
          <w:bCs/>
        </w:rPr>
        <w:t>Welfi</w:t>
      </w:r>
      <w:proofErr w:type="spellEnd"/>
      <w:r w:rsidRPr="003D0FC0">
        <w:rPr>
          <w:b/>
          <w:bCs/>
        </w:rPr>
        <w:t>:</w:t>
      </w:r>
      <w:r w:rsidRPr="003D0FC0">
        <w:t xml:space="preserve"> Se evita la alta carga regulatoria del modelo de gestión de activos (AUM) y comisiones directas.</w:t>
      </w:r>
    </w:p>
    <w:p w14:paraId="6FC69B80" w14:textId="77777777" w:rsidR="003D0FC0" w:rsidRPr="003D0FC0" w:rsidRDefault="003D0FC0" w:rsidP="003D0FC0">
      <w:pPr>
        <w:numPr>
          <w:ilvl w:val="0"/>
          <w:numId w:val="2"/>
        </w:numPr>
      </w:pPr>
      <w:r w:rsidRPr="003D0FC0">
        <w:rPr>
          <w:b/>
          <w:bCs/>
        </w:rPr>
        <w:t xml:space="preserve">Frente a </w:t>
      </w:r>
      <w:proofErr w:type="spellStart"/>
      <w:r w:rsidRPr="003D0FC0">
        <w:rPr>
          <w:b/>
          <w:bCs/>
        </w:rPr>
        <w:t>Facet</w:t>
      </w:r>
      <w:proofErr w:type="spellEnd"/>
      <w:r w:rsidRPr="003D0FC0">
        <w:rPr>
          <w:b/>
          <w:bCs/>
        </w:rPr>
        <w:t>:</w:t>
      </w:r>
      <w:r w:rsidRPr="003D0FC0">
        <w:t xml:space="preserve"> </w:t>
      </w:r>
      <w:proofErr w:type="spellStart"/>
      <w:r w:rsidRPr="003D0FC0">
        <w:t>Facet</w:t>
      </w:r>
      <w:proofErr w:type="spellEnd"/>
      <w:r w:rsidRPr="003D0FC0">
        <w:t xml:space="preserve"> valida que el usuario paga por tecnología y asesoramiento objetivo sin comisiones ocultas. Magic Number PRO empaqueta esa misma experiencia tecnológica ("</w:t>
      </w:r>
      <w:proofErr w:type="spellStart"/>
      <w:r w:rsidRPr="003D0FC0">
        <w:t>Facet</w:t>
      </w:r>
      <w:proofErr w:type="spellEnd"/>
      <w:r w:rsidRPr="003D0FC0">
        <w:t xml:space="preserve"> en una caja") para que asesores independientes puedan competir con herramientas de primer nivel.</w:t>
      </w:r>
    </w:p>
    <w:p w14:paraId="31487DA1" w14:textId="77777777" w:rsidR="003D0FC0" w:rsidRPr="003D0FC0" w:rsidRDefault="003D0FC0" w:rsidP="003D0FC0">
      <w:r w:rsidRPr="003D0FC0">
        <w:rPr>
          <w:b/>
          <w:bCs/>
        </w:rPr>
        <w:t xml:space="preserve">4. Estrategia Comercial y </w:t>
      </w:r>
      <w:proofErr w:type="spellStart"/>
      <w:r w:rsidRPr="003D0FC0">
        <w:rPr>
          <w:b/>
          <w:bCs/>
        </w:rPr>
        <w:t>Go</w:t>
      </w:r>
      <w:proofErr w:type="spellEnd"/>
      <w:r w:rsidRPr="003D0FC0">
        <w:rPr>
          <w:b/>
          <w:bCs/>
        </w:rPr>
        <w:t>-</w:t>
      </w:r>
      <w:proofErr w:type="spellStart"/>
      <w:r w:rsidRPr="003D0FC0">
        <w:rPr>
          <w:b/>
          <w:bCs/>
        </w:rPr>
        <w:t>To</w:t>
      </w:r>
      <w:proofErr w:type="spellEnd"/>
      <w:r w:rsidRPr="003D0FC0">
        <w:rPr>
          <w:b/>
          <w:bCs/>
        </w:rPr>
        <w:t>-Market (GTM)</w:t>
      </w:r>
    </w:p>
    <w:p w14:paraId="45085457" w14:textId="77777777" w:rsidR="003D0FC0" w:rsidRPr="003D0FC0" w:rsidRDefault="003D0FC0" w:rsidP="003D0FC0">
      <w:pPr>
        <w:numPr>
          <w:ilvl w:val="0"/>
          <w:numId w:val="3"/>
        </w:numPr>
      </w:pPr>
      <w:r w:rsidRPr="003D0FC0">
        <w:rPr>
          <w:b/>
          <w:bCs/>
        </w:rPr>
        <w:t>Alianzas Estratégicas B2B:</w:t>
      </w:r>
      <w:r w:rsidRPr="003D0FC0">
        <w:t xml:space="preserve"> El enfoque principal de adquisición será el cierre de acuerdos piloto con firmas e individuos de peso (ej. Portfolio Personal Inversiones, Dracma, Javier Luna). Se ofrecerá un lote inicial de prospectos </w:t>
      </w:r>
      <w:proofErr w:type="spellStart"/>
      <w:r w:rsidRPr="003D0FC0">
        <w:t>pre-calificados</w:t>
      </w:r>
      <w:proofErr w:type="spellEnd"/>
      <w:r w:rsidRPr="003D0FC0">
        <w:t xml:space="preserve"> </w:t>
      </w:r>
      <w:r w:rsidRPr="003D0FC0">
        <w:lastRenderedPageBreak/>
        <w:t xml:space="preserve">para demostrar la tasa de conversión antes de negociar licencias o </w:t>
      </w:r>
      <w:r w:rsidRPr="003D0FC0">
        <w:rPr>
          <w:i/>
          <w:iCs/>
        </w:rPr>
        <w:t>fees</w:t>
      </w:r>
      <w:r w:rsidRPr="003D0FC0">
        <w:t xml:space="preserve"> por volumen.</w:t>
      </w:r>
    </w:p>
    <w:p w14:paraId="6B98790D" w14:textId="77777777" w:rsidR="003D0FC0" w:rsidRPr="003D0FC0" w:rsidRDefault="003D0FC0" w:rsidP="003D0FC0">
      <w:pPr>
        <w:numPr>
          <w:ilvl w:val="0"/>
          <w:numId w:val="3"/>
        </w:numPr>
      </w:pPr>
      <w:r w:rsidRPr="003D0FC0">
        <w:rPr>
          <w:b/>
          <w:bCs/>
        </w:rPr>
        <w:t>Segmentación Publicitaria:</w:t>
      </w:r>
      <w:r w:rsidRPr="003D0FC0">
        <w:t xml:space="preserve"> Las campañas se dirigirán exclusivamente a profesionales entre 35 y 50 años, la franja demográfica con mayor capacidad de ahorro y mayor urgencia temporal frente al retiro.</w:t>
      </w:r>
    </w:p>
    <w:p w14:paraId="5368D3B2" w14:textId="77777777" w:rsidR="003D0FC0" w:rsidRPr="003D0FC0" w:rsidRDefault="003D0FC0" w:rsidP="003D0FC0">
      <w:pPr>
        <w:numPr>
          <w:ilvl w:val="0"/>
          <w:numId w:val="3"/>
        </w:numPr>
      </w:pPr>
      <w:r w:rsidRPr="003D0FC0">
        <w:rPr>
          <w:b/>
          <w:bCs/>
        </w:rPr>
        <w:t>Mensaje de Campaña:</w:t>
      </w:r>
      <w:r w:rsidRPr="003D0FC0">
        <w:t xml:space="preserve"> Se adoptará un enfoque de "ironía y asombro", contrastando el control milimétrico que el usuario tiene sobre aspectos triviales de su vida (calorías, horas de pantalla) con la total ignorancia sobre su número de retiro, evitando el tono fatalista.</w:t>
      </w:r>
    </w:p>
    <w:p w14:paraId="778E23C2" w14:textId="77777777" w:rsidR="003D0FC0" w:rsidRPr="003D0FC0" w:rsidRDefault="003D0FC0" w:rsidP="003D0FC0">
      <w:r w:rsidRPr="003D0FC0">
        <w:rPr>
          <w:b/>
          <w:bCs/>
        </w:rPr>
        <w:t>5. Próximos Pasos Técnicos (</w:t>
      </w:r>
      <w:proofErr w:type="spellStart"/>
      <w:r w:rsidRPr="003D0FC0">
        <w:rPr>
          <w:b/>
          <w:bCs/>
        </w:rPr>
        <w:t>Roadmap</w:t>
      </w:r>
      <w:proofErr w:type="spellEnd"/>
      <w:r w:rsidRPr="003D0FC0">
        <w:rPr>
          <w:b/>
          <w:bCs/>
        </w:rPr>
        <w:t xml:space="preserve"> Inmediato)</w:t>
      </w:r>
    </w:p>
    <w:p w14:paraId="22FED059" w14:textId="77777777" w:rsidR="003D0FC0" w:rsidRPr="003D0FC0" w:rsidRDefault="003D0FC0" w:rsidP="003D0FC0">
      <w:r w:rsidRPr="003D0FC0">
        <w:t xml:space="preserve">Para viabilizar la estrategia comercial, la infraestructura (actualmente basada en </w:t>
      </w:r>
      <w:proofErr w:type="spellStart"/>
      <w:r w:rsidRPr="003D0FC0">
        <w:t>React</w:t>
      </w:r>
      <w:proofErr w:type="spellEnd"/>
      <w:r w:rsidRPr="003D0FC0">
        <w:t xml:space="preserve"> y </w:t>
      </w:r>
      <w:proofErr w:type="spellStart"/>
      <w:r w:rsidRPr="003D0FC0">
        <w:t>Cloudflare</w:t>
      </w:r>
      <w:proofErr w:type="spellEnd"/>
      <w:r w:rsidRPr="003D0FC0">
        <w:t xml:space="preserve"> Pages) requiere las siguientes integraciones urgentes:</w:t>
      </w:r>
    </w:p>
    <w:p w14:paraId="248BBE60" w14:textId="77777777" w:rsidR="003D0FC0" w:rsidRPr="003D0FC0" w:rsidRDefault="003D0FC0" w:rsidP="003D0FC0">
      <w:pPr>
        <w:numPr>
          <w:ilvl w:val="0"/>
          <w:numId w:val="4"/>
        </w:numPr>
      </w:pPr>
      <w:r w:rsidRPr="003D0FC0">
        <w:rPr>
          <w:b/>
          <w:bCs/>
        </w:rPr>
        <w:t xml:space="preserve">Gatekeeper / </w:t>
      </w:r>
      <w:proofErr w:type="spellStart"/>
      <w:r w:rsidRPr="003D0FC0">
        <w:rPr>
          <w:b/>
          <w:bCs/>
        </w:rPr>
        <w:t>Paywall</w:t>
      </w:r>
      <w:proofErr w:type="spellEnd"/>
      <w:r w:rsidRPr="003D0FC0">
        <w:rPr>
          <w:b/>
          <w:bCs/>
        </w:rPr>
        <w:t>:</w:t>
      </w:r>
      <w:r w:rsidRPr="003D0FC0">
        <w:t xml:space="preserve"> </w:t>
      </w:r>
      <w:proofErr w:type="spellStart"/>
      <w:r w:rsidRPr="003D0FC0">
        <w:t>Modularización</w:t>
      </w:r>
      <w:proofErr w:type="spellEnd"/>
      <w:r w:rsidRPr="003D0FC0">
        <w:t xml:space="preserve"> del código para bloquear los resultados avanzados (Simulador, Costo de Inacción) hasta procesar el pago.</w:t>
      </w:r>
    </w:p>
    <w:p w14:paraId="20132CC3" w14:textId="77777777" w:rsidR="003D0FC0" w:rsidRPr="003D0FC0" w:rsidRDefault="003D0FC0" w:rsidP="003D0FC0">
      <w:pPr>
        <w:numPr>
          <w:ilvl w:val="0"/>
          <w:numId w:val="4"/>
        </w:numPr>
      </w:pPr>
      <w:proofErr w:type="spellStart"/>
      <w:r w:rsidRPr="003D0FC0">
        <w:rPr>
          <w:b/>
          <w:bCs/>
        </w:rPr>
        <w:t>Dashboard</w:t>
      </w:r>
      <w:proofErr w:type="spellEnd"/>
      <w:r w:rsidRPr="003D0FC0">
        <w:rPr>
          <w:b/>
          <w:bCs/>
        </w:rPr>
        <w:t xml:space="preserve"> B2B:</w:t>
      </w:r>
      <w:r w:rsidRPr="003D0FC0">
        <w:t xml:space="preserve"> Creación de la interfaz o integración CRM para estructurar el envío de datos financieros del usuario al asesor correspondiente.</w:t>
      </w:r>
    </w:p>
    <w:p w14:paraId="1E78676A" w14:textId="77777777" w:rsidR="005E50C4" w:rsidRDefault="005E50C4"/>
    <w:sectPr w:rsidR="005E50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7B51"/>
    <w:multiLevelType w:val="multilevel"/>
    <w:tmpl w:val="2B66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C1DFE"/>
    <w:multiLevelType w:val="multilevel"/>
    <w:tmpl w:val="80AA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516567"/>
    <w:multiLevelType w:val="multilevel"/>
    <w:tmpl w:val="D4CE7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8E5570"/>
    <w:multiLevelType w:val="multilevel"/>
    <w:tmpl w:val="CB1A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9997508">
    <w:abstractNumId w:val="0"/>
  </w:num>
  <w:num w:numId="2" w16cid:durableId="687564189">
    <w:abstractNumId w:val="3"/>
  </w:num>
  <w:num w:numId="3" w16cid:durableId="1848599293">
    <w:abstractNumId w:val="1"/>
  </w:num>
  <w:num w:numId="4" w16cid:durableId="1349481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FC0"/>
    <w:rsid w:val="00065F9D"/>
    <w:rsid w:val="0013682E"/>
    <w:rsid w:val="003D0FC0"/>
    <w:rsid w:val="005E50C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7B189"/>
  <w15:chartTrackingRefBased/>
  <w15:docId w15:val="{45CABD4A-42C4-4E68-BD59-AE2607D4D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0F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D0F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D0FC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D0FC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D0FC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D0F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D0F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D0F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D0F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0FC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D0FC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D0FC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D0FC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D0FC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D0F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D0F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D0F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D0FC0"/>
    <w:rPr>
      <w:rFonts w:eastAsiaTheme="majorEastAsia" w:cstheme="majorBidi"/>
      <w:color w:val="272727" w:themeColor="text1" w:themeTint="D8"/>
    </w:rPr>
  </w:style>
  <w:style w:type="paragraph" w:styleId="Ttulo">
    <w:name w:val="Title"/>
    <w:basedOn w:val="Normal"/>
    <w:next w:val="Normal"/>
    <w:link w:val="TtuloCar"/>
    <w:uiPriority w:val="10"/>
    <w:qFormat/>
    <w:rsid w:val="003D0F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D0F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D0F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D0F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D0FC0"/>
    <w:pPr>
      <w:spacing w:before="160"/>
      <w:jc w:val="center"/>
    </w:pPr>
    <w:rPr>
      <w:i/>
      <w:iCs/>
      <w:color w:val="404040" w:themeColor="text1" w:themeTint="BF"/>
    </w:rPr>
  </w:style>
  <w:style w:type="character" w:customStyle="1" w:styleId="CitaCar">
    <w:name w:val="Cita Car"/>
    <w:basedOn w:val="Fuentedeprrafopredeter"/>
    <w:link w:val="Cita"/>
    <w:uiPriority w:val="29"/>
    <w:rsid w:val="003D0FC0"/>
    <w:rPr>
      <w:i/>
      <w:iCs/>
      <w:color w:val="404040" w:themeColor="text1" w:themeTint="BF"/>
    </w:rPr>
  </w:style>
  <w:style w:type="paragraph" w:styleId="Prrafodelista">
    <w:name w:val="List Paragraph"/>
    <w:basedOn w:val="Normal"/>
    <w:uiPriority w:val="34"/>
    <w:qFormat/>
    <w:rsid w:val="003D0FC0"/>
    <w:pPr>
      <w:ind w:left="720"/>
      <w:contextualSpacing/>
    </w:pPr>
  </w:style>
  <w:style w:type="character" w:styleId="nfasisintenso">
    <w:name w:val="Intense Emphasis"/>
    <w:basedOn w:val="Fuentedeprrafopredeter"/>
    <w:uiPriority w:val="21"/>
    <w:qFormat/>
    <w:rsid w:val="003D0FC0"/>
    <w:rPr>
      <w:i/>
      <w:iCs/>
      <w:color w:val="0F4761" w:themeColor="accent1" w:themeShade="BF"/>
    </w:rPr>
  </w:style>
  <w:style w:type="paragraph" w:styleId="Citadestacada">
    <w:name w:val="Intense Quote"/>
    <w:basedOn w:val="Normal"/>
    <w:next w:val="Normal"/>
    <w:link w:val="CitadestacadaCar"/>
    <w:uiPriority w:val="30"/>
    <w:qFormat/>
    <w:rsid w:val="003D0F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D0FC0"/>
    <w:rPr>
      <w:i/>
      <w:iCs/>
      <w:color w:val="0F4761" w:themeColor="accent1" w:themeShade="BF"/>
    </w:rPr>
  </w:style>
  <w:style w:type="character" w:styleId="Referenciaintensa">
    <w:name w:val="Intense Reference"/>
    <w:basedOn w:val="Fuentedeprrafopredeter"/>
    <w:uiPriority w:val="32"/>
    <w:qFormat/>
    <w:rsid w:val="003D0F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534</Words>
  <Characters>3151</Characters>
  <Application>Microsoft Office Word</Application>
  <DocSecurity>0</DocSecurity>
  <Lines>55</Lines>
  <Paragraphs>22</Paragraphs>
  <ScaleCrop>false</ScaleCrop>
  <Company/>
  <LinksUpToDate>false</LinksUpToDate>
  <CharactersWithSpaces>3673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Martín Boccacci</dc:creator>
  <cp:keywords/>
  <dc:description/>
  <cp:lastModifiedBy>Martín Boccacci</cp:lastModifiedBy>
  <cp:revision>2</cp:revision>
  <dcterms:created xsi:type="dcterms:W3CDTF">2026-03-18T22:28:00Z</dcterms:created>
  <dcterms:modified xsi:type="dcterms:W3CDTF">2026-03-18T22:28:00Z</dcterms:modified>
</cp:coreProperties>
</file>