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before="0"/>
      </w:pPr>
      <w:r>
        <w:rPr>
          <w:rFonts w:ascii="Arial" w:cs="Arial" w:eastAsia="Arial" w:hAnsi="Arial"/>
          <w:sz w:val="22"/>
          <w:szCs w:val="22"/>
        </w:rPr>
        <w:t xml:space="preserve"/>
      </w:r>
    </w:p>
    <w:p>
      <w:pPr>
        <w:pStyle w:val="Heading1"/>
        <w:spacing w:after="200" w:before="0"/>
        <w:jc w:val="center"/>
      </w:pPr>
      <w:r>
        <w:rPr>
          <w:rFonts w:ascii="Arial" w:cs="Arial" w:eastAsia="Arial" w:hAnsi="Arial"/>
          <w:sz w:val="52"/>
          <w:szCs w:val="52"/>
        </w:rPr>
        <w:t xml:space="preserve">Magic Number PRO</w:t>
      </w:r>
    </w:p>
    <w:p>
      <w:pPr>
        <w:spacing w:after="100" w:before="0"/>
        <w:jc w:val="center"/>
      </w:pPr>
      <w:r>
        <w:rPr>
          <w:rFonts w:ascii="Arial" w:cs="Arial" w:eastAsia="Arial" w:hAnsi="Arial"/>
          <w:color w:val="2E75B6"/>
          <w:sz w:val="28"/>
          <w:szCs w:val="28"/>
        </w:rPr>
        <w:t xml:space="preserve">Retirement Financial Planner</w:t>
      </w:r>
    </w:p>
    <w:p>
      <w:pPr>
        <w:spacing w:after="600" w:before="0"/>
        <w:jc w:val="center"/>
      </w:pPr>
      <w:r>
        <w:rPr>
          <w:rFonts w:ascii="Arial" w:cs="Arial" w:eastAsia="Arial" w:hAnsi="Arial"/>
          <w:color w:val="666666"/>
          <w:sz w:val="24"/>
          <w:szCs w:val="24"/>
        </w:rPr>
        <w:t xml:space="preserve">Application Documentation</w:t>
      </w:r>
    </w:p>
    <w:p>
      <w:pPr>
        <w:spacing w:after="60" w:before="0"/>
        <w:jc w:val="center"/>
      </w:pPr>
      <w:r>
        <w:rPr>
          <w:rFonts w:ascii="Arial" w:cs="Arial" w:eastAsia="Arial" w:hAnsi="Arial"/>
          <w:sz w:val="22"/>
          <w:szCs w:val="22"/>
        </w:rPr>
        <w:t xml:space="preserve">Version: </w:t>
      </w:r>
      <w:r>
        <w:rPr>
          <w:rFonts w:ascii="Arial" w:cs="Arial" w:eastAsia="Arial" w:hAnsi="Arial"/>
          <w:b/>
          <w:bCs/>
          <w:sz w:val="22"/>
          <w:szCs w:val="22"/>
        </w:rPr>
        <w:t xml:space="preserve">1.0</w:t>
      </w:r>
    </w:p>
    <w:p>
      <w:pPr>
        <w:spacing w:after="60" w:before="0"/>
        <w:jc w:val="center"/>
      </w:pPr>
      <w:r>
        <w:rPr>
          <w:rFonts w:ascii="Arial" w:cs="Arial" w:eastAsia="Arial" w:hAnsi="Arial"/>
          <w:sz w:val="22"/>
          <w:szCs w:val="22"/>
        </w:rPr>
        <w:t xml:space="preserve">Date: </w:t>
      </w:r>
      <w:r>
        <w:rPr>
          <w:rFonts w:ascii="Arial" w:cs="Arial" w:eastAsia="Arial" w:hAnsi="Arial"/>
          <w:b/>
          <w:bCs/>
          <w:sz w:val="22"/>
          <w:szCs w:val="22"/>
        </w:rPr>
        <w:t xml:space="preserve">March 2026</w:t>
      </w:r>
    </w:p>
    <w:p>
      <w:pPr>
        <w:spacing w:after="60" w:before="0"/>
        <w:jc w:val="center"/>
      </w:pPr>
      <w:r>
        <w:rPr>
          <w:rFonts w:ascii="Arial" w:cs="Arial" w:eastAsia="Arial" w:hAnsi="Arial"/>
          <w:sz w:val="22"/>
          <w:szCs w:val="22"/>
        </w:rPr>
        <w:t xml:space="preserve">Stack: </w:t>
      </w:r>
      <w:r>
        <w:rPr>
          <w:rFonts w:ascii="Arial" w:cs="Arial" w:eastAsia="Arial" w:hAnsi="Arial"/>
          <w:b/>
          <w:bCs/>
          <w:sz w:val="22"/>
          <w:szCs w:val="22"/>
        </w:rPr>
        <w:t xml:space="preserve">React JSX (single-file)</w:t>
      </w:r>
    </w:p>
    <w:p>
      <w:pPr>
        <w:spacing w:after="600" w:before="0"/>
        <w:jc w:val="center"/>
      </w:pPr>
      <w:r>
        <w:rPr>
          <w:rFonts w:ascii="Arial" w:cs="Arial" w:eastAsia="Arial" w:hAnsi="Arial"/>
          <w:sz w:val="22"/>
          <w:szCs w:val="22"/>
        </w:rPr>
        <w:t xml:space="preserve">Lines: </w:t>
      </w:r>
      <w:r>
        <w:rPr>
          <w:rFonts w:ascii="Arial" w:cs="Arial" w:eastAsia="Arial" w:hAnsi="Arial"/>
          <w:b/>
          <w:bCs/>
          <w:sz w:val="22"/>
          <w:szCs w:val="22"/>
        </w:rPr>
        <w:t xml:space="preserve">~1,680</w:t>
      </w:r>
    </w:p>
    <w:p>
      <w:pPr>
        <w:spacing w:after="0" w:before="0"/>
        <w:jc w:val="center"/>
      </w:pPr>
      <w:r>
        <w:rPr>
          <w:rFonts w:ascii="Arial" w:cs="Arial" w:eastAsia="Arial" w:hAnsi="Arial"/>
          <w:i/>
          <w:iCs/>
          <w:color w:val="888888"/>
          <w:sz w:val="22"/>
          <w:szCs w:val="22"/>
        </w:rPr>
        <w:t xml:space="preserve">All projections in today's dollars (inflation-adjusted). Default inflation: 2.5%.</w:t>
      </w:r>
    </w:p>
    <w:p>
      <w:r>
        <w:br w:type="page"/>
      </w:r>
    </w:p>
    <w:p>
      <w:pPr>
        <w:pStyle w:val="Heading1"/>
        <w:spacing w:after="120" w:before="0"/>
      </w:pPr>
      <w:r>
        <w:rPr>
          <w:rFonts w:ascii="Arial" w:cs="Arial" w:eastAsia="Arial" w:hAnsi="Arial"/>
          <w:sz w:val="22"/>
          <w:szCs w:val="22"/>
        </w:rPr>
        <w:t xml:space="preserve">1. Overview</w:t>
      </w:r>
    </w:p>
    <w:p>
      <w:pPr>
        <w:spacing w:after="120" w:before="0"/>
      </w:pPr>
      <w:r>
        <w:rPr>
          <w:rFonts w:ascii="Arial" w:cs="Arial" w:eastAsia="Arial" w:hAnsi="Arial"/>
          <w:sz w:val="22"/>
          <w:szCs w:val="22"/>
        </w:rPr>
        <w:t xml:space="preserve">Magic Number PRO is a comprehensive retirement planning web application built as a single React JSX file. It calculates the user's 'Magic Number' — the total amount needed at retirement (in today's dollars) to fund their desired lifestyle for their entire retirement. The app then provides interactive simulation tools to explore how to reach that number through savings, investment returns, or a combination of both.</w:t>
      </w:r>
    </w:p>
    <w:p>
      <w:pPr>
        <w:spacing w:after="120" w:before="0"/>
      </w:pPr>
      <w:r>
        <w:rPr>
          <w:rFonts w:ascii="Arial" w:cs="Arial" w:eastAsia="Arial" w:hAnsi="Arial"/>
          <w:sz w:val="22"/>
          <w:szCs w:val="22"/>
        </w:rPr>
        <w:t xml:space="preserve">Core design principles: all figures in today's dollars (real terms); honest financial messaging without oversimplification; precise investment profile assignment; and a mobile-first dark-theme UI.</w:t>
      </w:r>
    </w:p>
    <w:p>
      <w:pPr>
        <w:pStyle w:val="Heading1"/>
        <w:spacing w:after="120" w:before="0"/>
      </w:pPr>
      <w:r>
        <w:rPr>
          <w:rFonts w:ascii="Arial" w:cs="Arial" w:eastAsia="Arial" w:hAnsi="Arial"/>
          <w:sz w:val="22"/>
          <w:szCs w:val="22"/>
        </w:rPr>
        <w:t xml:space="preserve">2. Tab Structure</w:t>
      </w:r>
    </w:p>
    <w:p>
      <w:pPr>
        <w:spacing w:after="120" w:before="0"/>
      </w:pPr>
      <w:r>
        <w:rPr>
          <w:rFonts w:ascii="Arial" w:cs="Arial" w:eastAsia="Arial" w:hAnsi="Arial"/>
          <w:sz w:val="22"/>
          <w:szCs w:val="22"/>
        </w:rPr>
        <w:t xml:space="preserve">The app has 15 tabs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Tab</w:t>
            </w:r>
          </w:p>
        </w:tc>
        <w:tc>
          <w:tcPr>
            <w:tcW w:type="dxa" w:w="67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Dashboard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At-a-glance summary cards with key metrics, warnings, and opportunities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Learn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Educational content: Magic Number concept, today's dollars, nominal vs real return, investment profiles, volatility, inflation, real estate equity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Your MN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Central hub — all 7 essential inputs + Magic Number calculation + 3-lever simulator + gap analysis. This is where the user starts.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You</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Additional settings: couple mode, rental properties (equity + net income), inflation adjustment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Income &amp; Exp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Monthly income (primary + partner + rental), expenses (up to 15 categories, discretionary/essential), mortgage P+I, vacation. Overrides estimated monthly savings.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Debts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Mortgage details (rate, balance, years), car loans, other debts. Feeds debt events into variable cash flow engine.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Invest Options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Illustrative projections per asset class (5/10/20/30/40/50yr). Nominal vs today's $ toggle. Scenarios.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Your Portfolio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Custom portfolio allocation with sliders (Section A: existing savings, Section B: contributions). Blended return calculation.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Retirement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Magic Number display, retirement investment strategy selector (Vault through 60/40 + My Portfolio), conservative comparison, Extra Monthly Savings Needed per profile, Year-by-Year projection chart.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Save More?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Discretionary expense scenarios with 10/20/30yr impact projections. Scenario only — not applied to projections.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Earn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Extra income simulator (temporary or permanent) with milestone projections.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Opp. Cost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Cost of Not Investing calculator — fixed 20yr, profile selector including My Portfolio and Custom.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Int. Needs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Medium-term goals (college, car, house). Up to 10 goals with profile selection (default 60/40). Impact on Retirement analysis at 60/40 benchmark.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Score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0-100 Financial Health Score based on savings rate, debt burden, retirement progress, and active saving. Recommendations.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Reports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Financial Snapshot with all key metrics, copyable/shareable text. Emergency fund analysis.</w:t>
            </w:r>
          </w:p>
        </w:tc>
      </w:tr>
    </w:tbl>
    <w:p>
      <w:pPr>
        <w:pStyle w:val="Heading1"/>
        <w:spacing w:after="120" w:before="0"/>
      </w:pPr>
      <w:r>
        <w:rPr>
          <w:rFonts w:ascii="Arial" w:cs="Arial" w:eastAsia="Arial" w:hAnsi="Arial"/>
          <w:sz w:val="22"/>
          <w:szCs w:val="22"/>
        </w:rPr>
        <w:t xml:space="preserve">3. Investment Profiles</w:t>
      </w:r>
    </w:p>
    <w:p>
      <w:pPr>
        <w:spacing w:after="120" w:before="0"/>
      </w:pPr>
      <w:r>
        <w:rPr>
          <w:rFonts w:ascii="Arial" w:cs="Arial" w:eastAsia="Arial" w:hAnsi="Arial"/>
          <w:sz w:val="22"/>
          <w:szCs w:val="22"/>
        </w:rPr>
        <w:t xml:space="preserve">Seven built-in profiles plus optional Custom. All returns are historical averages. Inflation is user-adjustable (default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Profile</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Nominal</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Real</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Volatility</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 Vault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Cash under the mattress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 Cash Investor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Minimal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HYSA / money market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 CDs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Certificates of deposit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 Treasuries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US Treasury bonds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 60/40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60% stocks, 40% bonds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 80/20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Med-High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80% stocks, 20% bonds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 100% Equities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All stocks (S&amp;P 500)</w:t>
            </w:r>
          </w:p>
        </w:tc>
      </w:tr>
    </w:tbl>
    <w:p>
      <w:pPr>
        <w:spacing w:after="120" w:before="0"/>
      </w:pPr>
      <w:r>
        <w:rPr>
          <w:rFonts w:ascii="Arial" w:cs="Arial" w:eastAsia="Arial" w:hAnsi="Arial"/>
          <w:i/>
          <w:iCs/>
          <w:color w:val="666666"/>
          <w:sz w:val="22"/>
          <w:szCs w:val="22"/>
        </w:rPr>
        <w:t xml:space="preserve">When inflation is adjusted, real returns recalculate automatically: Real = Nominal − Inflation.</w:t>
      </w:r>
    </w:p>
    <w:p>
      <w:pPr>
        <w:pStyle w:val="Heading1"/>
        <w:spacing w:after="120" w:before="0"/>
      </w:pPr>
      <w:r>
        <w:rPr>
          <w:rFonts w:ascii="Arial" w:cs="Arial" w:eastAsia="Arial" w:hAnsi="Arial"/>
          <w:sz w:val="22"/>
          <w:szCs w:val="22"/>
        </w:rPr>
        <w:t xml:space="preserve">4. Core Financial Engine</w:t>
      </w:r>
    </w:p>
    <w:p>
      <w:pPr>
        <w:pStyle w:val="Heading2"/>
        <w:spacing w:after="120" w:before="0"/>
      </w:pPr>
      <w:r>
        <w:rPr>
          <w:rFonts w:ascii="Arial" w:cs="Arial" w:eastAsia="Arial" w:hAnsi="Arial"/>
          <w:sz w:val="22"/>
          <w:szCs w:val="22"/>
        </w:rPr>
        <w:t xml:space="preserve">4.1 Magic Number Calculation</w:t>
      </w:r>
    </w:p>
    <w:p>
      <w:pPr>
        <w:spacing w:after="120" w:before="0"/>
      </w:pPr>
      <w:r>
        <w:rPr>
          <w:rFonts w:ascii="Arial" w:cs="Arial" w:eastAsia="Arial" w:hAnsi="Arial"/>
          <w:sz w:val="22"/>
          <w:szCs w:val="22"/>
        </w:rPr>
        <w:t xml:space="preserve">The Magic Number is the present value of an annuity — the lump sum needed to fund monthly withdrawals for N years at a given real return rate. Formula: pvA(monthlySpend, realReturn, years). When retirement income (SS/pension) exists, it reduces the monthly need: desiredAfterSS = desiredIncome − SS (in today's dollars). The Magic Number equals pvA(desiredAfterSS, retirementProfileReturn, yearsInRetirement).</w:t>
      </w:r>
    </w:p>
    <w:p>
      <w:pPr>
        <w:pStyle w:val="Heading2"/>
        <w:spacing w:after="120" w:before="0"/>
      </w:pPr>
      <w:r>
        <w:rPr>
          <w:rFonts w:ascii="Arial" w:cs="Arial" w:eastAsia="Arial" w:hAnsi="Arial"/>
          <w:sz w:val="22"/>
          <w:szCs w:val="22"/>
        </w:rPr>
        <w:t xml:space="preserve">4.2 Variable Cash Flow Engine</w:t>
      </w:r>
    </w:p>
    <w:p>
      <w:pPr>
        <w:spacing w:after="120" w:before="0"/>
      </w:pPr>
      <w:r>
        <w:rPr>
          <w:rFonts w:ascii="Arial" w:cs="Arial" w:eastAsia="Arial" w:hAnsi="Arial"/>
          <w:sz w:val="22"/>
          <w:szCs w:val="22"/>
        </w:rPr>
        <w:t xml:space="preserve">fvVariable(existingSavings, baseMonthlySavings, realReturn, years, debtEvents) runs a year-by-year loop. When debts end (mortgage, car loan), the freed-up monthly payment is added to savings automatically. Balance is floored at $0 (no negative balances).</w:t>
      </w:r>
    </w:p>
    <w:p>
      <w:pPr>
        <w:pStyle w:val="Heading2"/>
        <w:spacing w:after="120" w:before="0"/>
      </w:pPr>
      <w:r>
        <w:rPr>
          <w:rFonts w:ascii="Arial" w:cs="Arial" w:eastAsia="Arial" w:hAnsi="Arial"/>
          <w:sz w:val="22"/>
          <w:szCs w:val="22"/>
        </w:rPr>
        <w:t xml:space="preserve">4.3 Two-Phase Year-by-Year Projection</w:t>
      </w:r>
    </w:p>
    <w:p>
      <w:pPr>
        <w:spacing w:after="120" w:before="0"/>
      </w:pPr>
      <w:r>
        <w:rPr>
          <w:rFonts w:ascii="Arial" w:cs="Arial" w:eastAsia="Arial" w:hAnsi="Arial"/>
          <w:sz w:val="22"/>
          <w:szCs w:val="22"/>
        </w:rPr>
        <w:t xml:space="preserve">yearByYear() handles two phases with separate return rates: accumulation phase (working years, any profile) and retirement phase (conservative profiles only: Vault through 60/40 + My Portfolio). During retirement, monthly spending is withdrawn. The chart shows the complete arc from current age through end of retirement.</w:t>
      </w:r>
    </w:p>
    <w:p>
      <w:pPr>
        <w:pStyle w:val="Heading2"/>
        <w:spacing w:after="120" w:before="0"/>
      </w:pPr>
      <w:r>
        <w:rPr>
          <w:rFonts w:ascii="Arial" w:cs="Arial" w:eastAsia="Arial" w:hAnsi="Arial"/>
          <w:sz w:val="22"/>
          <w:szCs w:val="22"/>
        </w:rPr>
        <w:t xml:space="preserve">4.4 Blended Portfolio Return</w:t>
      </w:r>
    </w:p>
    <w:p>
      <w:pPr>
        <w:spacing w:after="120" w:before="0"/>
      </w:pPr>
      <w:r>
        <w:rPr>
          <w:rFonts w:ascii="Arial" w:cs="Arial" w:eastAsia="Arial" w:hAnsi="Arial"/>
          <w:sz w:val="22"/>
          <w:szCs w:val="22"/>
        </w:rPr>
        <w:t xml:space="preserve">When the user builds a custom portfolio (Section A: existing savings allocation, Section B: new contributions allocation), the app calculates a weighted-average return: blendedPortReturn = (existingSavings × sectionAReturn + monthlyContrib × sectionBReturn) / (existingSavings + monthlyContrib). This 'My Portfolio' return appears in all profile selectors.</w:t>
      </w:r>
    </w:p>
    <w:p>
      <w:pPr>
        <w:pStyle w:val="Heading2"/>
        <w:spacing w:after="120" w:before="0"/>
      </w:pPr>
      <w:r>
        <w:rPr>
          <w:rFonts w:ascii="Arial" w:cs="Arial" w:eastAsia="Arial" w:hAnsi="Arial"/>
          <w:sz w:val="22"/>
          <w:szCs w:val="22"/>
        </w:rPr>
        <w:t xml:space="preserve">4.5 Social Security Conversion</w:t>
      </w:r>
    </w:p>
    <w:p>
      <w:pPr>
        <w:spacing w:after="120" w:before="0"/>
      </w:pPr>
      <w:r>
        <w:rPr>
          <w:rFonts w:ascii="Arial" w:cs="Arial" w:eastAsia="Arial" w:hAnsi="Arial"/>
          <w:sz w:val="22"/>
          <w:szCs w:val="22"/>
        </w:rPr>
        <w:t xml:space="preserve">SS/pension is entered in future dollars (the number on a SS statement). Converted to today's dollars: nSS = nSSRaw / (1 + inflation)^yearsToRetirement. This ensures all comparisons are in today's purchasing power.</w:t>
      </w:r>
    </w:p>
    <w:p>
      <w:pPr>
        <w:pStyle w:val="Heading2"/>
        <w:spacing w:after="120" w:before="0"/>
      </w:pPr>
      <w:r>
        <w:rPr>
          <w:rFonts w:ascii="Arial" w:cs="Arial" w:eastAsia="Arial" w:hAnsi="Arial"/>
          <w:sz w:val="22"/>
          <w:szCs w:val="22"/>
        </w:rPr>
        <w:t xml:space="preserve">4.6 Bisection Solvers (Achieve Tab)</w:t>
      </w:r>
    </w:p>
    <w:p>
      <w:pPr>
        <w:spacing w:after="120" w:before="0"/>
      </w:pPr>
      <w:r>
        <w:rPr>
          <w:rFonts w:ascii="Arial" w:cs="Arial" w:eastAsia="Arial" w:hAnsi="Arial"/>
          <w:sz w:val="22"/>
          <w:szCs w:val="22"/>
        </w:rPr>
        <w:t xml:space="preserve">simNeededReturn: given current savings + monthly savings, what annual real return is needed to hit the Magic Number? Binary search 40 iterations, capped at 15%. simNeededMonthly: given current savings + current return, what monthly savings is needed? Same method. These power the 'How to Close the Gap' analysis with Options A, B, and C.</w:t>
      </w:r>
    </w:p>
    <w:p>
      <w:r>
        <w:br w:type="page"/>
      </w:r>
    </w:p>
    <w:p>
      <w:pPr>
        <w:pStyle w:val="Heading1"/>
        <w:spacing w:after="120" w:before="0"/>
      </w:pPr>
      <w:r>
        <w:rPr>
          <w:rFonts w:ascii="Arial" w:cs="Arial" w:eastAsia="Arial" w:hAnsi="Arial"/>
          <w:sz w:val="22"/>
          <w:szCs w:val="22"/>
        </w:rPr>
        <w:t xml:space="preserve">5. Key Features &amp; Business Logic</w:t>
      </w:r>
    </w:p>
    <w:p>
      <w:pPr>
        <w:pStyle w:val="Heading2"/>
        <w:spacing w:after="120" w:before="0"/>
      </w:pPr>
      <w:r>
        <w:rPr>
          <w:rFonts w:ascii="Arial" w:cs="Arial" w:eastAsia="Arial" w:hAnsi="Arial"/>
          <w:sz w:val="22"/>
          <w:szCs w:val="22"/>
        </w:rPr>
        <w:t xml:space="preserve">5.1 Monthly Savings Override</w:t>
      </w:r>
    </w:p>
    <w:p>
      <w:pPr>
        <w:spacing w:after="120" w:before="0"/>
      </w:pPr>
      <w:r>
        <w:rPr>
          <w:rFonts w:ascii="Arial" w:cs="Arial" w:eastAsia="Arial" w:hAnsi="Arial"/>
          <w:sz w:val="22"/>
          <w:szCs w:val="22"/>
        </w:rPr>
        <w:t xml:space="preserve">In 'Your MN' tab, user enters an estimated monthly savings. When Income &amp; Exp is completed (income filled + 5 expense categories), the actual computed monthly savings (income − expenses − debts) automatically overrides the estimate. A green banner confirms: 'Actual monthly savings from Income &amp; Exp: $X/mo — overrides the estimate above.'</w:t>
      </w:r>
    </w:p>
    <w:p>
      <w:pPr>
        <w:pStyle w:val="Heading2"/>
        <w:spacing w:after="120" w:before="0"/>
      </w:pPr>
      <w:r>
        <w:rPr>
          <w:rFonts w:ascii="Arial" w:cs="Arial" w:eastAsia="Arial" w:hAnsi="Arial"/>
          <w:sz w:val="22"/>
          <w:szCs w:val="22"/>
        </w:rPr>
        <w:t xml:space="preserve">5.2 Retirement Strategy Restrictions</w:t>
      </w:r>
    </w:p>
    <w:p>
      <w:pPr>
        <w:spacing w:after="120" w:before="0"/>
      </w:pPr>
      <w:r>
        <w:rPr>
          <w:rFonts w:ascii="Arial" w:cs="Arial" w:eastAsia="Arial" w:hAnsi="Arial"/>
          <w:sz w:val="22"/>
          <w:szCs w:val="22"/>
        </w:rPr>
        <w:t xml:space="preserve">Post-retirement investment options are limited to conservative strategies: Vault, Cash Investor, CDs, Treasuries, 60/40, and My Portfolio. 80/20 and 100% Equities are excluded — too risky for withdrawal phase. This applies to Magic Number calculation, Year-by-Year retirement phase selector, and all related displays.</w:t>
      </w:r>
    </w:p>
    <w:p>
      <w:pPr>
        <w:pStyle w:val="Heading2"/>
        <w:spacing w:after="120" w:before="0"/>
      </w:pPr>
      <w:r>
        <w:rPr>
          <w:rFonts w:ascii="Arial" w:cs="Arial" w:eastAsia="Arial" w:hAnsi="Arial"/>
          <w:sz w:val="22"/>
          <w:szCs w:val="22"/>
        </w:rPr>
        <w:t xml:space="preserve">5.3 Goal Retirement Impact</w:t>
      </w:r>
    </w:p>
    <w:p>
      <w:pPr>
        <w:spacing w:after="120" w:before="0"/>
      </w:pPr>
      <w:r>
        <w:rPr>
          <w:rFonts w:ascii="Arial" w:cs="Arial" w:eastAsia="Arial" w:hAnsi="Arial"/>
          <w:sz w:val="22"/>
          <w:szCs w:val="22"/>
        </w:rPr>
        <w:t xml:space="preserve">When intermediate goals exist, the app calculates opportunity cost: what those monthly goal contributions would have grown to at the 60/40 benchmark (4% real). This may differ from the goal target because a goal at Treasuries (1.5%) has different growth than 60/40. An explanatory note is shown to prevent confusion.</w:t>
      </w:r>
    </w:p>
    <w:p>
      <w:pPr>
        <w:pStyle w:val="Heading2"/>
        <w:spacing w:after="120" w:before="0"/>
      </w:pPr>
      <w:r>
        <w:rPr>
          <w:rFonts w:ascii="Arial" w:cs="Arial" w:eastAsia="Arial" w:hAnsi="Arial"/>
          <w:sz w:val="22"/>
          <w:szCs w:val="22"/>
        </w:rPr>
        <w:t xml:space="preserve">5.4 Debt Events</w:t>
      </w:r>
    </w:p>
    <w:p>
      <w:pPr>
        <w:spacing w:after="120" w:before="0"/>
      </w:pPr>
      <w:r>
        <w:rPr>
          <w:rFonts w:ascii="Arial" w:cs="Arial" w:eastAsia="Arial" w:hAnsi="Arial"/>
          <w:sz w:val="22"/>
          <w:szCs w:val="22"/>
        </w:rPr>
        <w:t xml:space="preserve">When a mortgage or car loan ends, the monthly payment is automatically redirected to savings. debtEvents = [{endsAtYear, monthlyAmount, name}]. The fvVariable engine processes these year by year, boosting savings at the right time. Mortgage past retirement triggers a warning.</w:t>
      </w:r>
    </w:p>
    <w:p>
      <w:pPr>
        <w:pStyle w:val="Heading2"/>
        <w:spacing w:after="120" w:before="0"/>
      </w:pPr>
      <w:r>
        <w:rPr>
          <w:rFonts w:ascii="Arial" w:cs="Arial" w:eastAsia="Arial" w:hAnsi="Arial"/>
          <w:sz w:val="22"/>
          <w:szCs w:val="22"/>
        </w:rPr>
        <w:t xml:space="preserve">5.5 Emergency Fund</w:t>
      </w:r>
    </w:p>
    <w:p>
      <w:pPr>
        <w:spacing w:after="120" w:before="0"/>
      </w:pPr>
      <w:r>
        <w:rPr>
          <w:rFonts w:ascii="Arial" w:cs="Arial" w:eastAsia="Arial" w:hAnsi="Arial"/>
          <w:sz w:val="22"/>
          <w:szCs w:val="22"/>
        </w:rPr>
        <w:t xml:space="preserve">Scale: 0-24 months of total monthly obligations (expenses + debt payments). Color-coded: green 12+, yellow 6-12, orange 3-6, red &lt;3 months. Appears in Retirement tab and Dashboard.</w:t>
      </w:r>
    </w:p>
    <w:p>
      <w:pPr>
        <w:pStyle w:val="Heading2"/>
        <w:spacing w:after="120" w:before="0"/>
      </w:pPr>
      <w:r>
        <w:rPr>
          <w:rFonts w:ascii="Arial" w:cs="Arial" w:eastAsia="Arial" w:hAnsi="Arial"/>
          <w:sz w:val="22"/>
          <w:szCs w:val="22"/>
        </w:rPr>
        <w:t xml:space="preserve">5.6 Expense Validation</w:t>
      </w:r>
    </w:p>
    <w:p>
      <w:pPr>
        <w:spacing w:after="120" w:before="0"/>
      </w:pPr>
      <w:r>
        <w:rPr>
          <w:rFonts w:ascii="Arial" w:cs="Arial" w:eastAsia="Arial" w:hAnsi="Arial"/>
          <w:sz w:val="22"/>
          <w:szCs w:val="22"/>
        </w:rPr>
        <w:t xml:space="preserve">At least 5 expense categories must have a value (including $0) before the app considers Income &amp; Exp complete. Empty fields don't count — but $0 does (e.g., Dining Out = $0 is valid). This prevents users from skipping expense entry.</w:t>
      </w:r>
    </w:p>
    <w:p>
      <w:pPr>
        <w:pStyle w:val="Heading1"/>
        <w:spacing w:after="120" w:before="0"/>
      </w:pPr>
      <w:r>
        <w:rPr>
          <w:rFonts w:ascii="Arial" w:cs="Arial" w:eastAsia="Arial" w:hAnsi="Arial"/>
          <w:sz w:val="22"/>
          <w:szCs w:val="22"/>
        </w:rPr>
        <w:t xml:space="preserve">6. Monetization Model</w:t>
      </w:r>
    </w:p>
    <w:p>
      <w:pPr>
        <w:spacing w:after="120" w:before="0"/>
      </w:pPr>
      <w:r>
        <w:rPr>
          <w:rFonts w:ascii="Arial" w:cs="Arial" w:eastAsia="Arial" w:hAnsi="Arial"/>
          <w:sz w:val="22"/>
          <w:szCs w:val="22"/>
        </w:rPr>
        <w:t xml:space="preserve">Free tier: full app access (current version). Planned Paid tier (~$20 one-time): advanced features including Social Security detailed input, custom portfolio allocation per goal, 30-year projections, Monte Carlo simulation, Generate Income module, Cost in Retirement calculator, shareable reports (Modo Convénceme), PDF Financial Snapshot, couple mode enhancements, debt avalanche/snowball optimizer, emergency fund module, and vacation/salary growth inputs.</w:t>
      </w:r>
    </w:p>
    <w:p>
      <w:pPr>
        <w:spacing w:after="120" w:before="0"/>
      </w:pPr>
      <w:r>
        <w:rPr>
          <w:rFonts w:ascii="Arial" w:cs="Arial" w:eastAsia="Arial" w:hAnsi="Arial"/>
          <w:sz w:val="22"/>
          <w:szCs w:val="22"/>
        </w:rPr>
        <w:t xml:space="preserve">Referral partnerships: 'Talk to a Financial Advisor →' link throughout the app (currently placeholder href='#'). Financial advisor leads are a key revenue stream since the app deliberately surfaces complexity that benefits from professional guidance.</w:t>
      </w:r>
    </w:p>
    <w:p>
      <w:pPr>
        <w:pStyle w:val="Heading1"/>
        <w:spacing w:after="120" w:before="0"/>
      </w:pPr>
      <w:r>
        <w:rPr>
          <w:rFonts w:ascii="Arial" w:cs="Arial" w:eastAsia="Arial" w:hAnsi="Arial"/>
          <w:sz w:val="22"/>
          <w:szCs w:val="22"/>
        </w:rPr>
        <w:t xml:space="preserve">7. Deployment</w:t>
      </w:r>
    </w:p>
    <w:p>
      <w:pPr>
        <w:spacing w:after="120" w:before="0"/>
      </w:pPr>
      <w:r>
        <w:rPr>
          <w:rFonts w:ascii="Arial" w:cs="Arial" w:eastAsia="Arial" w:hAnsi="Arial"/>
          <w:sz w:val="22"/>
          <w:szCs w:val="22"/>
        </w:rPr>
        <w:t xml:space="preserve">Platform: Cloudflare Pages with custom .app domain. Deploy package contains 3 files: index.html (shell, loads React 18 from CDN), app.js (~146KB minified, esbuild-bundled), _redirects (SPA routing). Total payload ~150KB + React CDN (cached globally). Deployment: drag-and-drop in Cloudflare Pages dashboard or Wrangler CLI.</w:t>
      </w:r>
    </w:p>
    <w:p>
      <w:pPr>
        <w:pStyle w:val="Heading1"/>
        <w:spacing w:after="120" w:before="0"/>
      </w:pPr>
      <w:r>
        <w:rPr>
          <w:rFonts w:ascii="Arial" w:cs="Arial" w:eastAsia="Arial" w:hAnsi="Arial"/>
          <w:sz w:val="22"/>
          <w:szCs w:val="22"/>
        </w:rPr>
        <w:t xml:space="preserve">8. Technical Architecture</w:t>
      </w:r>
    </w:p>
    <w:p>
      <w:pPr>
        <w:spacing w:after="120" w:before="0"/>
      </w:pPr>
      <w:r>
        <w:rPr>
          <w:rFonts w:ascii="Arial" w:cs="Arial" w:eastAsia="Arial" w:hAnsi="Arial"/>
          <w:sz w:val="22"/>
          <w:szCs w:val="22"/>
        </w:rPr>
        <w:t xml:space="preserve">Single-file React JSX (~1,680 lines). No build system required for development — esbuild bundles for production. All state managed with useState hooks. No external state management. Computations use useMemo for performance. No localStorage (all state resets on page reload — future: persistent storage). Custom components: NI (numeric input with formatting), Slider, Toggle, TabBtn, Cd (card), ST (section title with tooltip), Gauge, MultiLineChart, ANum (animated number). Fonts: Fraunces (serif, headings) + Outfit (sans-serif, body) loaded from Google Fonts CDN.</w:t>
      </w:r>
    </w:p>
    <w:p>
      <w:pPr>
        <w:spacing w:after="200" w:before="0"/>
      </w:pPr>
      <w:r>
        <w:rPr>
          <w:rFonts w:ascii="Arial" w:cs="Arial" w:eastAsia="Arial" w:hAnsi="Arial"/>
          <w:sz w:val="22"/>
          <w:szCs w:val="22"/>
        </w:rPr>
        <w:t xml:space="preserve"/>
      </w:r>
    </w:p>
    <w:p>
      <w:pPr>
        <w:spacing w:after="120" w:before="0"/>
        <w:jc w:val="center"/>
      </w:pPr>
      <w:r>
        <w:rPr>
          <w:rFonts w:ascii="Arial" w:cs="Arial" w:eastAsia="Arial" w:hAnsi="Arial"/>
          <w:i/>
          <w:iCs/>
          <w:color w:val="999999"/>
          <w:sz w:val="18"/>
          <w:szCs w:val="18"/>
        </w:rPr>
        <w:t xml:space="preserve">Generated by Magic Number Documentation System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2026-03-16T21:51:47.206Z</dcterms:created>
  <dcterms:modified xsi:type="dcterms:W3CDTF">2026-03-16T21:51:47.207Z</dcterms:modified>
</cp:coreProperties>
</file>

<file path=docProps/custom.xml><?xml version="1.0" encoding="utf-8"?>
<Properties xmlns="http://schemas.openxmlformats.org/officeDocument/2006/custom-properties" xmlns:vt="http://schemas.openxmlformats.org/officeDocument/2006/docPropsVTypes"/>
</file>