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460"/>
      </w:pPr>
      <w:r>
        <w:rPr/>
        <w:t>美术设计和软件设计之间也存在着差别。</w:t>
      </w:r>
    </w:p>
    <w:p>
      <w:pPr>
        <w:pStyle w:val="BodyText"/>
        <w:rPr>
          <w:sz w:val="20"/>
        </w:rPr>
      </w:pPr>
    </w:p>
    <w:p>
      <w:pPr>
        <w:pStyle w:val="BodyText"/>
        <w:spacing w:before="6"/>
        <w:rPr>
          <w:sz w:val="12"/>
        </w:rPr>
      </w:pPr>
      <w:r>
        <w:rPr/>
        <w:drawing>
          <wp:anchor distT="0" distB="0" distL="0" distR="0" allowOverlap="1" layoutInCell="1" locked="0" behindDoc="0" simplePos="0" relativeHeight="0">
            <wp:simplePos x="0" y="0"/>
            <wp:positionH relativeFrom="page">
              <wp:posOffset>1283208</wp:posOffset>
            </wp:positionH>
            <wp:positionV relativeFrom="paragraph">
              <wp:posOffset>128539</wp:posOffset>
            </wp:positionV>
            <wp:extent cx="4990825" cy="10572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990825" cy="1057275"/>
                    </a:xfrm>
                    <a:prstGeom prst="rect">
                      <a:avLst/>
                    </a:prstGeom>
                  </pic:spPr>
                </pic:pic>
              </a:graphicData>
            </a:graphic>
          </wp:anchor>
        </w:drawing>
      </w:r>
    </w:p>
    <w:p>
      <w:pPr>
        <w:pStyle w:val="BodyText"/>
        <w:tabs>
          <w:tab w:pos="3824" w:val="left" w:leader="none"/>
          <w:tab w:pos="7290" w:val="left" w:leader="none"/>
        </w:tabs>
        <w:spacing w:before="62"/>
        <w:ind w:left="882"/>
      </w:pPr>
      <w:r>
        <w:rPr/>
        <w:t>美术设计师</w:t>
        <w:tab/>
        <w:t>用户</w:t>
      </w:r>
      <w:r>
        <w:rPr>
          <w:spacing w:val="-5"/>
        </w:rPr>
        <w:t>界</w:t>
      </w:r>
      <w:r>
        <w:rPr/>
        <w:t>面设计师</w:t>
        <w:tab/>
        <w:t>软</w:t>
      </w:r>
      <w:r>
        <w:rPr>
          <w:spacing w:val="-5"/>
        </w:rPr>
        <w:t>件</w:t>
      </w:r>
      <w:r>
        <w:rPr/>
        <w:t>设计师</w:t>
      </w:r>
    </w:p>
    <w:p>
      <w:pPr>
        <w:pStyle w:val="BodyText"/>
        <w:rPr>
          <w:sz w:val="26"/>
        </w:rPr>
      </w:pPr>
    </w:p>
    <w:p>
      <w:pPr>
        <w:pStyle w:val="Heading1"/>
        <w:spacing w:before="1"/>
        <w:ind w:left="460"/>
      </w:pPr>
      <w:r>
        <w:rPr>
          <w:color w:val="993366"/>
          <w:w w:val="95"/>
        </w:rPr>
        <w:t>对于软件设计师来说</w:t>
      </w:r>
    </w:p>
    <w:p>
      <w:pPr>
        <w:pStyle w:val="BodyText"/>
        <w:spacing w:before="3"/>
        <w:rPr>
          <w:rFonts w:ascii="Microsoft JhengHei"/>
          <w:b/>
          <w:sz w:val="23"/>
        </w:rPr>
      </w:pPr>
    </w:p>
    <w:p>
      <w:pPr>
        <w:pStyle w:val="BodyText"/>
        <w:spacing w:line="273" w:lineRule="auto"/>
        <w:ind w:left="460" w:right="104" w:firstLine="422"/>
        <w:jc w:val="both"/>
      </w:pPr>
      <w:r>
        <w:rPr>
          <w:spacing w:val="-9"/>
        </w:rPr>
        <w:t>学会了如何识谱，不一定就能写出脍炙人口的乐曲；会做木匠活，也不能说明就能设计</w:t>
      </w:r>
      <w:r>
        <w:rPr>
          <w:spacing w:val="-12"/>
        </w:rPr>
        <w:t>出别具一格的家具。同样的，知道如何使用编程工具和编程组件，也不代表你就一定能知道</w:t>
      </w:r>
      <w:r>
        <w:rPr>
          <w:spacing w:val="-8"/>
        </w:rPr>
        <w:t>如何创建可用、好用的软件。</w:t>
      </w:r>
    </w:p>
    <w:p>
      <w:pPr>
        <w:pStyle w:val="BodyText"/>
        <w:spacing w:before="5"/>
        <w:rPr>
          <w:sz w:val="24"/>
        </w:rPr>
      </w:pPr>
    </w:p>
    <w:p>
      <w:pPr>
        <w:pStyle w:val="BodyText"/>
        <w:ind w:left="882"/>
      </w:pPr>
      <w:r>
        <w:rPr/>
        <w:t>即使是拔尖的程序员，对开发工具非常的了解，也仍然可能开发出拙劣的用户界面，即</w:t>
      </w:r>
    </w:p>
    <w:p>
      <w:pPr>
        <w:pStyle w:val="BodyText"/>
        <w:spacing w:before="36"/>
        <w:ind w:left="460"/>
      </w:pPr>
      <w:r>
        <w:rPr/>
        <w:t>便是在时间和资源都很充足的情况下。导致这种现象发生的原因有几个：</w:t>
      </w:r>
    </w:p>
    <w:p>
      <w:pPr>
        <w:pStyle w:val="BodyText"/>
        <w:spacing w:before="8"/>
        <w:rPr>
          <w:sz w:val="26"/>
        </w:rPr>
      </w:pPr>
    </w:p>
    <w:p>
      <w:pPr>
        <w:pStyle w:val="Heading2"/>
        <w:ind w:left="1300"/>
      </w:pPr>
      <w:r>
        <w:rPr/>
        <w:t>缺乏设计用户界面的经验</w:t>
      </w:r>
    </w:p>
    <w:p>
      <w:pPr>
        <w:pStyle w:val="BodyText"/>
        <w:spacing w:before="37"/>
        <w:ind w:left="882"/>
      </w:pPr>
      <w:r>
        <w:rPr/>
        <w:t>一个编程经验丰富的程序员并不一定具有很多设计用户界面的经验。与此类似，进行用</w:t>
      </w:r>
    </w:p>
    <w:p>
      <w:pPr>
        <w:pStyle w:val="BodyText"/>
        <w:spacing w:before="37"/>
        <w:ind w:left="882"/>
      </w:pPr>
      <w:r>
        <w:rPr/>
        <w:drawing>
          <wp:anchor distT="0" distB="0" distL="0" distR="0" allowOverlap="1" layoutInCell="1" locked="0" behindDoc="0" simplePos="0" relativeHeight="1048">
            <wp:simplePos x="0" y="0"/>
            <wp:positionH relativeFrom="page">
              <wp:posOffset>914400</wp:posOffset>
            </wp:positionH>
            <wp:positionV relativeFrom="paragraph">
              <wp:posOffset>231059</wp:posOffset>
            </wp:positionV>
            <wp:extent cx="1725168" cy="2353056"/>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725168" cy="2353056"/>
                    </a:xfrm>
                    <a:prstGeom prst="rect">
                      <a:avLst/>
                    </a:prstGeom>
                  </pic:spPr>
                </pic:pic>
              </a:graphicData>
            </a:graphic>
          </wp:anchor>
        </w:drawing>
      </w:r>
      <w:r>
        <w:rPr/>
        <w:t>户界面设计也并不一定需要太多编程的知识。</w:t>
      </w:r>
    </w:p>
    <w:p>
      <w:pPr>
        <w:pStyle w:val="BodyText"/>
        <w:spacing w:before="8"/>
        <w:rPr>
          <w:sz w:val="26"/>
        </w:rPr>
      </w:pPr>
    </w:p>
    <w:p>
      <w:pPr>
        <w:pStyle w:val="Heading2"/>
        <w:ind w:left="3834"/>
      </w:pPr>
      <w:r>
        <w:rPr/>
        <w:t>程序员对于某个工具越熟悉，就越容易受其影响</w:t>
      </w:r>
    </w:p>
    <w:p>
      <w:pPr>
        <w:pStyle w:val="BodyText"/>
        <w:spacing w:line="273" w:lineRule="auto" w:before="36"/>
        <w:ind w:left="2994" w:right="109"/>
        <w:jc w:val="both"/>
      </w:pPr>
      <w:r>
        <w:rPr/>
        <w:t>他知道这个工具的能力，他驾轻就熟。但工具提供的功能并不总是与用户的需求完全吻合。</w:t>
      </w:r>
    </w:p>
    <w:p>
      <w:pPr>
        <w:pStyle w:val="BodyText"/>
        <w:spacing w:before="5"/>
        <w:rPr>
          <w:sz w:val="24"/>
        </w:rPr>
      </w:pPr>
    </w:p>
    <w:p>
      <w:pPr>
        <w:pStyle w:val="Heading2"/>
        <w:ind w:left="3834"/>
      </w:pPr>
      <w:r>
        <w:rPr/>
        <w:t>拔尖的程序员往往是一些意志坚强的人</w:t>
      </w:r>
    </w:p>
    <w:p>
      <w:pPr>
        <w:pStyle w:val="BodyText"/>
        <w:spacing w:line="273" w:lineRule="auto" w:before="37"/>
        <w:ind w:left="2994" w:right="104"/>
        <w:jc w:val="both"/>
      </w:pPr>
      <w:r>
        <w:rPr/>
        <w:t>他们很牛，也知道自己很牛。所以他们不愿意和他人协商，也不会轻易妥协。如果一个开发队伍里面有几个这样的成员，而同时他们的管理者没有足够的权威，那么结果往往是不同程序员开发的不同部分之间存在着严重的不统一，每个人都以自己的方式去做自己的事情。</w:t>
      </w:r>
    </w:p>
    <w:p>
      <w:pPr>
        <w:pStyle w:val="BodyText"/>
        <w:spacing w:before="11"/>
        <w:rPr>
          <w:sz w:val="23"/>
        </w:rPr>
      </w:pPr>
    </w:p>
    <w:p>
      <w:pPr>
        <w:pStyle w:val="Heading1"/>
        <w:ind w:left="3038" w:right="3407"/>
        <w:jc w:val="center"/>
      </w:pPr>
      <w:r>
        <w:rPr>
          <w:color w:val="993366"/>
          <w:w w:val="95"/>
        </w:rPr>
        <w:t>对于美术设计师来说</w:t>
      </w:r>
    </w:p>
    <w:p>
      <w:pPr>
        <w:pStyle w:val="BodyText"/>
        <w:spacing w:before="15"/>
        <w:rPr>
          <w:rFonts w:ascii="Microsoft JhengHei"/>
          <w:b/>
          <w:sz w:val="22"/>
        </w:rPr>
      </w:pPr>
    </w:p>
    <w:p>
      <w:pPr>
        <w:pStyle w:val="BodyText"/>
        <w:spacing w:line="273" w:lineRule="auto"/>
        <w:ind w:left="460" w:right="104" w:firstLine="422"/>
        <w:jc w:val="both"/>
      </w:pPr>
      <w:r>
        <w:rPr>
          <w:spacing w:val="-9"/>
        </w:rPr>
        <w:t>美术设计人员更擅长于设计各种元素和控件的艺术外观，形象地表达功能，为整个应用</w:t>
      </w:r>
      <w:r>
        <w:rPr>
          <w:spacing w:val="-13"/>
        </w:rPr>
        <w:t>程序创建一致的艺术风格，同时让那些数据排列起来更加好看，让用户感觉这个网站或产品</w:t>
      </w:r>
      <w:r>
        <w:rPr>
          <w:spacing w:val="-8"/>
        </w:rPr>
        <w:t>确实很漂亮或很酷。</w:t>
      </w:r>
    </w:p>
    <w:p>
      <w:pPr>
        <w:pStyle w:val="BodyText"/>
        <w:spacing w:before="5"/>
        <w:rPr>
          <w:sz w:val="24"/>
        </w:rPr>
      </w:pPr>
    </w:p>
    <w:p>
      <w:pPr>
        <w:pStyle w:val="BodyText"/>
        <w:spacing w:line="273" w:lineRule="auto"/>
        <w:ind w:left="460" w:right="104" w:firstLine="422"/>
        <w:jc w:val="both"/>
      </w:pPr>
      <w:r>
        <w:rPr>
          <w:spacing w:val="-10"/>
        </w:rPr>
        <w:t>但是，尽管美术设计师们有着良好的美学素养，他们并不一定就适于用户界面设计。他</w:t>
      </w:r>
      <w:r>
        <w:rPr/>
        <w:t>们很可能只去在乎如何让界面更酷更炫，但是却不会去关心怎样能使用户更方便地使用产</w:t>
      </w:r>
      <w:r>
        <w:rPr>
          <w:spacing w:val="-8"/>
        </w:rPr>
        <w:t>品，他们也不知道怎么做能让用户更方便。漂亮和酷并不等于好用，如果只去考虑“外观美</w:t>
      </w:r>
    </w:p>
    <w:p>
      <w:pPr>
        <w:spacing w:after="0" w:line="273" w:lineRule="auto"/>
        <w:jc w:val="both"/>
        <w:sectPr>
          <w:type w:val="continuous"/>
          <w:pgSz w:w="11900" w:h="16840"/>
          <w:pgMar w:top="1420" w:bottom="280" w:left="1340" w:right="1680"/>
        </w:sectPr>
      </w:pPr>
    </w:p>
    <w:p>
      <w:pPr>
        <w:pStyle w:val="BodyText"/>
        <w:spacing w:before="6"/>
        <w:ind w:left="120"/>
      </w:pPr>
      <w:r>
        <w:rPr>
          <w:spacing w:val="-17"/>
          <w:w w:val="100"/>
        </w:rPr>
        <w:t>不美好”，很可能最后产品只是“看上去很美”，但其实只是个绣花枕头。</w:t>
      </w:r>
    </w:p>
    <w:p>
      <w:pPr>
        <w:pStyle w:val="BodyText"/>
        <w:spacing w:before="8"/>
        <w:rPr>
          <w:sz w:val="26"/>
        </w:rPr>
      </w:pPr>
    </w:p>
    <w:p>
      <w:pPr>
        <w:pStyle w:val="BodyText"/>
        <w:ind w:left="542"/>
      </w:pPr>
      <w:r>
        <w:rPr/>
        <w:t>记住，设计用户界面和设计用户界面的图片是不同的行为。</w:t>
      </w:r>
    </w:p>
    <w:p>
      <w:pPr>
        <w:pStyle w:val="BodyText"/>
        <w:spacing w:before="1"/>
        <w:rPr>
          <w:sz w:val="26"/>
        </w:rPr>
      </w:pPr>
    </w:p>
    <w:p>
      <w:pPr>
        <w:pStyle w:val="Heading1"/>
      </w:pPr>
      <w:r>
        <w:rPr>
          <w:color w:val="993366"/>
          <w:w w:val="95"/>
        </w:rPr>
        <w:t>真正的用户界面设计人员</w:t>
      </w:r>
    </w:p>
    <w:p>
      <w:pPr>
        <w:pStyle w:val="BodyText"/>
        <w:spacing w:before="3"/>
        <w:rPr>
          <w:rFonts w:ascii="Microsoft JhengHei"/>
          <w:b/>
          <w:sz w:val="23"/>
        </w:rPr>
      </w:pPr>
    </w:p>
    <w:p>
      <w:pPr>
        <w:pStyle w:val="BodyText"/>
        <w:spacing w:line="273" w:lineRule="auto"/>
        <w:ind w:left="120" w:right="209" w:firstLine="422"/>
        <w:jc w:val="both"/>
      </w:pPr>
      <w:r>
        <w:rPr/>
        <w:drawing>
          <wp:anchor distT="0" distB="0" distL="0" distR="0" allowOverlap="1" layoutInCell="1" locked="0" behindDoc="0" simplePos="0" relativeHeight="1072">
            <wp:simplePos x="0" y="0"/>
            <wp:positionH relativeFrom="page">
              <wp:posOffset>1143000</wp:posOffset>
            </wp:positionH>
            <wp:positionV relativeFrom="paragraph">
              <wp:posOffset>612948</wp:posOffset>
            </wp:positionV>
            <wp:extent cx="5271791" cy="3347847"/>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271791" cy="3347847"/>
                    </a:xfrm>
                    <a:prstGeom prst="rect">
                      <a:avLst/>
                    </a:prstGeom>
                  </pic:spPr>
                </pic:pic>
              </a:graphicData>
            </a:graphic>
          </wp:anchor>
        </w:drawing>
      </w:r>
      <w:r>
        <w:rPr>
          <w:spacing w:val="-9"/>
        </w:rPr>
        <w:t>这些家伙擅长的是分析和理解用户的任务需求，使控件和信息的安排更加合理，还有简</w:t>
      </w:r>
      <w:r>
        <w:rPr>
          <w:spacing w:val="-13"/>
        </w:rPr>
        <w:t>化产品的复杂度。同时他们能认识到用户在学习或使用产品的过程中，一般可能会在哪些地</w:t>
      </w:r>
      <w:r>
        <w:rPr>
          <w:spacing w:val="-10"/>
        </w:rPr>
        <w:t>方遇到问题。</w:t>
      </w:r>
    </w:p>
    <w:p>
      <w:pPr>
        <w:pStyle w:val="BodyText"/>
        <w:spacing w:before="10"/>
      </w:pPr>
    </w:p>
    <w:p>
      <w:pPr>
        <w:pStyle w:val="BodyText"/>
        <w:ind w:left="542"/>
      </w:pPr>
      <w:r>
        <w:rPr/>
        <w:t>一般来说，应该由用户界面设计师来设计界面，然后美术设计师对其进行艺术加工，最</w:t>
      </w:r>
    </w:p>
    <w:p>
      <w:pPr>
        <w:pStyle w:val="BodyText"/>
        <w:spacing w:before="36"/>
        <w:ind w:left="120"/>
      </w:pPr>
      <w:r>
        <w:rPr/>
        <w:t>后软件设计师来编写程序将其实现。这是一种分工合作的产物。</w:t>
      </w:r>
    </w:p>
    <w:p>
      <w:pPr>
        <w:pStyle w:val="BodyText"/>
        <w:spacing w:before="8"/>
        <w:rPr>
          <w:sz w:val="26"/>
        </w:rPr>
      </w:pPr>
    </w:p>
    <w:p>
      <w:pPr>
        <w:pStyle w:val="BodyText"/>
        <w:spacing w:line="273" w:lineRule="auto"/>
        <w:ind w:left="120" w:right="204" w:firstLine="422"/>
        <w:jc w:val="both"/>
      </w:pPr>
      <w:r>
        <w:rPr>
          <w:spacing w:val="-11"/>
        </w:rPr>
        <w:t>当然，作为一个开发团队，任何角色的成员都可以来参与用户界面设计和评估，发表看法、交换意见</w:t>
      </w:r>
      <w:r>
        <w:rPr>
          <w:spacing w:val="-5"/>
        </w:rPr>
        <w:t>（</w:t>
      </w:r>
      <w:r>
        <w:rPr>
          <w:spacing w:val="-1"/>
        </w:rPr>
        <w:t>我非常鼓励这么干</w:t>
      </w:r>
      <w:r>
        <w:rPr>
          <w:spacing w:val="-106"/>
        </w:rPr>
        <w:t>）</w:t>
      </w:r>
      <w:r>
        <w:rPr>
          <w:spacing w:val="-5"/>
        </w:rPr>
        <w:t>。但是用户界面的设计主导工作，仍然需要专业的用户界面设计师来完成。</w:t>
      </w:r>
    </w:p>
    <w:p>
      <w:pPr>
        <w:pStyle w:val="BodyText"/>
        <w:spacing w:before="3"/>
        <w:rPr>
          <w:sz w:val="19"/>
        </w:rPr>
      </w:pPr>
    </w:p>
    <w:p>
      <w:pPr>
        <w:spacing w:before="0"/>
        <w:ind w:left="120" w:right="0" w:firstLine="0"/>
        <w:jc w:val="left"/>
        <w:rPr>
          <w:rFonts w:ascii="Microsoft JhengHei" w:eastAsia="Microsoft JhengHei" w:hint="eastAsia"/>
          <w:b/>
          <w:sz w:val="32"/>
        </w:rPr>
      </w:pPr>
      <w:r>
        <w:rPr>
          <w:b/>
          <w:sz w:val="32"/>
        </w:rPr>
        <w:t>1.2.3</w:t>
      </w:r>
      <w:r>
        <w:rPr>
          <w:b/>
          <w:spacing w:val="86"/>
          <w:sz w:val="32"/>
        </w:rPr>
        <w:t> </w:t>
      </w:r>
      <w:r>
        <w:rPr>
          <w:rFonts w:ascii="Microsoft JhengHei" w:eastAsia="Microsoft JhengHei" w:hint="eastAsia"/>
          <w:b/>
          <w:spacing w:val="-4"/>
          <w:sz w:val="32"/>
        </w:rPr>
        <w:t>交互设计是一门跨学科领域</w:t>
      </w:r>
    </w:p>
    <w:p>
      <w:pPr>
        <w:pStyle w:val="BodyText"/>
        <w:spacing w:line="273" w:lineRule="auto" w:before="340"/>
        <w:ind w:left="120" w:right="103" w:firstLine="422"/>
      </w:pPr>
      <w:r>
        <w:rPr/>
        <w:t>现在的世界是个什么样子？语音识别、多媒体、移动计算技术、网络技术、可视化信</w:t>
      </w:r>
      <w:r>
        <w:rPr>
          <w:spacing w:val="-5"/>
        </w:rPr>
        <w:t>息……这些新技术的发展浪潮一波接一波，人们总是在不停地展望和发现新的学习、交流、</w:t>
      </w:r>
      <w:r>
        <w:rPr>
          <w:spacing w:val="-11"/>
        </w:rPr>
        <w:t>工作和生活的方式。与此同时他们还把视线转向了人生的方方面面——不论是在家里，还是</w:t>
      </w:r>
      <w:r>
        <w:rPr>
          <w:spacing w:val="-13"/>
        </w:rPr>
        <w:t>在学校；不论是在休闲，还是在工作中；也不论是独处，还是与家人或朋友共度——所有这</w:t>
      </w:r>
      <w:r>
        <w:rPr>
          <w:spacing w:val="-8"/>
        </w:rPr>
        <w:t>些细节都在启发新的设计构思，从而不断地增强和扩充原有的交互方式。</w:t>
      </w:r>
    </w:p>
    <w:p>
      <w:pPr>
        <w:pStyle w:val="BodyText"/>
        <w:spacing w:before="5"/>
        <w:rPr>
          <w:sz w:val="24"/>
        </w:rPr>
      </w:pPr>
    </w:p>
    <w:p>
      <w:pPr>
        <w:pStyle w:val="BodyText"/>
        <w:ind w:left="542"/>
      </w:pPr>
      <w:r>
        <w:rPr/>
        <w:t>所以，交互设计的范围也越来越庞大，与各种学科相互交叉渗透，共同发展，相互之间</w:t>
      </w:r>
    </w:p>
    <w:p>
      <w:pPr>
        <w:spacing w:after="0"/>
        <w:sectPr>
          <w:pgSz w:w="11900" w:h="16840"/>
          <w:pgMar w:top="1420" w:bottom="280" w:left="1680" w:right="1580"/>
        </w:sectPr>
      </w:pPr>
    </w:p>
    <w:p>
      <w:pPr>
        <w:pStyle w:val="BodyText"/>
        <w:ind w:left="106"/>
        <w:rPr>
          <w:sz w:val="20"/>
        </w:rPr>
      </w:pPr>
      <w:r>
        <w:rPr>
          <w:sz w:val="20"/>
        </w:rPr>
        <w:pict>
          <v:group style="width:438.4pt;height:29.6pt;mso-position-horizontal-relative:char;mso-position-vertical-relative:line" coordorigin="0,0" coordsize="8768,592">
            <v:line style="position:absolute" from="6,585" to="8761,585" stroked="true" strokeweight=".649943pt" strokecolor="#000000">
              <v:stroke dashstyle="solid"/>
            </v:line>
            <v:shape style="position:absolute;left:114;top:0;width:1922;height:510" type="#_x0000_t75" stroked="false">
              <v:imagedata r:id="rId8" o:title=""/>
            </v:shape>
            <v:shapetype id="_x0000_t202" o:spt="202" coordsize="21600,21600" path="m,l,21600r21600,l21600,xe">
              <v:stroke joinstyle="miter"/>
              <v:path gradientshapeok="t" o:connecttype="rect"/>
            </v:shapetype>
            <v:shape style="position:absolute;left:0;top:0;width:8768;height:592" type="#_x0000_t202" filled="false" stroked="false">
              <v:textbox inset="0,0,0,0">
                <w:txbxContent>
                  <w:p>
                    <w:pPr>
                      <w:spacing w:line="240" w:lineRule="auto" w:before="12"/>
                      <w:rPr>
                        <w:rFonts w:ascii="黑体"/>
                        <w:sz w:val="24"/>
                      </w:rPr>
                    </w:pPr>
                  </w:p>
                  <w:p>
                    <w:pPr>
                      <w:spacing w:before="0"/>
                      <w:ind w:left="5571" w:right="0" w:firstLine="0"/>
                      <w:jc w:val="left"/>
                      <w:rPr>
                        <w:rFonts w:ascii="宋体" w:eastAsia="宋体" w:hint="eastAsia"/>
                        <w:sz w:val="16"/>
                      </w:rPr>
                    </w:pPr>
                    <w:r>
                      <w:rPr>
                        <w:rFonts w:ascii="宋体" w:eastAsia="宋体" w:hint="eastAsia"/>
                        <w:sz w:val="16"/>
                      </w:rPr>
                      <w:t>万科企业股份有限公司 </w:t>
                    </w:r>
                    <w:r>
                      <w:rPr>
                        <w:rFonts w:ascii="Times New Roman" w:eastAsia="Times New Roman"/>
                        <w:sz w:val="16"/>
                      </w:rPr>
                      <w:t>2017 </w:t>
                    </w:r>
                    <w:r>
                      <w:rPr>
                        <w:rFonts w:ascii="宋体" w:eastAsia="宋体" w:hint="eastAsia"/>
                        <w:sz w:val="16"/>
                      </w:rPr>
                      <w:t>年半年度报告</w:t>
                    </w:r>
                  </w:p>
                </w:txbxContent>
              </v:textbox>
              <w10:wrap type="none"/>
            </v:shape>
          </v:group>
        </w:pict>
      </w:r>
      <w:r>
        <w:rPr>
          <w:sz w:val="20"/>
        </w:rPr>
      </w:r>
    </w:p>
    <w:p>
      <w:pPr>
        <w:pStyle w:val="BodyText"/>
        <w:spacing w:before="2"/>
        <w:rPr>
          <w:sz w:val="17"/>
        </w:rPr>
      </w:pPr>
    </w:p>
    <w:p>
      <w:pPr>
        <w:pStyle w:val="Heading1"/>
        <w:spacing w:before="9"/>
        <w:ind w:left="3134" w:right="3134"/>
        <w:jc w:val="center"/>
        <w:rPr>
          <w:rFonts w:ascii="宋体" w:eastAsia="宋体" w:hint="eastAsia"/>
        </w:rPr>
      </w:pPr>
      <w:r>
        <w:rPr>
          <w:rFonts w:ascii="宋体" w:eastAsia="宋体" w:hint="eastAsia"/>
        </w:rPr>
        <w:t>第七节 公司债券情况</w:t>
      </w:r>
    </w:p>
    <w:p>
      <w:pPr>
        <w:pStyle w:val="BodyText"/>
        <w:rPr>
          <w:rFonts w:ascii="宋体"/>
          <w:b/>
          <w:sz w:val="20"/>
        </w:rPr>
      </w:pPr>
    </w:p>
    <w:p>
      <w:pPr>
        <w:pStyle w:val="BodyText"/>
        <w:rPr>
          <w:rFonts w:ascii="宋体"/>
          <w:b/>
          <w:sz w:val="20"/>
        </w:rPr>
      </w:pPr>
    </w:p>
    <w:p>
      <w:pPr>
        <w:pStyle w:val="BodyText"/>
        <w:spacing w:before="5"/>
        <w:rPr>
          <w:rFonts w:ascii="宋体"/>
          <w:b/>
        </w:rPr>
      </w:pPr>
    </w:p>
    <w:p>
      <w:pPr>
        <w:pStyle w:val="Heading2"/>
        <w:spacing w:before="41"/>
        <w:rPr>
          <w:rFonts w:ascii="宋体" w:eastAsia="宋体" w:hint="eastAsia"/>
        </w:rPr>
      </w:pPr>
      <w:r>
        <w:rPr>
          <w:rFonts w:ascii="宋体" w:eastAsia="宋体" w:hint="eastAsia"/>
        </w:rPr>
        <w:t>一、公司债券基本信息</w:t>
      </w:r>
    </w:p>
    <w:p>
      <w:pPr>
        <w:pStyle w:val="BodyText"/>
        <w:spacing w:before="5"/>
        <w:rPr>
          <w:rFonts w:ascii="宋体"/>
          <w:b/>
          <w:sz w:val="23"/>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1"/>
        <w:gridCol w:w="936"/>
        <w:gridCol w:w="770"/>
        <w:gridCol w:w="1023"/>
        <w:gridCol w:w="897"/>
        <w:gridCol w:w="1023"/>
        <w:gridCol w:w="769"/>
        <w:gridCol w:w="2141"/>
      </w:tblGrid>
      <w:tr>
        <w:trPr>
          <w:trHeight w:val="420" w:hRule="atLeast"/>
        </w:trPr>
        <w:tc>
          <w:tcPr>
            <w:tcW w:w="1081" w:type="dxa"/>
          </w:tcPr>
          <w:p>
            <w:pPr>
              <w:pStyle w:val="TableParagraph"/>
              <w:spacing w:before="81"/>
              <w:ind w:left="209"/>
              <w:rPr>
                <w:rFonts w:ascii="宋体" w:eastAsia="宋体" w:hint="eastAsia"/>
                <w:b/>
                <w:sz w:val="16"/>
              </w:rPr>
            </w:pPr>
            <w:r>
              <w:rPr>
                <w:rFonts w:ascii="宋体" w:eastAsia="宋体" w:hint="eastAsia"/>
                <w:b/>
                <w:sz w:val="16"/>
              </w:rPr>
              <w:t>债券名称</w:t>
            </w:r>
          </w:p>
        </w:tc>
        <w:tc>
          <w:tcPr>
            <w:tcW w:w="936" w:type="dxa"/>
          </w:tcPr>
          <w:p>
            <w:pPr>
              <w:pStyle w:val="TableParagraph"/>
              <w:spacing w:before="81"/>
              <w:ind w:right="134"/>
              <w:jc w:val="right"/>
              <w:rPr>
                <w:rFonts w:ascii="宋体" w:eastAsia="宋体" w:hint="eastAsia"/>
                <w:b/>
                <w:sz w:val="16"/>
              </w:rPr>
            </w:pPr>
            <w:r>
              <w:rPr>
                <w:rFonts w:ascii="宋体" w:eastAsia="宋体" w:hint="eastAsia"/>
                <w:b/>
                <w:sz w:val="16"/>
              </w:rPr>
              <w:t>债券简称</w:t>
            </w:r>
          </w:p>
        </w:tc>
        <w:tc>
          <w:tcPr>
            <w:tcW w:w="770" w:type="dxa"/>
          </w:tcPr>
          <w:p>
            <w:pPr>
              <w:pStyle w:val="TableParagraph"/>
              <w:spacing w:before="81"/>
              <w:ind w:left="53"/>
              <w:rPr>
                <w:rFonts w:ascii="宋体" w:eastAsia="宋体" w:hint="eastAsia"/>
                <w:b/>
                <w:sz w:val="16"/>
              </w:rPr>
            </w:pPr>
            <w:r>
              <w:rPr>
                <w:rFonts w:ascii="宋体" w:eastAsia="宋体" w:hint="eastAsia"/>
                <w:b/>
                <w:sz w:val="16"/>
              </w:rPr>
              <w:t>债券代码</w:t>
            </w:r>
          </w:p>
        </w:tc>
        <w:tc>
          <w:tcPr>
            <w:tcW w:w="1023" w:type="dxa"/>
          </w:tcPr>
          <w:p>
            <w:pPr>
              <w:pStyle w:val="TableParagraph"/>
              <w:spacing w:before="81"/>
              <w:ind w:left="261"/>
              <w:rPr>
                <w:rFonts w:ascii="宋体" w:eastAsia="宋体" w:hint="eastAsia"/>
                <w:b/>
                <w:sz w:val="16"/>
              </w:rPr>
            </w:pPr>
            <w:r>
              <w:rPr>
                <w:rFonts w:ascii="宋体" w:eastAsia="宋体" w:hint="eastAsia"/>
                <w:b/>
                <w:sz w:val="16"/>
              </w:rPr>
              <w:t>发行日</w:t>
            </w:r>
          </w:p>
        </w:tc>
        <w:tc>
          <w:tcPr>
            <w:tcW w:w="897" w:type="dxa"/>
          </w:tcPr>
          <w:p>
            <w:pPr>
              <w:pStyle w:val="TableParagraph"/>
              <w:spacing w:before="81"/>
              <w:ind w:left="198"/>
              <w:rPr>
                <w:rFonts w:ascii="宋体" w:eastAsia="宋体" w:hint="eastAsia"/>
                <w:b/>
                <w:sz w:val="16"/>
              </w:rPr>
            </w:pPr>
            <w:r>
              <w:rPr>
                <w:rFonts w:ascii="宋体" w:eastAsia="宋体" w:hint="eastAsia"/>
                <w:b/>
                <w:sz w:val="16"/>
              </w:rPr>
              <w:t>到期日</w:t>
            </w:r>
          </w:p>
        </w:tc>
        <w:tc>
          <w:tcPr>
            <w:tcW w:w="1023" w:type="dxa"/>
          </w:tcPr>
          <w:p>
            <w:pPr>
              <w:pStyle w:val="TableParagraph"/>
              <w:spacing w:line="184" w:lineRule="exact"/>
              <w:ind w:left="181"/>
              <w:rPr>
                <w:rFonts w:ascii="宋体" w:eastAsia="宋体" w:hint="eastAsia"/>
                <w:b/>
                <w:sz w:val="16"/>
              </w:rPr>
            </w:pPr>
            <w:r>
              <w:rPr>
                <w:rFonts w:ascii="宋体" w:eastAsia="宋体" w:hint="eastAsia"/>
                <w:b/>
                <w:sz w:val="16"/>
              </w:rPr>
              <w:t>债券余额</w:t>
            </w:r>
          </w:p>
          <w:p>
            <w:pPr>
              <w:pStyle w:val="TableParagraph"/>
              <w:spacing w:before="3"/>
              <w:ind w:left="181"/>
              <w:rPr>
                <w:rFonts w:ascii="宋体" w:eastAsia="宋体" w:hint="eastAsia"/>
                <w:b/>
                <w:sz w:val="16"/>
              </w:rPr>
            </w:pPr>
            <w:r>
              <w:rPr>
                <w:rFonts w:ascii="宋体" w:eastAsia="宋体" w:hint="eastAsia"/>
                <w:b/>
                <w:sz w:val="16"/>
              </w:rPr>
              <w:t>（万元）</w:t>
            </w:r>
          </w:p>
        </w:tc>
        <w:tc>
          <w:tcPr>
            <w:tcW w:w="769" w:type="dxa"/>
          </w:tcPr>
          <w:p>
            <w:pPr>
              <w:pStyle w:val="TableParagraph"/>
              <w:spacing w:before="81"/>
              <w:ind w:left="215"/>
              <w:rPr>
                <w:rFonts w:ascii="宋体" w:eastAsia="宋体" w:hint="eastAsia"/>
                <w:b/>
                <w:sz w:val="16"/>
              </w:rPr>
            </w:pPr>
            <w:r>
              <w:rPr>
                <w:rFonts w:ascii="宋体" w:eastAsia="宋体" w:hint="eastAsia"/>
                <w:b/>
                <w:sz w:val="16"/>
              </w:rPr>
              <w:t>利率</w:t>
            </w:r>
          </w:p>
        </w:tc>
        <w:tc>
          <w:tcPr>
            <w:tcW w:w="2141" w:type="dxa"/>
          </w:tcPr>
          <w:p>
            <w:pPr>
              <w:pStyle w:val="TableParagraph"/>
              <w:spacing w:before="81"/>
              <w:ind w:left="576"/>
              <w:rPr>
                <w:rFonts w:ascii="宋体" w:eastAsia="宋体" w:hint="eastAsia"/>
                <w:b/>
                <w:sz w:val="16"/>
              </w:rPr>
            </w:pPr>
            <w:r>
              <w:rPr>
                <w:rFonts w:ascii="宋体" w:eastAsia="宋体" w:hint="eastAsia"/>
                <w:b/>
                <w:sz w:val="16"/>
              </w:rPr>
              <w:t>还本付息方式</w:t>
            </w:r>
          </w:p>
        </w:tc>
      </w:tr>
      <w:tr>
        <w:trPr>
          <w:trHeight w:val="840" w:hRule="atLeast"/>
        </w:trPr>
        <w:tc>
          <w:tcPr>
            <w:tcW w:w="1081" w:type="dxa"/>
          </w:tcPr>
          <w:p>
            <w:pPr>
              <w:pStyle w:val="TableParagraph"/>
              <w:spacing w:line="184" w:lineRule="exact"/>
              <w:ind w:left="20"/>
              <w:rPr>
                <w:rFonts w:ascii="宋体" w:eastAsia="宋体" w:hint="eastAsia"/>
                <w:sz w:val="16"/>
              </w:rPr>
            </w:pPr>
            <w:r>
              <w:rPr>
                <w:rFonts w:ascii="宋体" w:eastAsia="宋体" w:hint="eastAsia"/>
                <w:sz w:val="16"/>
              </w:rPr>
              <w:t>万科企业股份</w:t>
            </w:r>
          </w:p>
          <w:p>
            <w:pPr>
              <w:pStyle w:val="TableParagraph"/>
              <w:ind w:left="20"/>
              <w:rPr>
                <w:rFonts w:ascii="宋体" w:eastAsia="宋体" w:hint="eastAsia"/>
                <w:sz w:val="16"/>
              </w:rPr>
            </w:pPr>
            <w:r>
              <w:rPr>
                <w:rFonts w:ascii="宋体" w:eastAsia="宋体" w:hint="eastAsia"/>
                <w:sz w:val="16"/>
              </w:rPr>
              <w:t>有限公司</w:t>
            </w:r>
          </w:p>
          <w:p>
            <w:pPr>
              <w:pStyle w:val="TableParagraph"/>
              <w:spacing w:line="228" w:lineRule="auto" w:before="13"/>
              <w:ind w:left="20" w:right="31"/>
              <w:rPr>
                <w:rFonts w:ascii="宋体" w:eastAsia="宋体" w:hint="eastAsia"/>
                <w:sz w:val="16"/>
              </w:rPr>
            </w:pPr>
            <w:r>
              <w:rPr>
                <w:rFonts w:ascii="Times New Roman" w:eastAsia="Times New Roman"/>
                <w:sz w:val="16"/>
              </w:rPr>
              <w:t>2015 </w:t>
            </w:r>
            <w:r>
              <w:rPr>
                <w:rFonts w:ascii="宋体" w:eastAsia="宋体" w:hint="eastAsia"/>
                <w:sz w:val="16"/>
              </w:rPr>
              <w:t>年公司债券（第一期）</w:t>
            </w:r>
          </w:p>
        </w:tc>
        <w:tc>
          <w:tcPr>
            <w:tcW w:w="936" w:type="dxa"/>
          </w:tcPr>
          <w:p>
            <w:pPr>
              <w:pStyle w:val="TableParagraph"/>
              <w:spacing w:before="3"/>
              <w:rPr>
                <w:rFonts w:ascii="宋体"/>
                <w:b/>
                <w:sz w:val="22"/>
              </w:rPr>
            </w:pPr>
          </w:p>
          <w:p>
            <w:pPr>
              <w:pStyle w:val="TableParagraph"/>
              <w:ind w:right="177"/>
              <w:jc w:val="right"/>
              <w:rPr>
                <w:rFonts w:ascii="Times New Roman" w:eastAsia="Times New Roman"/>
                <w:sz w:val="16"/>
              </w:rPr>
            </w:pPr>
            <w:r>
              <w:rPr>
                <w:rFonts w:ascii="Times New Roman" w:eastAsia="Times New Roman"/>
                <w:sz w:val="16"/>
              </w:rPr>
              <w:t>15 </w:t>
            </w:r>
            <w:r>
              <w:rPr>
                <w:rFonts w:ascii="宋体" w:eastAsia="宋体" w:hint="eastAsia"/>
                <w:spacing w:val="-11"/>
                <w:sz w:val="16"/>
              </w:rPr>
              <w:t>万科 </w:t>
            </w:r>
            <w:r>
              <w:rPr>
                <w:rFonts w:ascii="Times New Roman" w:eastAsia="Times New Roman"/>
                <w:sz w:val="16"/>
              </w:rPr>
              <w:t>01</w:t>
            </w:r>
          </w:p>
        </w:tc>
        <w:tc>
          <w:tcPr>
            <w:tcW w:w="770" w:type="dxa"/>
          </w:tcPr>
          <w:p>
            <w:pPr>
              <w:pStyle w:val="TableParagraph"/>
              <w:spacing w:before="10"/>
              <w:rPr>
                <w:rFonts w:ascii="宋体"/>
                <w:b/>
                <w:sz w:val="24"/>
              </w:rPr>
            </w:pPr>
          </w:p>
          <w:p>
            <w:pPr>
              <w:pStyle w:val="TableParagraph"/>
              <w:ind w:left="20"/>
              <w:rPr>
                <w:rFonts w:ascii="Times New Roman"/>
                <w:sz w:val="16"/>
              </w:rPr>
            </w:pPr>
            <w:r>
              <w:rPr>
                <w:rFonts w:ascii="Times New Roman"/>
                <w:sz w:val="16"/>
              </w:rPr>
              <w:t>112285</w:t>
            </w:r>
          </w:p>
        </w:tc>
        <w:tc>
          <w:tcPr>
            <w:tcW w:w="1023" w:type="dxa"/>
          </w:tcPr>
          <w:p>
            <w:pPr>
              <w:pStyle w:val="TableParagraph"/>
              <w:spacing w:line="216" w:lineRule="exact" w:before="81"/>
              <w:ind w:left="20"/>
              <w:rPr>
                <w:rFonts w:ascii="宋体" w:eastAsia="宋体" w:hint="eastAsia"/>
                <w:sz w:val="16"/>
              </w:rPr>
            </w:pPr>
            <w:r>
              <w:rPr>
                <w:rFonts w:ascii="Times New Roman" w:eastAsia="Times New Roman"/>
                <w:sz w:val="16"/>
              </w:rPr>
              <w:t>2015 </w:t>
            </w:r>
            <w:r>
              <w:rPr>
                <w:rFonts w:ascii="宋体" w:eastAsia="宋体" w:hint="eastAsia"/>
                <w:sz w:val="16"/>
              </w:rPr>
              <w:t>年 </w:t>
            </w:r>
            <w:r>
              <w:rPr>
                <w:rFonts w:ascii="Times New Roman" w:eastAsia="Times New Roman"/>
                <w:sz w:val="16"/>
              </w:rPr>
              <w:t>9 </w:t>
            </w:r>
            <w:r>
              <w:rPr>
                <w:rFonts w:ascii="宋体" w:eastAsia="宋体" w:hint="eastAsia"/>
                <w:sz w:val="16"/>
              </w:rPr>
              <w:t>月</w:t>
            </w:r>
          </w:p>
          <w:p>
            <w:pPr>
              <w:pStyle w:val="TableParagraph"/>
              <w:spacing w:line="210" w:lineRule="exact"/>
              <w:ind w:left="20"/>
              <w:rPr>
                <w:rFonts w:ascii="Times New Roman" w:eastAsia="Times New Roman"/>
                <w:sz w:val="16"/>
              </w:rPr>
            </w:pPr>
            <w:r>
              <w:rPr>
                <w:rFonts w:ascii="Times New Roman" w:eastAsia="Times New Roman"/>
                <w:sz w:val="16"/>
              </w:rPr>
              <w:t>25 </w:t>
            </w:r>
            <w:r>
              <w:rPr>
                <w:rFonts w:ascii="宋体" w:eastAsia="宋体" w:hint="eastAsia"/>
                <w:sz w:val="16"/>
              </w:rPr>
              <w:t>日至 </w:t>
            </w:r>
            <w:r>
              <w:rPr>
                <w:rFonts w:ascii="Times New Roman" w:eastAsia="Times New Roman"/>
                <w:sz w:val="16"/>
              </w:rPr>
              <w:t>2015</w:t>
            </w:r>
          </w:p>
          <w:p>
            <w:pPr>
              <w:pStyle w:val="TableParagraph"/>
              <w:spacing w:line="216" w:lineRule="exact"/>
              <w:ind w:left="20"/>
              <w:rPr>
                <w:rFonts w:ascii="宋体" w:eastAsia="宋体" w:hint="eastAsia"/>
                <w:sz w:val="16"/>
              </w:rPr>
            </w:pPr>
            <w:r>
              <w:rPr>
                <w:rFonts w:ascii="宋体" w:eastAsia="宋体" w:hint="eastAsia"/>
                <w:sz w:val="16"/>
              </w:rPr>
              <w:t>年 </w:t>
            </w:r>
            <w:r>
              <w:rPr>
                <w:rFonts w:ascii="Times New Roman" w:eastAsia="Times New Roman"/>
                <w:sz w:val="16"/>
              </w:rPr>
              <w:t>9 </w:t>
            </w:r>
            <w:r>
              <w:rPr>
                <w:rFonts w:ascii="宋体" w:eastAsia="宋体" w:hint="eastAsia"/>
                <w:sz w:val="16"/>
              </w:rPr>
              <w:t>月 </w:t>
            </w:r>
            <w:r>
              <w:rPr>
                <w:rFonts w:ascii="Times New Roman" w:eastAsia="Times New Roman"/>
                <w:sz w:val="16"/>
              </w:rPr>
              <w:t>28 </w:t>
            </w:r>
            <w:r>
              <w:rPr>
                <w:rFonts w:ascii="宋体" w:eastAsia="宋体" w:hint="eastAsia"/>
                <w:sz w:val="16"/>
              </w:rPr>
              <w:t>日</w:t>
            </w:r>
          </w:p>
        </w:tc>
        <w:tc>
          <w:tcPr>
            <w:tcW w:w="897" w:type="dxa"/>
          </w:tcPr>
          <w:p>
            <w:pPr>
              <w:pStyle w:val="TableParagraph"/>
              <w:spacing w:before="1"/>
              <w:rPr>
                <w:rFonts w:ascii="宋体"/>
                <w:b/>
                <w:sz w:val="14"/>
              </w:rPr>
            </w:pPr>
          </w:p>
          <w:p>
            <w:pPr>
              <w:pStyle w:val="TableParagraph"/>
              <w:spacing w:line="217" w:lineRule="exact" w:before="1"/>
              <w:ind w:left="20"/>
              <w:rPr>
                <w:rFonts w:ascii="宋体" w:eastAsia="宋体" w:hint="eastAsia"/>
                <w:sz w:val="16"/>
              </w:rPr>
            </w:pPr>
            <w:r>
              <w:rPr>
                <w:rFonts w:ascii="Times New Roman" w:eastAsia="Times New Roman"/>
                <w:sz w:val="16"/>
              </w:rPr>
              <w:t>2020 </w:t>
            </w:r>
            <w:r>
              <w:rPr>
                <w:rFonts w:ascii="宋体" w:eastAsia="宋体" w:hint="eastAsia"/>
                <w:spacing w:val="-24"/>
                <w:sz w:val="16"/>
              </w:rPr>
              <w:t>年 </w:t>
            </w:r>
            <w:r>
              <w:rPr>
                <w:rFonts w:ascii="Times New Roman" w:eastAsia="Times New Roman"/>
                <w:sz w:val="16"/>
              </w:rPr>
              <w:t>9 </w:t>
            </w:r>
            <w:r>
              <w:rPr>
                <w:rFonts w:ascii="宋体" w:eastAsia="宋体" w:hint="eastAsia"/>
                <w:sz w:val="16"/>
              </w:rPr>
              <w:t>月</w:t>
            </w:r>
          </w:p>
          <w:p>
            <w:pPr>
              <w:pStyle w:val="TableParagraph"/>
              <w:spacing w:line="217" w:lineRule="exact"/>
              <w:ind w:left="20"/>
              <w:rPr>
                <w:rFonts w:ascii="宋体" w:eastAsia="宋体" w:hint="eastAsia"/>
                <w:sz w:val="16"/>
              </w:rPr>
            </w:pPr>
            <w:r>
              <w:rPr>
                <w:rFonts w:ascii="Times New Roman" w:eastAsia="Times New Roman"/>
                <w:sz w:val="16"/>
              </w:rPr>
              <w:t>25 </w:t>
            </w:r>
            <w:r>
              <w:rPr>
                <w:rFonts w:ascii="宋体" w:eastAsia="宋体" w:hint="eastAsia"/>
                <w:sz w:val="16"/>
              </w:rPr>
              <w:t>日</w:t>
            </w:r>
          </w:p>
        </w:tc>
        <w:tc>
          <w:tcPr>
            <w:tcW w:w="1023" w:type="dxa"/>
          </w:tcPr>
          <w:p>
            <w:pPr>
              <w:pStyle w:val="TableParagraph"/>
              <w:spacing w:before="10"/>
              <w:rPr>
                <w:rFonts w:ascii="宋体"/>
                <w:b/>
                <w:sz w:val="24"/>
              </w:rPr>
            </w:pPr>
          </w:p>
          <w:p>
            <w:pPr>
              <w:pStyle w:val="TableParagraph"/>
              <w:ind w:right="15"/>
              <w:jc w:val="right"/>
              <w:rPr>
                <w:rFonts w:ascii="Times New Roman"/>
                <w:sz w:val="16"/>
              </w:rPr>
            </w:pPr>
            <w:r>
              <w:rPr>
                <w:rFonts w:ascii="Times New Roman"/>
                <w:sz w:val="16"/>
              </w:rPr>
              <w:t>500,000</w:t>
            </w:r>
          </w:p>
        </w:tc>
        <w:tc>
          <w:tcPr>
            <w:tcW w:w="769" w:type="dxa"/>
          </w:tcPr>
          <w:p>
            <w:pPr>
              <w:pStyle w:val="TableParagraph"/>
              <w:spacing w:before="10"/>
              <w:rPr>
                <w:rFonts w:ascii="宋体"/>
                <w:b/>
                <w:sz w:val="24"/>
              </w:rPr>
            </w:pPr>
          </w:p>
          <w:p>
            <w:pPr>
              <w:pStyle w:val="TableParagraph"/>
              <w:ind w:right="17"/>
              <w:jc w:val="right"/>
              <w:rPr>
                <w:rFonts w:ascii="Times New Roman"/>
                <w:sz w:val="16"/>
              </w:rPr>
            </w:pPr>
            <w:r>
              <w:rPr>
                <w:rFonts w:ascii="Times New Roman"/>
                <w:sz w:val="16"/>
              </w:rPr>
              <w:t>3.50%</w:t>
            </w:r>
          </w:p>
        </w:tc>
        <w:tc>
          <w:tcPr>
            <w:tcW w:w="2141" w:type="dxa"/>
            <w:vMerge w:val="restart"/>
          </w:tcPr>
          <w:p>
            <w:pPr>
              <w:pStyle w:val="TableParagraph"/>
              <w:rPr>
                <w:rFonts w:ascii="宋体"/>
                <w:b/>
                <w:sz w:val="16"/>
              </w:rPr>
            </w:pPr>
          </w:p>
          <w:p>
            <w:pPr>
              <w:pStyle w:val="TableParagraph"/>
              <w:rPr>
                <w:rFonts w:ascii="宋体"/>
                <w:b/>
                <w:sz w:val="16"/>
              </w:rPr>
            </w:pPr>
          </w:p>
          <w:p>
            <w:pPr>
              <w:pStyle w:val="TableParagraph"/>
              <w:rPr>
                <w:rFonts w:ascii="宋体"/>
                <w:b/>
                <w:sz w:val="16"/>
              </w:rPr>
            </w:pPr>
          </w:p>
          <w:p>
            <w:pPr>
              <w:pStyle w:val="TableParagraph"/>
              <w:spacing w:before="1"/>
              <w:rPr>
                <w:rFonts w:ascii="宋体"/>
                <w:b/>
                <w:sz w:val="15"/>
              </w:rPr>
            </w:pPr>
          </w:p>
          <w:p>
            <w:pPr>
              <w:pStyle w:val="TableParagraph"/>
              <w:spacing w:line="242" w:lineRule="auto" w:before="1"/>
              <w:ind w:left="20" w:right="158"/>
              <w:jc w:val="both"/>
              <w:rPr>
                <w:rFonts w:ascii="宋体" w:eastAsia="宋体" w:hint="eastAsia"/>
                <w:sz w:val="16"/>
              </w:rPr>
            </w:pPr>
            <w:r>
              <w:rPr>
                <w:rFonts w:ascii="宋体" w:eastAsia="宋体" w:hint="eastAsia"/>
                <w:sz w:val="16"/>
              </w:rPr>
              <w:t>采用单利按年计息，不计复利，每年付息一次，到期一次还本，最后一期利息随本金的兑付一起支付。</w:t>
            </w:r>
          </w:p>
        </w:tc>
      </w:tr>
      <w:tr>
        <w:trPr>
          <w:trHeight w:val="840" w:hRule="atLeast"/>
        </w:trPr>
        <w:tc>
          <w:tcPr>
            <w:tcW w:w="1081" w:type="dxa"/>
          </w:tcPr>
          <w:p>
            <w:pPr>
              <w:pStyle w:val="TableParagraph"/>
              <w:spacing w:line="184" w:lineRule="exact"/>
              <w:ind w:left="20"/>
              <w:rPr>
                <w:rFonts w:ascii="宋体" w:eastAsia="宋体" w:hint="eastAsia"/>
                <w:sz w:val="16"/>
              </w:rPr>
            </w:pPr>
            <w:r>
              <w:rPr>
                <w:rFonts w:ascii="宋体" w:eastAsia="宋体" w:hint="eastAsia"/>
                <w:sz w:val="16"/>
              </w:rPr>
              <w:t>万科企业股份</w:t>
            </w:r>
          </w:p>
          <w:p>
            <w:pPr>
              <w:pStyle w:val="TableParagraph"/>
              <w:spacing w:before="3"/>
              <w:ind w:left="20"/>
              <w:rPr>
                <w:rFonts w:ascii="宋体" w:eastAsia="宋体" w:hint="eastAsia"/>
                <w:sz w:val="16"/>
              </w:rPr>
            </w:pPr>
            <w:r>
              <w:rPr>
                <w:rFonts w:ascii="宋体" w:eastAsia="宋体" w:hint="eastAsia"/>
                <w:sz w:val="16"/>
              </w:rPr>
              <w:t>有限公司</w:t>
            </w:r>
          </w:p>
          <w:p>
            <w:pPr>
              <w:pStyle w:val="TableParagraph"/>
              <w:spacing w:line="228" w:lineRule="auto" w:before="11"/>
              <w:ind w:left="20" w:right="31"/>
              <w:rPr>
                <w:rFonts w:ascii="宋体" w:eastAsia="宋体" w:hint="eastAsia"/>
                <w:sz w:val="16"/>
              </w:rPr>
            </w:pPr>
            <w:r>
              <w:rPr>
                <w:rFonts w:ascii="Times New Roman" w:eastAsia="Times New Roman"/>
                <w:sz w:val="16"/>
              </w:rPr>
              <w:t>2017 </w:t>
            </w:r>
            <w:r>
              <w:rPr>
                <w:rFonts w:ascii="宋体" w:eastAsia="宋体" w:hint="eastAsia"/>
                <w:sz w:val="16"/>
              </w:rPr>
              <w:t>年公司债券（第一期）</w:t>
            </w:r>
          </w:p>
        </w:tc>
        <w:tc>
          <w:tcPr>
            <w:tcW w:w="936" w:type="dxa"/>
          </w:tcPr>
          <w:p>
            <w:pPr>
              <w:pStyle w:val="TableParagraph"/>
              <w:spacing w:before="3"/>
              <w:rPr>
                <w:rFonts w:ascii="宋体"/>
                <w:b/>
                <w:sz w:val="22"/>
              </w:rPr>
            </w:pPr>
          </w:p>
          <w:p>
            <w:pPr>
              <w:pStyle w:val="TableParagraph"/>
              <w:spacing w:before="1"/>
              <w:ind w:right="177"/>
              <w:jc w:val="right"/>
              <w:rPr>
                <w:rFonts w:ascii="Times New Roman" w:eastAsia="Times New Roman"/>
                <w:sz w:val="16"/>
              </w:rPr>
            </w:pPr>
            <w:r>
              <w:rPr>
                <w:rFonts w:ascii="Times New Roman" w:eastAsia="Times New Roman"/>
                <w:sz w:val="16"/>
              </w:rPr>
              <w:t>17 </w:t>
            </w:r>
            <w:r>
              <w:rPr>
                <w:rFonts w:ascii="宋体" w:eastAsia="宋体" w:hint="eastAsia"/>
                <w:spacing w:val="-11"/>
                <w:sz w:val="16"/>
              </w:rPr>
              <w:t>万科 </w:t>
            </w:r>
            <w:r>
              <w:rPr>
                <w:rFonts w:ascii="Times New Roman" w:eastAsia="Times New Roman"/>
                <w:sz w:val="16"/>
              </w:rPr>
              <w:t>01</w:t>
            </w:r>
          </w:p>
        </w:tc>
        <w:tc>
          <w:tcPr>
            <w:tcW w:w="770" w:type="dxa"/>
          </w:tcPr>
          <w:p>
            <w:pPr>
              <w:pStyle w:val="TableParagraph"/>
              <w:spacing w:before="13"/>
              <w:rPr>
                <w:rFonts w:ascii="宋体"/>
                <w:b/>
                <w:sz w:val="24"/>
              </w:rPr>
            </w:pPr>
          </w:p>
          <w:p>
            <w:pPr>
              <w:pStyle w:val="TableParagraph"/>
              <w:ind w:left="20"/>
              <w:rPr>
                <w:rFonts w:ascii="Times New Roman"/>
                <w:sz w:val="16"/>
              </w:rPr>
            </w:pPr>
            <w:r>
              <w:rPr>
                <w:rFonts w:ascii="Times New Roman"/>
                <w:sz w:val="16"/>
              </w:rPr>
              <w:t>112546</w:t>
            </w:r>
          </w:p>
        </w:tc>
        <w:tc>
          <w:tcPr>
            <w:tcW w:w="1023" w:type="dxa"/>
          </w:tcPr>
          <w:p>
            <w:pPr>
              <w:pStyle w:val="TableParagraph"/>
              <w:spacing w:line="216" w:lineRule="exact" w:before="81"/>
              <w:ind w:left="20"/>
              <w:rPr>
                <w:rFonts w:ascii="宋体" w:eastAsia="宋体" w:hint="eastAsia"/>
                <w:sz w:val="16"/>
              </w:rPr>
            </w:pPr>
            <w:r>
              <w:rPr>
                <w:rFonts w:ascii="Times New Roman" w:eastAsia="Times New Roman"/>
                <w:sz w:val="16"/>
              </w:rPr>
              <w:t>2017 </w:t>
            </w:r>
            <w:r>
              <w:rPr>
                <w:rFonts w:ascii="宋体" w:eastAsia="宋体" w:hint="eastAsia"/>
                <w:sz w:val="16"/>
              </w:rPr>
              <w:t>年 </w:t>
            </w:r>
            <w:r>
              <w:rPr>
                <w:rFonts w:ascii="Times New Roman" w:eastAsia="Times New Roman"/>
                <w:sz w:val="16"/>
              </w:rPr>
              <w:t>7 </w:t>
            </w:r>
            <w:r>
              <w:rPr>
                <w:rFonts w:ascii="宋体" w:eastAsia="宋体" w:hint="eastAsia"/>
                <w:sz w:val="16"/>
              </w:rPr>
              <w:t>月</w:t>
            </w:r>
          </w:p>
          <w:p>
            <w:pPr>
              <w:pStyle w:val="TableParagraph"/>
              <w:spacing w:line="210" w:lineRule="exact"/>
              <w:ind w:left="20"/>
              <w:rPr>
                <w:rFonts w:ascii="Times New Roman" w:eastAsia="Times New Roman"/>
                <w:sz w:val="16"/>
              </w:rPr>
            </w:pPr>
            <w:r>
              <w:rPr>
                <w:rFonts w:ascii="Times New Roman" w:eastAsia="Times New Roman"/>
                <w:sz w:val="16"/>
              </w:rPr>
              <w:t>14 </w:t>
            </w:r>
            <w:r>
              <w:rPr>
                <w:rFonts w:ascii="宋体" w:eastAsia="宋体" w:hint="eastAsia"/>
                <w:sz w:val="16"/>
              </w:rPr>
              <w:t>日至 </w:t>
            </w:r>
            <w:r>
              <w:rPr>
                <w:rFonts w:ascii="Times New Roman" w:eastAsia="Times New Roman"/>
                <w:sz w:val="16"/>
              </w:rPr>
              <w:t>2017</w:t>
            </w:r>
          </w:p>
          <w:p>
            <w:pPr>
              <w:pStyle w:val="TableParagraph"/>
              <w:spacing w:line="216" w:lineRule="exact"/>
              <w:ind w:left="20"/>
              <w:rPr>
                <w:rFonts w:ascii="宋体" w:eastAsia="宋体" w:hint="eastAsia"/>
                <w:sz w:val="16"/>
              </w:rPr>
            </w:pPr>
            <w:r>
              <w:rPr>
                <w:rFonts w:ascii="宋体" w:eastAsia="宋体" w:hint="eastAsia"/>
                <w:sz w:val="16"/>
              </w:rPr>
              <w:t>年 </w:t>
            </w:r>
            <w:r>
              <w:rPr>
                <w:rFonts w:ascii="Times New Roman" w:eastAsia="Times New Roman"/>
                <w:sz w:val="16"/>
              </w:rPr>
              <w:t>18 </w:t>
            </w:r>
            <w:r>
              <w:rPr>
                <w:rFonts w:ascii="宋体" w:eastAsia="宋体" w:hint="eastAsia"/>
                <w:sz w:val="16"/>
              </w:rPr>
              <w:t>日</w:t>
            </w:r>
          </w:p>
        </w:tc>
        <w:tc>
          <w:tcPr>
            <w:tcW w:w="897" w:type="dxa"/>
          </w:tcPr>
          <w:p>
            <w:pPr>
              <w:pStyle w:val="TableParagraph"/>
              <w:spacing w:before="4"/>
              <w:rPr>
                <w:rFonts w:ascii="宋体"/>
                <w:b/>
                <w:sz w:val="14"/>
              </w:rPr>
            </w:pPr>
          </w:p>
          <w:p>
            <w:pPr>
              <w:pStyle w:val="TableParagraph"/>
              <w:spacing w:line="216" w:lineRule="exact"/>
              <w:ind w:left="20"/>
              <w:rPr>
                <w:rFonts w:ascii="宋体" w:eastAsia="宋体" w:hint="eastAsia"/>
                <w:sz w:val="16"/>
              </w:rPr>
            </w:pPr>
            <w:r>
              <w:rPr>
                <w:rFonts w:ascii="Times New Roman" w:eastAsia="Times New Roman"/>
                <w:sz w:val="16"/>
              </w:rPr>
              <w:t>2022 </w:t>
            </w:r>
            <w:r>
              <w:rPr>
                <w:rFonts w:ascii="宋体" w:eastAsia="宋体" w:hint="eastAsia"/>
                <w:spacing w:val="-24"/>
                <w:sz w:val="16"/>
              </w:rPr>
              <w:t>年 </w:t>
            </w:r>
            <w:r>
              <w:rPr>
                <w:rFonts w:ascii="Times New Roman" w:eastAsia="Times New Roman"/>
                <w:sz w:val="16"/>
              </w:rPr>
              <w:t>7 </w:t>
            </w:r>
            <w:r>
              <w:rPr>
                <w:rFonts w:ascii="宋体" w:eastAsia="宋体" w:hint="eastAsia"/>
                <w:sz w:val="16"/>
              </w:rPr>
              <w:t>月</w:t>
            </w:r>
          </w:p>
          <w:p>
            <w:pPr>
              <w:pStyle w:val="TableParagraph"/>
              <w:spacing w:line="216" w:lineRule="exact"/>
              <w:ind w:left="20"/>
              <w:rPr>
                <w:rFonts w:ascii="宋体" w:eastAsia="宋体" w:hint="eastAsia"/>
                <w:sz w:val="16"/>
              </w:rPr>
            </w:pPr>
            <w:r>
              <w:rPr>
                <w:rFonts w:ascii="Times New Roman" w:eastAsia="Times New Roman"/>
                <w:sz w:val="16"/>
              </w:rPr>
              <w:t>18 </w:t>
            </w:r>
            <w:r>
              <w:rPr>
                <w:rFonts w:ascii="宋体" w:eastAsia="宋体" w:hint="eastAsia"/>
                <w:sz w:val="16"/>
              </w:rPr>
              <w:t>日</w:t>
            </w:r>
          </w:p>
        </w:tc>
        <w:tc>
          <w:tcPr>
            <w:tcW w:w="1023" w:type="dxa"/>
          </w:tcPr>
          <w:p>
            <w:pPr>
              <w:pStyle w:val="TableParagraph"/>
              <w:spacing w:before="13"/>
              <w:rPr>
                <w:rFonts w:ascii="宋体"/>
                <w:b/>
                <w:sz w:val="24"/>
              </w:rPr>
            </w:pPr>
          </w:p>
          <w:p>
            <w:pPr>
              <w:pStyle w:val="TableParagraph"/>
              <w:ind w:right="15"/>
              <w:jc w:val="right"/>
              <w:rPr>
                <w:rFonts w:ascii="Times New Roman"/>
                <w:sz w:val="16"/>
              </w:rPr>
            </w:pPr>
            <w:r>
              <w:rPr>
                <w:rFonts w:ascii="Times New Roman"/>
                <w:sz w:val="16"/>
              </w:rPr>
              <w:t>300,000</w:t>
            </w:r>
          </w:p>
        </w:tc>
        <w:tc>
          <w:tcPr>
            <w:tcW w:w="769" w:type="dxa"/>
          </w:tcPr>
          <w:p>
            <w:pPr>
              <w:pStyle w:val="TableParagraph"/>
              <w:spacing w:before="13"/>
              <w:rPr>
                <w:rFonts w:ascii="宋体"/>
                <w:b/>
                <w:sz w:val="24"/>
              </w:rPr>
            </w:pPr>
          </w:p>
          <w:p>
            <w:pPr>
              <w:pStyle w:val="TableParagraph"/>
              <w:ind w:right="17"/>
              <w:jc w:val="right"/>
              <w:rPr>
                <w:rFonts w:ascii="Times New Roman"/>
                <w:sz w:val="16"/>
              </w:rPr>
            </w:pPr>
            <w:r>
              <w:rPr>
                <w:rFonts w:ascii="Times New Roman"/>
                <w:sz w:val="16"/>
              </w:rPr>
              <w:t>4.50%</w:t>
            </w:r>
          </w:p>
        </w:tc>
        <w:tc>
          <w:tcPr>
            <w:tcW w:w="2141" w:type="dxa"/>
            <w:vMerge/>
            <w:tcBorders>
              <w:top w:val="nil"/>
            </w:tcBorders>
          </w:tcPr>
          <w:p>
            <w:pPr>
              <w:rPr>
                <w:sz w:val="2"/>
                <w:szCs w:val="2"/>
              </w:rPr>
            </w:pPr>
          </w:p>
        </w:tc>
      </w:tr>
      <w:tr>
        <w:trPr>
          <w:trHeight w:val="840" w:hRule="atLeast"/>
        </w:trPr>
        <w:tc>
          <w:tcPr>
            <w:tcW w:w="1081" w:type="dxa"/>
          </w:tcPr>
          <w:p>
            <w:pPr>
              <w:pStyle w:val="TableParagraph"/>
              <w:spacing w:line="186" w:lineRule="exact"/>
              <w:ind w:left="20"/>
              <w:rPr>
                <w:rFonts w:ascii="宋体" w:eastAsia="宋体" w:hint="eastAsia"/>
                <w:sz w:val="16"/>
              </w:rPr>
            </w:pPr>
            <w:r>
              <w:rPr>
                <w:rFonts w:ascii="宋体" w:eastAsia="宋体" w:hint="eastAsia"/>
                <w:sz w:val="16"/>
              </w:rPr>
              <w:t>万科企业股份</w:t>
            </w:r>
          </w:p>
          <w:p>
            <w:pPr>
              <w:pStyle w:val="TableParagraph"/>
              <w:ind w:left="20"/>
              <w:rPr>
                <w:rFonts w:ascii="宋体" w:eastAsia="宋体" w:hint="eastAsia"/>
                <w:sz w:val="16"/>
              </w:rPr>
            </w:pPr>
            <w:r>
              <w:rPr>
                <w:rFonts w:ascii="宋体" w:eastAsia="宋体" w:hint="eastAsia"/>
                <w:sz w:val="16"/>
              </w:rPr>
              <w:t>有限公司</w:t>
            </w:r>
          </w:p>
          <w:p>
            <w:pPr>
              <w:pStyle w:val="TableParagraph"/>
              <w:spacing w:line="228" w:lineRule="auto" w:before="11"/>
              <w:ind w:left="20" w:right="31"/>
              <w:rPr>
                <w:rFonts w:ascii="宋体" w:eastAsia="宋体" w:hint="eastAsia"/>
                <w:sz w:val="16"/>
              </w:rPr>
            </w:pPr>
            <w:r>
              <w:rPr>
                <w:rFonts w:ascii="Times New Roman" w:eastAsia="Times New Roman"/>
                <w:sz w:val="16"/>
              </w:rPr>
              <w:t>2017 </w:t>
            </w:r>
            <w:r>
              <w:rPr>
                <w:rFonts w:ascii="宋体" w:eastAsia="宋体" w:hint="eastAsia"/>
                <w:sz w:val="16"/>
              </w:rPr>
              <w:t>年公司债券（第二期）</w:t>
            </w:r>
          </w:p>
        </w:tc>
        <w:tc>
          <w:tcPr>
            <w:tcW w:w="936" w:type="dxa"/>
          </w:tcPr>
          <w:p>
            <w:pPr>
              <w:pStyle w:val="TableParagraph"/>
              <w:spacing w:before="3"/>
              <w:rPr>
                <w:rFonts w:ascii="宋体"/>
                <w:b/>
                <w:sz w:val="22"/>
              </w:rPr>
            </w:pPr>
          </w:p>
          <w:p>
            <w:pPr>
              <w:pStyle w:val="TableParagraph"/>
              <w:ind w:right="177"/>
              <w:jc w:val="right"/>
              <w:rPr>
                <w:rFonts w:ascii="Times New Roman" w:eastAsia="Times New Roman"/>
                <w:sz w:val="16"/>
              </w:rPr>
            </w:pPr>
            <w:r>
              <w:rPr>
                <w:rFonts w:ascii="Times New Roman" w:eastAsia="Times New Roman"/>
                <w:sz w:val="16"/>
              </w:rPr>
              <w:t>17 </w:t>
            </w:r>
            <w:r>
              <w:rPr>
                <w:rFonts w:ascii="宋体" w:eastAsia="宋体" w:hint="eastAsia"/>
                <w:spacing w:val="-11"/>
                <w:sz w:val="16"/>
              </w:rPr>
              <w:t>万科 </w:t>
            </w:r>
            <w:r>
              <w:rPr>
                <w:rFonts w:ascii="Times New Roman" w:eastAsia="Times New Roman"/>
                <w:sz w:val="16"/>
              </w:rPr>
              <w:t>02</w:t>
            </w:r>
          </w:p>
        </w:tc>
        <w:tc>
          <w:tcPr>
            <w:tcW w:w="770" w:type="dxa"/>
          </w:tcPr>
          <w:p>
            <w:pPr>
              <w:pStyle w:val="TableParagraph"/>
              <w:spacing w:before="12"/>
              <w:rPr>
                <w:rFonts w:ascii="宋体"/>
                <w:b/>
                <w:sz w:val="24"/>
              </w:rPr>
            </w:pPr>
          </w:p>
          <w:p>
            <w:pPr>
              <w:pStyle w:val="TableParagraph"/>
              <w:ind w:left="20"/>
              <w:rPr>
                <w:rFonts w:ascii="Times New Roman"/>
                <w:sz w:val="16"/>
              </w:rPr>
            </w:pPr>
            <w:r>
              <w:rPr>
                <w:rFonts w:ascii="Times New Roman"/>
                <w:sz w:val="16"/>
              </w:rPr>
              <w:t>112561</w:t>
            </w:r>
          </w:p>
        </w:tc>
        <w:tc>
          <w:tcPr>
            <w:tcW w:w="1023" w:type="dxa"/>
          </w:tcPr>
          <w:p>
            <w:pPr>
              <w:pStyle w:val="TableParagraph"/>
              <w:spacing w:line="216" w:lineRule="exact" w:before="81"/>
              <w:ind w:left="20"/>
              <w:rPr>
                <w:rFonts w:ascii="宋体" w:eastAsia="宋体" w:hint="eastAsia"/>
                <w:sz w:val="16"/>
              </w:rPr>
            </w:pPr>
            <w:r>
              <w:rPr>
                <w:rFonts w:ascii="Times New Roman" w:eastAsia="Times New Roman"/>
                <w:sz w:val="16"/>
              </w:rPr>
              <w:t>2017 </w:t>
            </w:r>
            <w:r>
              <w:rPr>
                <w:rFonts w:ascii="宋体" w:eastAsia="宋体" w:hint="eastAsia"/>
                <w:sz w:val="16"/>
              </w:rPr>
              <w:t>年 </w:t>
            </w:r>
            <w:r>
              <w:rPr>
                <w:rFonts w:ascii="Times New Roman" w:eastAsia="Times New Roman"/>
                <w:sz w:val="16"/>
              </w:rPr>
              <w:t>8 </w:t>
            </w:r>
            <w:r>
              <w:rPr>
                <w:rFonts w:ascii="宋体" w:eastAsia="宋体" w:hint="eastAsia"/>
                <w:sz w:val="16"/>
              </w:rPr>
              <w:t>月</w:t>
            </w:r>
          </w:p>
          <w:p>
            <w:pPr>
              <w:pStyle w:val="TableParagraph"/>
              <w:spacing w:line="211" w:lineRule="exact"/>
              <w:ind w:left="20"/>
              <w:rPr>
                <w:rFonts w:ascii="Times New Roman" w:eastAsia="Times New Roman"/>
                <w:sz w:val="16"/>
              </w:rPr>
            </w:pPr>
            <w:r>
              <w:rPr>
                <w:rFonts w:ascii="Times New Roman" w:eastAsia="Times New Roman"/>
                <w:sz w:val="16"/>
              </w:rPr>
              <w:t>3 </w:t>
            </w:r>
            <w:r>
              <w:rPr>
                <w:rFonts w:ascii="宋体" w:eastAsia="宋体" w:hint="eastAsia"/>
                <w:sz w:val="16"/>
              </w:rPr>
              <w:t>日至 </w:t>
            </w:r>
            <w:r>
              <w:rPr>
                <w:rFonts w:ascii="Times New Roman" w:eastAsia="Times New Roman"/>
                <w:sz w:val="16"/>
              </w:rPr>
              <w:t>2017</w:t>
            </w:r>
          </w:p>
          <w:p>
            <w:pPr>
              <w:pStyle w:val="TableParagraph"/>
              <w:spacing w:line="217" w:lineRule="exact"/>
              <w:ind w:left="20"/>
              <w:rPr>
                <w:rFonts w:ascii="宋体" w:eastAsia="宋体" w:hint="eastAsia"/>
                <w:sz w:val="16"/>
              </w:rPr>
            </w:pPr>
            <w:r>
              <w:rPr>
                <w:rFonts w:ascii="宋体" w:eastAsia="宋体" w:hint="eastAsia"/>
                <w:sz w:val="16"/>
              </w:rPr>
              <w:t>年 </w:t>
            </w:r>
            <w:r>
              <w:rPr>
                <w:rFonts w:ascii="Times New Roman" w:eastAsia="Times New Roman"/>
                <w:sz w:val="16"/>
              </w:rPr>
              <w:t>8 </w:t>
            </w:r>
            <w:r>
              <w:rPr>
                <w:rFonts w:ascii="宋体" w:eastAsia="宋体" w:hint="eastAsia"/>
                <w:sz w:val="16"/>
              </w:rPr>
              <w:t>月 </w:t>
            </w:r>
            <w:r>
              <w:rPr>
                <w:rFonts w:ascii="Times New Roman" w:eastAsia="Times New Roman"/>
                <w:sz w:val="16"/>
              </w:rPr>
              <w:t>4 </w:t>
            </w:r>
            <w:r>
              <w:rPr>
                <w:rFonts w:ascii="宋体" w:eastAsia="宋体" w:hint="eastAsia"/>
                <w:sz w:val="16"/>
              </w:rPr>
              <w:t>日</w:t>
            </w:r>
          </w:p>
        </w:tc>
        <w:tc>
          <w:tcPr>
            <w:tcW w:w="897" w:type="dxa"/>
          </w:tcPr>
          <w:p>
            <w:pPr>
              <w:pStyle w:val="TableParagraph"/>
              <w:spacing w:before="4"/>
              <w:rPr>
                <w:rFonts w:ascii="宋体"/>
                <w:b/>
                <w:sz w:val="14"/>
              </w:rPr>
            </w:pPr>
          </w:p>
          <w:p>
            <w:pPr>
              <w:pStyle w:val="TableParagraph"/>
              <w:spacing w:line="216" w:lineRule="exact"/>
              <w:ind w:left="20"/>
              <w:rPr>
                <w:rFonts w:ascii="宋体" w:eastAsia="宋体" w:hint="eastAsia"/>
                <w:sz w:val="16"/>
              </w:rPr>
            </w:pPr>
            <w:r>
              <w:rPr>
                <w:rFonts w:ascii="Times New Roman" w:eastAsia="Times New Roman"/>
                <w:sz w:val="16"/>
              </w:rPr>
              <w:t>2022 </w:t>
            </w:r>
            <w:r>
              <w:rPr>
                <w:rFonts w:ascii="宋体" w:eastAsia="宋体" w:hint="eastAsia"/>
                <w:spacing w:val="-24"/>
                <w:sz w:val="16"/>
              </w:rPr>
              <w:t>年 </w:t>
            </w:r>
            <w:r>
              <w:rPr>
                <w:rFonts w:ascii="Times New Roman" w:eastAsia="Times New Roman"/>
                <w:sz w:val="16"/>
              </w:rPr>
              <w:t>8 </w:t>
            </w:r>
            <w:r>
              <w:rPr>
                <w:rFonts w:ascii="宋体" w:eastAsia="宋体" w:hint="eastAsia"/>
                <w:sz w:val="16"/>
              </w:rPr>
              <w:t>月</w:t>
            </w:r>
          </w:p>
          <w:p>
            <w:pPr>
              <w:pStyle w:val="TableParagraph"/>
              <w:spacing w:line="216" w:lineRule="exact"/>
              <w:ind w:left="20"/>
              <w:rPr>
                <w:rFonts w:ascii="宋体" w:eastAsia="宋体" w:hint="eastAsia"/>
                <w:sz w:val="16"/>
              </w:rPr>
            </w:pPr>
            <w:r>
              <w:rPr>
                <w:rFonts w:ascii="Times New Roman" w:eastAsia="Times New Roman"/>
                <w:sz w:val="16"/>
              </w:rPr>
              <w:t>4 </w:t>
            </w:r>
            <w:r>
              <w:rPr>
                <w:rFonts w:ascii="宋体" w:eastAsia="宋体" w:hint="eastAsia"/>
                <w:sz w:val="16"/>
              </w:rPr>
              <w:t>日</w:t>
            </w:r>
          </w:p>
        </w:tc>
        <w:tc>
          <w:tcPr>
            <w:tcW w:w="1023" w:type="dxa"/>
          </w:tcPr>
          <w:p>
            <w:pPr>
              <w:pStyle w:val="TableParagraph"/>
              <w:spacing w:before="12"/>
              <w:rPr>
                <w:rFonts w:ascii="宋体"/>
                <w:b/>
                <w:sz w:val="24"/>
              </w:rPr>
            </w:pPr>
          </w:p>
          <w:p>
            <w:pPr>
              <w:pStyle w:val="TableParagraph"/>
              <w:ind w:right="15"/>
              <w:jc w:val="right"/>
              <w:rPr>
                <w:rFonts w:ascii="Times New Roman"/>
                <w:sz w:val="16"/>
              </w:rPr>
            </w:pPr>
            <w:r>
              <w:rPr>
                <w:rFonts w:ascii="Times New Roman"/>
                <w:sz w:val="16"/>
              </w:rPr>
              <w:t>100,000</w:t>
            </w:r>
          </w:p>
        </w:tc>
        <w:tc>
          <w:tcPr>
            <w:tcW w:w="769" w:type="dxa"/>
          </w:tcPr>
          <w:p>
            <w:pPr>
              <w:pStyle w:val="TableParagraph"/>
              <w:spacing w:before="12"/>
              <w:rPr>
                <w:rFonts w:ascii="宋体"/>
                <w:b/>
                <w:sz w:val="24"/>
              </w:rPr>
            </w:pPr>
          </w:p>
          <w:p>
            <w:pPr>
              <w:pStyle w:val="TableParagraph"/>
              <w:ind w:right="17"/>
              <w:jc w:val="right"/>
              <w:rPr>
                <w:rFonts w:ascii="Times New Roman"/>
                <w:sz w:val="16"/>
              </w:rPr>
            </w:pPr>
            <w:r>
              <w:rPr>
                <w:rFonts w:ascii="Times New Roman"/>
                <w:sz w:val="16"/>
              </w:rPr>
              <w:t>4.54%</w:t>
            </w:r>
          </w:p>
        </w:tc>
        <w:tc>
          <w:tcPr>
            <w:tcW w:w="2141" w:type="dxa"/>
            <w:vMerge/>
            <w:tcBorders>
              <w:top w:val="nil"/>
            </w:tcBorders>
          </w:tcPr>
          <w:p>
            <w:pPr>
              <w:rPr>
                <w:sz w:val="2"/>
                <w:szCs w:val="2"/>
              </w:rPr>
            </w:pPr>
          </w:p>
        </w:tc>
      </w:tr>
      <w:tr>
        <w:trPr>
          <w:trHeight w:val="400" w:hRule="atLeast"/>
        </w:trPr>
        <w:tc>
          <w:tcPr>
            <w:tcW w:w="2017" w:type="dxa"/>
            <w:gridSpan w:val="2"/>
          </w:tcPr>
          <w:p>
            <w:pPr>
              <w:pStyle w:val="TableParagraph"/>
              <w:spacing w:line="184" w:lineRule="exact"/>
              <w:ind w:left="20"/>
              <w:rPr>
                <w:rFonts w:ascii="宋体" w:eastAsia="宋体" w:hint="eastAsia"/>
                <w:b/>
                <w:sz w:val="16"/>
              </w:rPr>
            </w:pPr>
            <w:r>
              <w:rPr>
                <w:rFonts w:ascii="宋体" w:eastAsia="宋体" w:hint="eastAsia"/>
                <w:b/>
                <w:sz w:val="16"/>
              </w:rPr>
              <w:t>公司债券上市或转让的交易</w:t>
            </w:r>
          </w:p>
          <w:p>
            <w:pPr>
              <w:pStyle w:val="TableParagraph"/>
              <w:ind w:left="20"/>
              <w:rPr>
                <w:rFonts w:ascii="宋体" w:eastAsia="宋体" w:hint="eastAsia"/>
                <w:b/>
                <w:sz w:val="16"/>
              </w:rPr>
            </w:pPr>
            <w:r>
              <w:rPr>
                <w:rFonts w:ascii="宋体" w:eastAsia="宋体" w:hint="eastAsia"/>
                <w:b/>
                <w:sz w:val="16"/>
              </w:rPr>
              <w:t>场所</w:t>
            </w:r>
          </w:p>
        </w:tc>
        <w:tc>
          <w:tcPr>
            <w:tcW w:w="6622" w:type="dxa"/>
            <w:gridSpan w:val="6"/>
          </w:tcPr>
          <w:p>
            <w:pPr>
              <w:pStyle w:val="TableParagraph"/>
              <w:spacing w:before="79"/>
              <w:ind w:left="20"/>
              <w:rPr>
                <w:rFonts w:ascii="宋体" w:eastAsia="宋体" w:hint="eastAsia"/>
                <w:sz w:val="16"/>
              </w:rPr>
            </w:pPr>
            <w:r>
              <w:rPr>
                <w:rFonts w:ascii="宋体" w:eastAsia="宋体" w:hint="eastAsia"/>
                <w:sz w:val="16"/>
              </w:rPr>
              <w:t>深交所</w:t>
            </w:r>
          </w:p>
        </w:tc>
      </w:tr>
      <w:tr>
        <w:trPr>
          <w:trHeight w:val="420" w:hRule="atLeast"/>
        </w:trPr>
        <w:tc>
          <w:tcPr>
            <w:tcW w:w="2017" w:type="dxa"/>
            <w:gridSpan w:val="2"/>
          </w:tcPr>
          <w:p>
            <w:pPr>
              <w:pStyle w:val="TableParagraph"/>
              <w:spacing w:before="81"/>
              <w:ind w:left="20"/>
              <w:rPr>
                <w:rFonts w:ascii="宋体" w:eastAsia="宋体" w:hint="eastAsia"/>
                <w:b/>
                <w:sz w:val="16"/>
              </w:rPr>
            </w:pPr>
            <w:r>
              <w:rPr>
                <w:rFonts w:ascii="宋体" w:eastAsia="宋体" w:hint="eastAsia"/>
                <w:b/>
                <w:sz w:val="16"/>
              </w:rPr>
              <w:t>投资者适当性安排</w:t>
            </w:r>
          </w:p>
        </w:tc>
        <w:tc>
          <w:tcPr>
            <w:tcW w:w="6622" w:type="dxa"/>
            <w:gridSpan w:val="6"/>
          </w:tcPr>
          <w:p>
            <w:pPr>
              <w:pStyle w:val="TableParagraph"/>
              <w:spacing w:line="184" w:lineRule="exact"/>
              <w:ind w:left="20"/>
              <w:rPr>
                <w:rFonts w:ascii="宋体" w:eastAsia="宋体" w:hint="eastAsia"/>
                <w:sz w:val="16"/>
              </w:rPr>
            </w:pPr>
            <w:r>
              <w:rPr>
                <w:rFonts w:ascii="宋体" w:eastAsia="宋体" w:hint="eastAsia"/>
                <w:sz w:val="16"/>
              </w:rPr>
              <w:t>公司债券面向符合《公司债券发行与交易管理办法》规定且在中国证券登记结算有限责任公</w:t>
            </w:r>
          </w:p>
          <w:p>
            <w:pPr>
              <w:pStyle w:val="TableParagraph"/>
              <w:spacing w:line="214" w:lineRule="exact" w:before="3"/>
              <w:ind w:left="20"/>
              <w:rPr>
                <w:rFonts w:ascii="宋体" w:eastAsia="宋体" w:hint="eastAsia"/>
                <w:sz w:val="16"/>
              </w:rPr>
            </w:pPr>
            <w:r>
              <w:rPr>
                <w:rFonts w:ascii="宋体" w:eastAsia="宋体" w:hint="eastAsia"/>
                <w:sz w:val="16"/>
              </w:rPr>
              <w:t>司深圳分公司开立合格 </w:t>
            </w:r>
            <w:r>
              <w:rPr>
                <w:rFonts w:ascii="Times New Roman" w:eastAsia="Times New Roman"/>
                <w:sz w:val="16"/>
              </w:rPr>
              <w:t>A </w:t>
            </w:r>
            <w:r>
              <w:rPr>
                <w:rFonts w:ascii="宋体" w:eastAsia="宋体" w:hint="eastAsia"/>
                <w:sz w:val="16"/>
              </w:rPr>
              <w:t>股证券账户的合格投资者公开发行。</w:t>
            </w:r>
          </w:p>
        </w:tc>
      </w:tr>
      <w:tr>
        <w:trPr>
          <w:trHeight w:val="420" w:hRule="atLeast"/>
        </w:trPr>
        <w:tc>
          <w:tcPr>
            <w:tcW w:w="2017" w:type="dxa"/>
            <w:gridSpan w:val="2"/>
          </w:tcPr>
          <w:p>
            <w:pPr>
              <w:pStyle w:val="TableParagraph"/>
              <w:spacing w:line="184" w:lineRule="exact"/>
              <w:ind w:left="20"/>
              <w:rPr>
                <w:rFonts w:ascii="宋体" w:eastAsia="宋体" w:hint="eastAsia"/>
                <w:b/>
                <w:sz w:val="16"/>
              </w:rPr>
            </w:pPr>
            <w:r>
              <w:rPr>
                <w:rFonts w:ascii="宋体" w:eastAsia="宋体" w:hint="eastAsia"/>
                <w:b/>
                <w:sz w:val="16"/>
              </w:rPr>
              <w:t>报告期内公司债券的付息兑</w:t>
            </w:r>
          </w:p>
          <w:p>
            <w:pPr>
              <w:pStyle w:val="TableParagraph"/>
              <w:ind w:left="20"/>
              <w:rPr>
                <w:rFonts w:ascii="宋体" w:eastAsia="宋体" w:hint="eastAsia"/>
                <w:b/>
                <w:sz w:val="16"/>
              </w:rPr>
            </w:pPr>
            <w:r>
              <w:rPr>
                <w:rFonts w:ascii="宋体" w:eastAsia="宋体" w:hint="eastAsia"/>
                <w:b/>
                <w:sz w:val="16"/>
              </w:rPr>
              <w:t>付情况</w:t>
            </w:r>
          </w:p>
        </w:tc>
        <w:tc>
          <w:tcPr>
            <w:tcW w:w="6622" w:type="dxa"/>
            <w:gridSpan w:val="6"/>
          </w:tcPr>
          <w:p>
            <w:pPr>
              <w:pStyle w:val="TableParagraph"/>
              <w:spacing w:before="81"/>
              <w:ind w:left="20"/>
              <w:rPr>
                <w:rFonts w:ascii="宋体" w:eastAsia="宋体" w:hint="eastAsia"/>
                <w:sz w:val="16"/>
              </w:rPr>
            </w:pPr>
            <w:r>
              <w:rPr>
                <w:rFonts w:ascii="宋体" w:eastAsia="宋体" w:hint="eastAsia"/>
                <w:sz w:val="16"/>
              </w:rPr>
              <w:t>按时足额付息</w:t>
            </w:r>
          </w:p>
        </w:tc>
      </w:tr>
      <w:tr>
        <w:trPr>
          <w:trHeight w:val="1040" w:hRule="atLeast"/>
        </w:trPr>
        <w:tc>
          <w:tcPr>
            <w:tcW w:w="2017" w:type="dxa"/>
            <w:gridSpan w:val="2"/>
          </w:tcPr>
          <w:p>
            <w:pPr>
              <w:pStyle w:val="TableParagraph"/>
              <w:spacing w:line="184" w:lineRule="exact"/>
              <w:ind w:left="20"/>
              <w:jc w:val="both"/>
              <w:rPr>
                <w:rFonts w:ascii="宋体" w:eastAsia="宋体" w:hint="eastAsia"/>
                <w:b/>
                <w:sz w:val="16"/>
              </w:rPr>
            </w:pPr>
            <w:r>
              <w:rPr>
                <w:rFonts w:ascii="宋体" w:eastAsia="宋体" w:hint="eastAsia"/>
                <w:b/>
                <w:sz w:val="16"/>
              </w:rPr>
              <w:t>公司债券附发行人或投资者</w:t>
            </w:r>
          </w:p>
          <w:p>
            <w:pPr>
              <w:pStyle w:val="TableParagraph"/>
              <w:spacing w:line="242" w:lineRule="auto"/>
              <w:ind w:left="20" w:right="26"/>
              <w:jc w:val="both"/>
              <w:rPr>
                <w:rFonts w:ascii="宋体" w:eastAsia="宋体" w:hint="eastAsia"/>
                <w:b/>
                <w:sz w:val="16"/>
              </w:rPr>
            </w:pPr>
            <w:r>
              <w:rPr>
                <w:rFonts w:ascii="宋体" w:eastAsia="宋体" w:hint="eastAsia"/>
                <w:b/>
                <w:sz w:val="16"/>
              </w:rPr>
              <w:t>选择权条款、可交换条款等特殊条款的，报告期内相关条款的执行情况（如适</w:t>
            </w:r>
          </w:p>
          <w:p>
            <w:pPr>
              <w:pStyle w:val="TableParagraph"/>
              <w:spacing w:line="209" w:lineRule="exact"/>
              <w:ind w:left="20"/>
              <w:jc w:val="both"/>
              <w:rPr>
                <w:rFonts w:ascii="宋体" w:eastAsia="宋体" w:hint="eastAsia"/>
                <w:b/>
                <w:sz w:val="16"/>
              </w:rPr>
            </w:pPr>
            <w:r>
              <w:rPr>
                <w:rFonts w:ascii="宋体" w:eastAsia="宋体" w:hint="eastAsia"/>
                <w:b/>
                <w:sz w:val="16"/>
              </w:rPr>
              <w:t>用）。</w:t>
            </w:r>
          </w:p>
        </w:tc>
        <w:tc>
          <w:tcPr>
            <w:tcW w:w="6622" w:type="dxa"/>
            <w:gridSpan w:val="6"/>
          </w:tcPr>
          <w:p>
            <w:pPr>
              <w:pStyle w:val="TableParagraph"/>
              <w:rPr>
                <w:rFonts w:ascii="宋体"/>
                <w:b/>
                <w:sz w:val="16"/>
              </w:rPr>
            </w:pPr>
          </w:p>
          <w:p>
            <w:pPr>
              <w:pStyle w:val="TableParagraph"/>
              <w:spacing w:before="2"/>
              <w:rPr>
                <w:rFonts w:ascii="宋体"/>
                <w:b/>
                <w:sz w:val="14"/>
              </w:rPr>
            </w:pPr>
          </w:p>
          <w:p>
            <w:pPr>
              <w:pStyle w:val="TableParagraph"/>
              <w:ind w:left="20"/>
              <w:rPr>
                <w:rFonts w:ascii="宋体" w:eastAsia="宋体" w:hint="eastAsia"/>
                <w:sz w:val="16"/>
              </w:rPr>
            </w:pPr>
            <w:r>
              <w:rPr>
                <w:rFonts w:ascii="宋体" w:eastAsia="宋体" w:hint="eastAsia"/>
                <w:sz w:val="16"/>
              </w:rPr>
              <w:t>不适用</w:t>
            </w:r>
          </w:p>
        </w:tc>
      </w:tr>
    </w:tbl>
    <w:p>
      <w:pPr>
        <w:pStyle w:val="BodyText"/>
        <w:spacing w:before="6"/>
        <w:rPr>
          <w:rFonts w:ascii="宋体"/>
          <w:b/>
          <w:sz w:val="18"/>
        </w:rPr>
      </w:pPr>
    </w:p>
    <w:p>
      <w:pPr>
        <w:spacing w:before="0"/>
        <w:ind w:left="138" w:right="0" w:firstLine="0"/>
        <w:jc w:val="left"/>
        <w:rPr>
          <w:rFonts w:ascii="宋体" w:eastAsia="宋体" w:hint="eastAsia"/>
          <w:b/>
          <w:sz w:val="21"/>
        </w:rPr>
      </w:pPr>
      <w:r>
        <w:rPr>
          <w:rFonts w:ascii="宋体" w:eastAsia="宋体" w:hint="eastAsia"/>
          <w:b/>
          <w:sz w:val="21"/>
        </w:rPr>
        <w:t>二、债券受托管理人和资信评级机构信息</w:t>
      </w:r>
    </w:p>
    <w:p>
      <w:pPr>
        <w:pStyle w:val="BodyText"/>
        <w:spacing w:before="6" w:after="1"/>
        <w:rPr>
          <w:rFonts w:ascii="宋体"/>
          <w:b/>
          <w:sz w:val="23"/>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1079"/>
        <w:gridCol w:w="720"/>
        <w:gridCol w:w="362"/>
        <w:gridCol w:w="1079"/>
        <w:gridCol w:w="1079"/>
        <w:gridCol w:w="1079"/>
        <w:gridCol w:w="1079"/>
        <w:gridCol w:w="1081"/>
      </w:tblGrid>
      <w:tr>
        <w:trPr>
          <w:trHeight w:val="200" w:hRule="atLeast"/>
        </w:trPr>
        <w:tc>
          <w:tcPr>
            <w:tcW w:w="8644" w:type="dxa"/>
            <w:gridSpan w:val="9"/>
          </w:tcPr>
          <w:p>
            <w:pPr>
              <w:pStyle w:val="TableParagraph"/>
              <w:spacing w:line="184" w:lineRule="exact"/>
              <w:ind w:left="20"/>
              <w:rPr>
                <w:rFonts w:ascii="宋体" w:eastAsia="宋体" w:hint="eastAsia"/>
                <w:b/>
                <w:sz w:val="16"/>
              </w:rPr>
            </w:pPr>
            <w:r>
              <w:rPr>
                <w:rFonts w:ascii="宋体" w:eastAsia="宋体" w:hint="eastAsia"/>
                <w:b/>
                <w:sz w:val="16"/>
              </w:rPr>
              <w:t>债券受托管理人：</w:t>
            </w:r>
          </w:p>
        </w:tc>
      </w:tr>
      <w:tr>
        <w:trPr>
          <w:trHeight w:val="1040" w:hRule="atLeast"/>
        </w:trPr>
        <w:tc>
          <w:tcPr>
            <w:tcW w:w="1086" w:type="dxa"/>
          </w:tcPr>
          <w:p>
            <w:pPr>
              <w:pStyle w:val="TableParagraph"/>
              <w:rPr>
                <w:rFonts w:ascii="宋体"/>
                <w:b/>
                <w:sz w:val="16"/>
              </w:rPr>
            </w:pPr>
          </w:p>
          <w:p>
            <w:pPr>
              <w:pStyle w:val="TableParagraph"/>
              <w:spacing w:before="4"/>
              <w:rPr>
                <w:rFonts w:ascii="宋体"/>
                <w:b/>
                <w:sz w:val="14"/>
              </w:rPr>
            </w:pPr>
          </w:p>
          <w:p>
            <w:pPr>
              <w:pStyle w:val="TableParagraph"/>
              <w:spacing w:before="1"/>
              <w:ind w:left="20"/>
              <w:rPr>
                <w:rFonts w:ascii="宋体" w:eastAsia="宋体" w:hint="eastAsia"/>
                <w:b/>
                <w:sz w:val="16"/>
              </w:rPr>
            </w:pPr>
            <w:r>
              <w:rPr>
                <w:rFonts w:ascii="宋体" w:eastAsia="宋体" w:hint="eastAsia"/>
                <w:b/>
                <w:sz w:val="16"/>
              </w:rPr>
              <w:t>名称</w:t>
            </w:r>
          </w:p>
        </w:tc>
        <w:tc>
          <w:tcPr>
            <w:tcW w:w="1079" w:type="dxa"/>
          </w:tcPr>
          <w:p>
            <w:pPr>
              <w:pStyle w:val="TableParagraph"/>
              <w:spacing w:before="3"/>
              <w:rPr>
                <w:rFonts w:ascii="宋体"/>
                <w:b/>
                <w:sz w:val="22"/>
              </w:rPr>
            </w:pPr>
          </w:p>
          <w:p>
            <w:pPr>
              <w:pStyle w:val="TableParagraph"/>
              <w:ind w:left="20" w:right="68"/>
              <w:rPr>
                <w:rFonts w:ascii="宋体" w:eastAsia="宋体" w:hint="eastAsia"/>
                <w:sz w:val="16"/>
              </w:rPr>
            </w:pPr>
            <w:r>
              <w:rPr>
                <w:rFonts w:ascii="宋体" w:eastAsia="宋体" w:hint="eastAsia"/>
                <w:sz w:val="16"/>
              </w:rPr>
              <w:t>中信证券股份有限公司</w:t>
            </w:r>
          </w:p>
        </w:tc>
        <w:tc>
          <w:tcPr>
            <w:tcW w:w="1082" w:type="dxa"/>
            <w:gridSpan w:val="2"/>
          </w:tcPr>
          <w:p>
            <w:pPr>
              <w:pStyle w:val="TableParagraph"/>
              <w:rPr>
                <w:rFonts w:ascii="宋体"/>
                <w:b/>
                <w:sz w:val="16"/>
              </w:rPr>
            </w:pPr>
          </w:p>
          <w:p>
            <w:pPr>
              <w:pStyle w:val="TableParagraph"/>
              <w:spacing w:before="4"/>
              <w:rPr>
                <w:rFonts w:ascii="宋体"/>
                <w:b/>
                <w:sz w:val="14"/>
              </w:rPr>
            </w:pPr>
          </w:p>
          <w:p>
            <w:pPr>
              <w:pStyle w:val="TableParagraph"/>
              <w:spacing w:before="1"/>
              <w:ind w:left="20"/>
              <w:rPr>
                <w:rFonts w:ascii="宋体" w:eastAsia="宋体" w:hint="eastAsia"/>
                <w:b/>
                <w:sz w:val="16"/>
              </w:rPr>
            </w:pPr>
            <w:r>
              <w:rPr>
                <w:rFonts w:ascii="宋体" w:eastAsia="宋体" w:hint="eastAsia"/>
                <w:b/>
                <w:sz w:val="16"/>
              </w:rPr>
              <w:t>办公地址</w:t>
            </w:r>
          </w:p>
        </w:tc>
        <w:tc>
          <w:tcPr>
            <w:tcW w:w="1079" w:type="dxa"/>
          </w:tcPr>
          <w:p>
            <w:pPr>
              <w:pStyle w:val="TableParagraph"/>
              <w:spacing w:line="184" w:lineRule="exact"/>
              <w:ind w:left="20"/>
              <w:rPr>
                <w:rFonts w:ascii="宋体" w:eastAsia="宋体" w:hint="eastAsia"/>
                <w:sz w:val="16"/>
              </w:rPr>
            </w:pPr>
            <w:r>
              <w:rPr>
                <w:rFonts w:ascii="宋体" w:eastAsia="宋体" w:hint="eastAsia"/>
                <w:sz w:val="16"/>
              </w:rPr>
              <w:t>广东省深圳市</w:t>
            </w:r>
          </w:p>
          <w:p>
            <w:pPr>
              <w:pStyle w:val="TableParagraph"/>
              <w:spacing w:line="237" w:lineRule="auto" w:before="3"/>
              <w:ind w:left="20" w:right="70"/>
              <w:rPr>
                <w:rFonts w:ascii="宋体" w:eastAsia="宋体" w:hint="eastAsia"/>
                <w:sz w:val="16"/>
              </w:rPr>
            </w:pPr>
            <w:r>
              <w:rPr>
                <w:rFonts w:ascii="宋体" w:eastAsia="宋体" w:hint="eastAsia"/>
                <w:sz w:val="16"/>
              </w:rPr>
              <w:t>福田区中心三</w:t>
            </w:r>
            <w:r>
              <w:rPr>
                <w:rFonts w:ascii="宋体" w:eastAsia="宋体" w:hint="eastAsia"/>
                <w:spacing w:val="-17"/>
                <w:sz w:val="16"/>
              </w:rPr>
              <w:t>路 </w:t>
            </w:r>
            <w:r>
              <w:rPr>
                <w:rFonts w:ascii="Times New Roman" w:eastAsia="Times New Roman"/>
                <w:sz w:val="16"/>
              </w:rPr>
              <w:t>8</w:t>
            </w:r>
            <w:r>
              <w:rPr>
                <w:rFonts w:ascii="Times New Roman" w:eastAsia="Times New Roman"/>
                <w:spacing w:val="-5"/>
                <w:sz w:val="16"/>
              </w:rPr>
              <w:t> </w:t>
            </w:r>
            <w:r>
              <w:rPr>
                <w:rFonts w:ascii="宋体" w:eastAsia="宋体" w:hint="eastAsia"/>
                <w:sz w:val="16"/>
              </w:rPr>
              <w:t>号卓越时代广场（二 期）北座</w:t>
            </w:r>
          </w:p>
        </w:tc>
        <w:tc>
          <w:tcPr>
            <w:tcW w:w="1079" w:type="dxa"/>
          </w:tcPr>
          <w:p>
            <w:pPr>
              <w:pStyle w:val="TableParagraph"/>
              <w:rPr>
                <w:rFonts w:ascii="宋体"/>
                <w:b/>
                <w:sz w:val="16"/>
              </w:rPr>
            </w:pPr>
          </w:p>
          <w:p>
            <w:pPr>
              <w:pStyle w:val="TableParagraph"/>
              <w:spacing w:before="4"/>
              <w:rPr>
                <w:rFonts w:ascii="宋体"/>
                <w:b/>
                <w:sz w:val="14"/>
              </w:rPr>
            </w:pPr>
          </w:p>
          <w:p>
            <w:pPr>
              <w:pStyle w:val="TableParagraph"/>
              <w:spacing w:before="1"/>
              <w:ind w:left="20"/>
              <w:rPr>
                <w:rFonts w:ascii="宋体" w:eastAsia="宋体" w:hint="eastAsia"/>
                <w:b/>
                <w:sz w:val="16"/>
              </w:rPr>
            </w:pPr>
            <w:r>
              <w:rPr>
                <w:rFonts w:ascii="宋体" w:eastAsia="宋体" w:hint="eastAsia"/>
                <w:b/>
                <w:sz w:val="16"/>
              </w:rPr>
              <w:t>联系人</w:t>
            </w:r>
          </w:p>
        </w:tc>
        <w:tc>
          <w:tcPr>
            <w:tcW w:w="1079" w:type="dxa"/>
          </w:tcPr>
          <w:p>
            <w:pPr>
              <w:pStyle w:val="TableParagraph"/>
              <w:spacing w:before="3"/>
              <w:rPr>
                <w:rFonts w:ascii="宋体"/>
                <w:b/>
                <w:sz w:val="22"/>
              </w:rPr>
            </w:pPr>
          </w:p>
          <w:p>
            <w:pPr>
              <w:pStyle w:val="TableParagraph"/>
              <w:ind w:left="20" w:right="68"/>
              <w:rPr>
                <w:rFonts w:ascii="宋体" w:eastAsia="宋体" w:hint="eastAsia"/>
                <w:sz w:val="16"/>
              </w:rPr>
            </w:pPr>
            <w:r>
              <w:rPr>
                <w:rFonts w:ascii="宋体" w:eastAsia="宋体" w:hint="eastAsia"/>
                <w:sz w:val="16"/>
              </w:rPr>
              <w:t>聂磊、杨芳、朱鸽</w:t>
            </w:r>
          </w:p>
        </w:tc>
        <w:tc>
          <w:tcPr>
            <w:tcW w:w="1079" w:type="dxa"/>
          </w:tcPr>
          <w:p>
            <w:pPr>
              <w:pStyle w:val="TableParagraph"/>
              <w:rPr>
                <w:rFonts w:ascii="宋体"/>
                <w:b/>
                <w:sz w:val="16"/>
              </w:rPr>
            </w:pPr>
          </w:p>
          <w:p>
            <w:pPr>
              <w:pStyle w:val="TableParagraph"/>
              <w:spacing w:before="4"/>
              <w:rPr>
                <w:rFonts w:ascii="宋体"/>
                <w:b/>
                <w:sz w:val="14"/>
              </w:rPr>
            </w:pPr>
          </w:p>
          <w:p>
            <w:pPr>
              <w:pStyle w:val="TableParagraph"/>
              <w:spacing w:before="1"/>
              <w:ind w:left="20"/>
              <w:rPr>
                <w:rFonts w:ascii="宋体" w:eastAsia="宋体" w:hint="eastAsia"/>
                <w:b/>
                <w:sz w:val="16"/>
              </w:rPr>
            </w:pPr>
            <w:r>
              <w:rPr>
                <w:rFonts w:ascii="宋体" w:eastAsia="宋体" w:hint="eastAsia"/>
                <w:b/>
                <w:sz w:val="16"/>
              </w:rPr>
              <w:t>联系人电话</w:t>
            </w:r>
          </w:p>
        </w:tc>
        <w:tc>
          <w:tcPr>
            <w:tcW w:w="1081" w:type="dxa"/>
          </w:tcPr>
          <w:p>
            <w:pPr>
              <w:pStyle w:val="TableParagraph"/>
              <w:rPr>
                <w:rFonts w:ascii="宋体"/>
                <w:b/>
                <w:sz w:val="18"/>
              </w:rPr>
            </w:pPr>
          </w:p>
          <w:p>
            <w:pPr>
              <w:pStyle w:val="TableParagraph"/>
              <w:spacing w:before="11"/>
              <w:rPr>
                <w:rFonts w:ascii="宋体"/>
                <w:b/>
                <w:sz w:val="14"/>
              </w:rPr>
            </w:pPr>
          </w:p>
          <w:p>
            <w:pPr>
              <w:pStyle w:val="TableParagraph"/>
              <w:spacing w:before="1"/>
              <w:ind w:left="23"/>
              <w:rPr>
                <w:rFonts w:ascii="Times New Roman"/>
                <w:sz w:val="16"/>
              </w:rPr>
            </w:pPr>
            <w:r>
              <w:rPr>
                <w:rFonts w:ascii="Times New Roman"/>
                <w:sz w:val="16"/>
              </w:rPr>
              <w:t>010-60838888</w:t>
            </w:r>
          </w:p>
        </w:tc>
      </w:tr>
      <w:tr>
        <w:trPr>
          <w:trHeight w:val="200" w:hRule="atLeast"/>
        </w:trPr>
        <w:tc>
          <w:tcPr>
            <w:tcW w:w="8644" w:type="dxa"/>
            <w:gridSpan w:val="9"/>
          </w:tcPr>
          <w:p>
            <w:pPr>
              <w:pStyle w:val="TableParagraph"/>
              <w:spacing w:line="186" w:lineRule="exact"/>
              <w:ind w:left="20"/>
              <w:rPr>
                <w:rFonts w:ascii="宋体" w:eastAsia="宋体" w:hint="eastAsia"/>
                <w:b/>
                <w:sz w:val="16"/>
              </w:rPr>
            </w:pPr>
            <w:r>
              <w:rPr>
                <w:rFonts w:ascii="宋体" w:eastAsia="宋体" w:hint="eastAsia"/>
                <w:b/>
                <w:sz w:val="16"/>
              </w:rPr>
              <w:t>报告期内对公司债券进行跟踪评级的资信评级机构：</w:t>
            </w:r>
          </w:p>
        </w:tc>
      </w:tr>
      <w:tr>
        <w:trPr>
          <w:trHeight w:val="200" w:hRule="atLeast"/>
        </w:trPr>
        <w:tc>
          <w:tcPr>
            <w:tcW w:w="1086" w:type="dxa"/>
          </w:tcPr>
          <w:p>
            <w:pPr>
              <w:pStyle w:val="TableParagraph"/>
              <w:spacing w:line="184" w:lineRule="exact"/>
              <w:ind w:left="20"/>
              <w:rPr>
                <w:rFonts w:ascii="宋体" w:eastAsia="宋体" w:hint="eastAsia"/>
                <w:b/>
                <w:sz w:val="16"/>
              </w:rPr>
            </w:pPr>
            <w:r>
              <w:rPr>
                <w:rFonts w:ascii="宋体" w:eastAsia="宋体" w:hint="eastAsia"/>
                <w:b/>
                <w:sz w:val="16"/>
              </w:rPr>
              <w:t>名称</w:t>
            </w:r>
          </w:p>
        </w:tc>
        <w:tc>
          <w:tcPr>
            <w:tcW w:w="3239" w:type="dxa"/>
            <w:gridSpan w:val="4"/>
          </w:tcPr>
          <w:p>
            <w:pPr>
              <w:pStyle w:val="TableParagraph"/>
              <w:spacing w:line="184" w:lineRule="exact"/>
              <w:ind w:left="20"/>
              <w:rPr>
                <w:rFonts w:ascii="宋体" w:eastAsia="宋体" w:hint="eastAsia"/>
                <w:sz w:val="16"/>
              </w:rPr>
            </w:pPr>
            <w:r>
              <w:rPr>
                <w:rFonts w:ascii="宋体" w:eastAsia="宋体" w:hint="eastAsia"/>
                <w:sz w:val="16"/>
              </w:rPr>
              <w:t>中诚信证券评估有限公司</w:t>
            </w:r>
          </w:p>
        </w:tc>
        <w:tc>
          <w:tcPr>
            <w:tcW w:w="1079" w:type="dxa"/>
          </w:tcPr>
          <w:p>
            <w:pPr>
              <w:pStyle w:val="TableParagraph"/>
              <w:spacing w:line="184" w:lineRule="exact"/>
              <w:ind w:left="20"/>
              <w:rPr>
                <w:rFonts w:ascii="宋体" w:eastAsia="宋体" w:hint="eastAsia"/>
                <w:b/>
                <w:sz w:val="16"/>
              </w:rPr>
            </w:pPr>
            <w:r>
              <w:rPr>
                <w:rFonts w:ascii="宋体" w:eastAsia="宋体" w:hint="eastAsia"/>
                <w:b/>
                <w:sz w:val="16"/>
              </w:rPr>
              <w:t>办公地址</w:t>
            </w:r>
          </w:p>
        </w:tc>
        <w:tc>
          <w:tcPr>
            <w:tcW w:w="3239" w:type="dxa"/>
            <w:gridSpan w:val="3"/>
          </w:tcPr>
          <w:p>
            <w:pPr>
              <w:pStyle w:val="TableParagraph"/>
              <w:spacing w:line="189" w:lineRule="exact"/>
              <w:ind w:left="20"/>
              <w:rPr>
                <w:rFonts w:ascii="宋体" w:eastAsia="宋体" w:hint="eastAsia"/>
                <w:sz w:val="16"/>
              </w:rPr>
            </w:pPr>
            <w:r>
              <w:rPr>
                <w:rFonts w:ascii="宋体" w:eastAsia="宋体" w:hint="eastAsia"/>
                <w:sz w:val="16"/>
              </w:rPr>
              <w:t>上海市黄浦区西藏南路 </w:t>
            </w:r>
            <w:r>
              <w:rPr>
                <w:rFonts w:ascii="Times New Roman" w:eastAsia="Times New Roman"/>
                <w:sz w:val="16"/>
              </w:rPr>
              <w:t>760 </w:t>
            </w:r>
            <w:r>
              <w:rPr>
                <w:rFonts w:ascii="宋体" w:eastAsia="宋体" w:hint="eastAsia"/>
                <w:sz w:val="16"/>
              </w:rPr>
              <w:t>号安基大厦 </w:t>
            </w:r>
            <w:r>
              <w:rPr>
                <w:rFonts w:ascii="Times New Roman" w:eastAsia="Times New Roman"/>
                <w:sz w:val="16"/>
              </w:rPr>
              <w:t>8 </w:t>
            </w:r>
            <w:r>
              <w:rPr>
                <w:rFonts w:ascii="宋体" w:eastAsia="宋体" w:hint="eastAsia"/>
                <w:sz w:val="16"/>
              </w:rPr>
              <w:t>楼</w:t>
            </w:r>
          </w:p>
        </w:tc>
      </w:tr>
      <w:tr>
        <w:trPr>
          <w:trHeight w:val="840" w:hRule="atLeast"/>
        </w:trPr>
        <w:tc>
          <w:tcPr>
            <w:tcW w:w="2884" w:type="dxa"/>
            <w:gridSpan w:val="3"/>
          </w:tcPr>
          <w:p>
            <w:pPr>
              <w:pStyle w:val="TableParagraph"/>
              <w:spacing w:line="186" w:lineRule="exact"/>
              <w:ind w:left="20"/>
              <w:rPr>
                <w:rFonts w:ascii="宋体" w:eastAsia="宋体" w:hint="eastAsia"/>
                <w:b/>
                <w:sz w:val="16"/>
              </w:rPr>
            </w:pPr>
            <w:r>
              <w:rPr>
                <w:rFonts w:ascii="宋体" w:eastAsia="宋体" w:hint="eastAsia"/>
                <w:b/>
                <w:sz w:val="16"/>
              </w:rPr>
              <w:t>报告期内公司聘请的债券受托管理人、</w:t>
            </w:r>
          </w:p>
          <w:p>
            <w:pPr>
              <w:pStyle w:val="TableParagraph"/>
              <w:ind w:left="20" w:right="103"/>
              <w:rPr>
                <w:rFonts w:ascii="宋体" w:eastAsia="宋体" w:hint="eastAsia"/>
                <w:b/>
                <w:sz w:val="16"/>
              </w:rPr>
            </w:pPr>
            <w:r>
              <w:rPr>
                <w:rFonts w:ascii="宋体" w:eastAsia="宋体" w:hint="eastAsia"/>
                <w:b/>
                <w:sz w:val="16"/>
              </w:rPr>
              <w:t>资信评级机构发生变更的，变更的原 因、履行的程序、对投资者利益的影响等（如适用）</w:t>
            </w:r>
          </w:p>
        </w:tc>
        <w:tc>
          <w:tcPr>
            <w:tcW w:w="5759" w:type="dxa"/>
            <w:gridSpan w:val="6"/>
          </w:tcPr>
          <w:p>
            <w:pPr>
              <w:pStyle w:val="TableParagraph"/>
              <w:spacing w:before="3"/>
              <w:rPr>
                <w:rFonts w:ascii="宋体"/>
                <w:b/>
                <w:sz w:val="22"/>
              </w:rPr>
            </w:pPr>
          </w:p>
          <w:p>
            <w:pPr>
              <w:pStyle w:val="TableParagraph"/>
              <w:ind w:left="20"/>
              <w:rPr>
                <w:rFonts w:ascii="宋体" w:eastAsia="宋体" w:hint="eastAsia"/>
                <w:sz w:val="16"/>
              </w:rPr>
            </w:pPr>
            <w:r>
              <w:rPr>
                <w:rFonts w:ascii="宋体" w:eastAsia="宋体" w:hint="eastAsia"/>
                <w:sz w:val="16"/>
              </w:rPr>
              <w:t>不适用</w:t>
            </w:r>
          </w:p>
        </w:tc>
      </w:tr>
    </w:tbl>
    <w:p>
      <w:pPr>
        <w:pStyle w:val="BodyText"/>
        <w:spacing w:before="6"/>
        <w:rPr>
          <w:rFonts w:ascii="宋体"/>
          <w:b/>
          <w:sz w:val="18"/>
        </w:rPr>
      </w:pPr>
    </w:p>
    <w:p>
      <w:pPr>
        <w:spacing w:before="0"/>
        <w:ind w:left="138" w:right="0" w:firstLine="0"/>
        <w:jc w:val="left"/>
        <w:rPr>
          <w:rFonts w:ascii="宋体" w:eastAsia="宋体" w:hint="eastAsia"/>
          <w:b/>
          <w:sz w:val="21"/>
        </w:rPr>
      </w:pPr>
      <w:r>
        <w:rPr>
          <w:rFonts w:ascii="宋体" w:eastAsia="宋体" w:hint="eastAsia"/>
          <w:b/>
          <w:sz w:val="21"/>
        </w:rPr>
        <w:t>三、公司债券募集资金使用情况</w:t>
      </w:r>
    </w:p>
    <w:p>
      <w:pPr>
        <w:pStyle w:val="BodyText"/>
        <w:spacing w:before="4"/>
        <w:rPr>
          <w:rFonts w:ascii="宋体"/>
          <w:b/>
          <w:sz w:val="23"/>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5759"/>
      </w:tblGrid>
      <w:tr>
        <w:trPr>
          <w:trHeight w:val="200" w:hRule="atLeast"/>
        </w:trPr>
        <w:tc>
          <w:tcPr>
            <w:tcW w:w="2880" w:type="dxa"/>
            <w:tcBorders>
              <w:bottom w:val="nil"/>
            </w:tcBorders>
          </w:tcPr>
          <w:p>
            <w:pPr>
              <w:pStyle w:val="TableParagraph"/>
              <w:rPr>
                <w:rFonts w:ascii="Times New Roman"/>
                <w:sz w:val="14"/>
              </w:rPr>
            </w:pPr>
          </w:p>
        </w:tc>
        <w:tc>
          <w:tcPr>
            <w:tcW w:w="5759" w:type="dxa"/>
            <w:tcBorders>
              <w:bottom w:val="nil"/>
            </w:tcBorders>
          </w:tcPr>
          <w:p>
            <w:pPr>
              <w:pStyle w:val="TableParagraph"/>
              <w:spacing w:line="184" w:lineRule="exact"/>
              <w:ind w:left="20"/>
              <w:rPr>
                <w:rFonts w:ascii="宋体" w:eastAsia="宋体" w:hint="eastAsia"/>
                <w:sz w:val="16"/>
              </w:rPr>
            </w:pPr>
            <w:r>
              <w:rPr>
                <w:rFonts w:ascii="宋体" w:eastAsia="宋体" w:hint="eastAsia"/>
                <w:sz w:val="16"/>
              </w:rPr>
              <w:t>公司严格按照本期债券募集说明书的约定、 《公司债券发行与交易管理办</w:t>
            </w:r>
          </w:p>
        </w:tc>
      </w:tr>
      <w:tr>
        <w:trPr>
          <w:trHeight w:val="200" w:hRule="atLeast"/>
        </w:trPr>
        <w:tc>
          <w:tcPr>
            <w:tcW w:w="2880" w:type="dxa"/>
            <w:tcBorders>
              <w:top w:val="nil"/>
              <w:bottom w:val="nil"/>
            </w:tcBorders>
          </w:tcPr>
          <w:p>
            <w:pPr>
              <w:pStyle w:val="TableParagraph"/>
              <w:spacing w:line="189" w:lineRule="exact"/>
              <w:ind w:left="20"/>
              <w:rPr>
                <w:rFonts w:ascii="宋体" w:eastAsia="宋体" w:hint="eastAsia"/>
                <w:b/>
                <w:sz w:val="16"/>
              </w:rPr>
            </w:pPr>
            <w:r>
              <w:rPr>
                <w:rFonts w:ascii="宋体" w:eastAsia="宋体" w:hint="eastAsia"/>
                <w:b/>
                <w:sz w:val="16"/>
              </w:rPr>
              <w:t>公司债券募集资金使用情况及履行的程</w:t>
            </w:r>
          </w:p>
        </w:tc>
        <w:tc>
          <w:tcPr>
            <w:tcW w:w="5759" w:type="dxa"/>
            <w:tcBorders>
              <w:top w:val="nil"/>
              <w:bottom w:val="nil"/>
            </w:tcBorders>
          </w:tcPr>
          <w:p>
            <w:pPr>
              <w:pStyle w:val="TableParagraph"/>
              <w:spacing w:line="200" w:lineRule="exact"/>
              <w:ind w:left="20"/>
              <w:rPr>
                <w:rFonts w:ascii="宋体" w:hAnsi="宋体" w:eastAsia="宋体" w:hint="eastAsia"/>
                <w:sz w:val="16"/>
              </w:rPr>
            </w:pPr>
            <w:r>
              <w:rPr>
                <w:rFonts w:ascii="宋体" w:hAnsi="宋体" w:eastAsia="宋体" w:hint="eastAsia"/>
                <w:sz w:val="16"/>
              </w:rPr>
              <w:t>法》、《上市公司证券发行管理办法》、《上市公司监管指引第 </w:t>
            </w:r>
            <w:r>
              <w:rPr>
                <w:rFonts w:ascii="Times New Roman" w:hAnsi="Times New Roman" w:eastAsia="Times New Roman"/>
                <w:sz w:val="16"/>
              </w:rPr>
              <w:t>2 </w:t>
            </w:r>
            <w:r>
              <w:rPr>
                <w:rFonts w:ascii="宋体" w:hAnsi="宋体" w:eastAsia="宋体" w:hint="eastAsia"/>
                <w:sz w:val="16"/>
              </w:rPr>
              <w:t>号——上市公</w:t>
            </w:r>
          </w:p>
        </w:tc>
      </w:tr>
      <w:tr>
        <w:trPr>
          <w:trHeight w:val="200" w:hRule="atLeast"/>
        </w:trPr>
        <w:tc>
          <w:tcPr>
            <w:tcW w:w="2880" w:type="dxa"/>
            <w:tcBorders>
              <w:top w:val="nil"/>
              <w:bottom w:val="nil"/>
            </w:tcBorders>
          </w:tcPr>
          <w:p>
            <w:pPr>
              <w:pStyle w:val="TableParagraph"/>
              <w:spacing w:line="181" w:lineRule="exact"/>
              <w:ind w:left="20"/>
              <w:rPr>
                <w:rFonts w:ascii="宋体" w:eastAsia="宋体" w:hint="eastAsia"/>
                <w:b/>
                <w:sz w:val="16"/>
              </w:rPr>
            </w:pPr>
            <w:r>
              <w:rPr>
                <w:rFonts w:ascii="宋体" w:eastAsia="宋体" w:hint="eastAsia"/>
                <w:b/>
                <w:w w:val="101"/>
                <w:sz w:val="16"/>
              </w:rPr>
              <w:t>序</w:t>
            </w:r>
          </w:p>
        </w:tc>
        <w:tc>
          <w:tcPr>
            <w:tcW w:w="5759" w:type="dxa"/>
            <w:tcBorders>
              <w:top w:val="nil"/>
              <w:bottom w:val="nil"/>
            </w:tcBorders>
          </w:tcPr>
          <w:p>
            <w:pPr>
              <w:pStyle w:val="TableParagraph"/>
              <w:spacing w:line="181" w:lineRule="exact"/>
              <w:ind w:left="20"/>
              <w:rPr>
                <w:rFonts w:ascii="宋体" w:eastAsia="宋体" w:hint="eastAsia"/>
                <w:sz w:val="16"/>
              </w:rPr>
            </w:pPr>
            <w:r>
              <w:rPr>
                <w:rFonts w:ascii="宋体" w:eastAsia="宋体" w:hint="eastAsia"/>
                <w:sz w:val="16"/>
              </w:rPr>
              <w:t>司募集资金管理和使用的监管要求》、《深圳证券交易所股票上市规则》、《深</w:t>
            </w:r>
          </w:p>
        </w:tc>
      </w:tr>
      <w:tr>
        <w:trPr>
          <w:trHeight w:val="200" w:hRule="atLeast"/>
        </w:trPr>
        <w:tc>
          <w:tcPr>
            <w:tcW w:w="2880" w:type="dxa"/>
            <w:tcBorders>
              <w:top w:val="nil"/>
            </w:tcBorders>
          </w:tcPr>
          <w:p>
            <w:pPr>
              <w:pStyle w:val="TableParagraph"/>
              <w:rPr>
                <w:rFonts w:ascii="Times New Roman"/>
                <w:sz w:val="14"/>
              </w:rPr>
            </w:pPr>
          </w:p>
        </w:tc>
        <w:tc>
          <w:tcPr>
            <w:tcW w:w="5759" w:type="dxa"/>
            <w:tcBorders>
              <w:top w:val="nil"/>
            </w:tcBorders>
          </w:tcPr>
          <w:p>
            <w:pPr>
              <w:pStyle w:val="TableParagraph"/>
              <w:spacing w:line="186" w:lineRule="exact"/>
              <w:ind w:left="20"/>
              <w:rPr>
                <w:rFonts w:ascii="宋体" w:eastAsia="宋体" w:hint="eastAsia"/>
                <w:sz w:val="16"/>
              </w:rPr>
            </w:pPr>
            <w:r>
              <w:rPr>
                <w:rFonts w:ascii="宋体" w:eastAsia="宋体" w:hint="eastAsia"/>
                <w:sz w:val="16"/>
              </w:rPr>
              <w:t>圳证券交易所主板上市公司规范运作指引》及《万科企业股份有限公司募集资金</w:t>
            </w:r>
          </w:p>
        </w:tc>
      </w:tr>
    </w:tbl>
    <w:p>
      <w:pPr>
        <w:pStyle w:val="BodyText"/>
        <w:spacing w:before="4"/>
        <w:rPr>
          <w:rFonts w:ascii="宋体"/>
          <w:b/>
          <w:sz w:val="19"/>
        </w:rPr>
      </w:pPr>
    </w:p>
    <w:p>
      <w:pPr>
        <w:spacing w:before="1"/>
        <w:ind w:left="3134" w:right="3134" w:firstLine="0"/>
        <w:jc w:val="center"/>
        <w:rPr>
          <w:rFonts w:ascii="Times New Roman"/>
          <w:sz w:val="16"/>
        </w:rPr>
      </w:pPr>
      <w:r>
        <w:rPr>
          <w:rFonts w:ascii="Times New Roman"/>
          <w:sz w:val="16"/>
        </w:rPr>
        <w:t>37</w:t>
      </w:r>
    </w:p>
    <w:p>
      <w:pPr>
        <w:spacing w:after="0"/>
        <w:jc w:val="center"/>
        <w:rPr>
          <w:rFonts w:ascii="Times New Roman"/>
          <w:sz w:val="16"/>
        </w:rPr>
        <w:sectPr>
          <w:pgSz w:w="11900" w:h="16840"/>
          <w:pgMar w:top="1580" w:bottom="280" w:left="1460" w:right="1460"/>
        </w:sectPr>
      </w:pPr>
    </w:p>
    <w:p>
      <w:pPr>
        <w:spacing w:line="230" w:lineRule="auto" w:before="41"/>
        <w:ind w:left="5819" w:right="168" w:firstLine="1053"/>
        <w:jc w:val="right"/>
        <w:rPr>
          <w:rFonts w:ascii="微软雅黑" w:eastAsia="微软雅黑" w:hint="eastAsia"/>
          <w:i/>
          <w:sz w:val="15"/>
        </w:rPr>
      </w:pPr>
      <w:r>
        <w:rPr>
          <w:rFonts w:ascii="微软雅黑" w:eastAsia="微软雅黑" w:hint="eastAsia"/>
          <w:i/>
          <w:spacing w:val="-2"/>
          <w:w w:val="95"/>
          <w:sz w:val="15"/>
        </w:rPr>
        <w:t>万科企业股份有限公司</w:t>
      </w:r>
      <w:r>
        <w:rPr>
          <w:rFonts w:ascii="微软雅黑" w:eastAsia="微软雅黑" w:hint="eastAsia"/>
          <w:i/>
          <w:spacing w:val="-8"/>
          <w:sz w:val="15"/>
        </w:rPr>
        <w:t>截至 </w:t>
      </w:r>
      <w:r>
        <w:rPr>
          <w:i/>
          <w:sz w:val="14"/>
        </w:rPr>
        <w:t>2017 </w:t>
      </w:r>
      <w:r>
        <w:rPr>
          <w:rFonts w:ascii="微软雅黑" w:eastAsia="微软雅黑" w:hint="eastAsia"/>
          <w:i/>
          <w:spacing w:val="-9"/>
          <w:sz w:val="15"/>
        </w:rPr>
        <w:t>年 </w:t>
      </w:r>
      <w:r>
        <w:rPr>
          <w:i/>
          <w:sz w:val="14"/>
        </w:rPr>
        <w:t>6 </w:t>
      </w:r>
      <w:r>
        <w:rPr>
          <w:rFonts w:ascii="微软雅黑" w:eastAsia="微软雅黑" w:hint="eastAsia"/>
          <w:i/>
          <w:spacing w:val="-8"/>
          <w:sz w:val="15"/>
        </w:rPr>
        <w:t>月 </w:t>
      </w:r>
      <w:r>
        <w:rPr>
          <w:i/>
          <w:sz w:val="14"/>
        </w:rPr>
        <w:t>30 </w:t>
      </w:r>
      <w:r>
        <w:rPr>
          <w:rFonts w:ascii="微软雅黑" w:eastAsia="微软雅黑" w:hint="eastAsia"/>
          <w:i/>
          <w:spacing w:val="-2"/>
          <w:sz w:val="15"/>
        </w:rPr>
        <w:t>日止期间财务报表</w:t>
      </w:r>
    </w:p>
    <w:p>
      <w:pPr>
        <w:pStyle w:val="BodyText"/>
        <w:spacing w:before="11"/>
        <w:rPr>
          <w:rFonts w:ascii="微软雅黑"/>
          <w:i/>
          <w:sz w:val="22"/>
        </w:rPr>
      </w:pPr>
    </w:p>
    <w:p>
      <w:pPr>
        <w:tabs>
          <w:tab w:pos="688" w:val="left" w:leader="none"/>
        </w:tabs>
        <w:spacing w:before="23"/>
        <w:ind w:left="177" w:right="0" w:firstLine="0"/>
        <w:jc w:val="left"/>
        <w:rPr>
          <w:rFonts w:ascii="微软雅黑" w:eastAsia="微软雅黑" w:hint="eastAsia"/>
          <w:sz w:val="19"/>
        </w:rPr>
      </w:pPr>
      <w:r>
        <w:rPr>
          <w:rFonts w:ascii="微软雅黑" w:eastAsia="微软雅黑" w:hint="eastAsia"/>
          <w:sz w:val="19"/>
        </w:rPr>
        <w:t>五</w:t>
        <w:tab/>
        <w:t>合并</w:t>
      </w:r>
      <w:r>
        <w:rPr>
          <w:rFonts w:ascii="微软雅黑" w:eastAsia="微软雅黑" w:hint="eastAsia"/>
          <w:spacing w:val="-3"/>
          <w:sz w:val="19"/>
        </w:rPr>
        <w:t>财</w:t>
      </w:r>
      <w:r>
        <w:rPr>
          <w:rFonts w:ascii="微软雅黑" w:eastAsia="微软雅黑" w:hint="eastAsia"/>
          <w:sz w:val="19"/>
        </w:rPr>
        <w:t>务</w:t>
      </w:r>
      <w:r>
        <w:rPr>
          <w:rFonts w:ascii="微软雅黑" w:eastAsia="微软雅黑" w:hint="eastAsia"/>
          <w:spacing w:val="-3"/>
          <w:sz w:val="19"/>
        </w:rPr>
        <w:t>报</w:t>
      </w:r>
      <w:r>
        <w:rPr>
          <w:rFonts w:ascii="微软雅黑" w:eastAsia="微软雅黑" w:hint="eastAsia"/>
          <w:sz w:val="19"/>
        </w:rPr>
        <w:t>表</w:t>
      </w:r>
      <w:r>
        <w:rPr>
          <w:rFonts w:ascii="微软雅黑" w:eastAsia="微软雅黑" w:hint="eastAsia"/>
          <w:spacing w:val="-3"/>
          <w:sz w:val="19"/>
        </w:rPr>
        <w:t>项</w:t>
      </w:r>
      <w:r>
        <w:rPr>
          <w:rFonts w:ascii="微软雅黑" w:eastAsia="微软雅黑" w:hint="eastAsia"/>
          <w:sz w:val="19"/>
        </w:rPr>
        <w:t>目</w:t>
      </w:r>
      <w:r>
        <w:rPr>
          <w:rFonts w:ascii="微软雅黑" w:eastAsia="微软雅黑" w:hint="eastAsia"/>
          <w:spacing w:val="-3"/>
          <w:sz w:val="19"/>
        </w:rPr>
        <w:t>附</w:t>
      </w:r>
      <w:r>
        <w:rPr>
          <w:rFonts w:ascii="微软雅黑" w:eastAsia="微软雅黑" w:hint="eastAsia"/>
          <w:sz w:val="19"/>
        </w:rPr>
        <w:t>注</w:t>
      </w:r>
    </w:p>
    <w:p>
      <w:pPr>
        <w:pStyle w:val="ListParagraph"/>
        <w:numPr>
          <w:ilvl w:val="0"/>
          <w:numId w:val="1"/>
        </w:numPr>
        <w:tabs>
          <w:tab w:pos="688" w:val="left" w:leader="none"/>
          <w:tab w:pos="689" w:val="left" w:leader="none"/>
        </w:tabs>
        <w:spacing w:line="240" w:lineRule="auto" w:before="213" w:after="0"/>
        <w:ind w:left="688" w:right="0" w:hanging="511"/>
        <w:jc w:val="left"/>
        <w:rPr>
          <w:sz w:val="19"/>
        </w:rPr>
      </w:pPr>
      <w:r>
        <w:rPr>
          <w:spacing w:val="-1"/>
          <w:sz w:val="19"/>
        </w:rPr>
        <w:t>货币资金</w:t>
      </w:r>
    </w:p>
    <w:p>
      <w:pPr>
        <w:pStyle w:val="BodyText"/>
        <w:spacing w:before="2"/>
        <w:rPr>
          <w:rFonts w:ascii="微软雅黑"/>
          <w:sz w:val="12"/>
        </w:rPr>
      </w:pPr>
    </w:p>
    <w:p>
      <w:pPr>
        <w:spacing w:before="23"/>
        <w:ind w:left="5034" w:right="0" w:firstLine="0"/>
        <w:jc w:val="left"/>
        <w:rPr>
          <w:rFonts w:ascii="微软雅黑" w:eastAsia="微软雅黑" w:hint="eastAsia"/>
          <w:sz w:val="19"/>
        </w:rPr>
      </w:pPr>
      <w:r>
        <w:rPr>
          <w:sz w:val="19"/>
          <w:u w:val="single"/>
        </w:rPr>
        <w:t>2017 </w:t>
      </w:r>
      <w:r>
        <w:rPr>
          <w:rFonts w:ascii="微软雅黑" w:eastAsia="微软雅黑" w:hint="eastAsia"/>
          <w:sz w:val="19"/>
          <w:u w:val="single"/>
        </w:rPr>
        <w:t>年 </w:t>
      </w:r>
      <w:r>
        <w:rPr>
          <w:sz w:val="19"/>
          <w:u w:val="single"/>
        </w:rPr>
        <w:t>6 </w:t>
      </w:r>
      <w:r>
        <w:rPr>
          <w:rFonts w:ascii="微软雅黑" w:eastAsia="微软雅黑" w:hint="eastAsia"/>
          <w:sz w:val="19"/>
          <w:u w:val="single"/>
        </w:rPr>
        <w:t>月 </w:t>
      </w:r>
      <w:r>
        <w:rPr>
          <w:sz w:val="19"/>
          <w:u w:val="single"/>
        </w:rPr>
        <w:t>30 </w:t>
      </w:r>
      <w:r>
        <w:rPr>
          <w:rFonts w:ascii="微软雅黑" w:eastAsia="微软雅黑" w:hint="eastAsia"/>
          <w:sz w:val="19"/>
          <w:u w:val="single"/>
        </w:rPr>
        <w:t>日</w:t>
      </w:r>
      <w:r>
        <w:rPr>
          <w:rFonts w:ascii="微软雅黑" w:eastAsia="微软雅黑" w:hint="eastAsia"/>
          <w:sz w:val="19"/>
        </w:rPr>
        <w:t> </w:t>
      </w:r>
      <w:r>
        <w:rPr>
          <w:sz w:val="19"/>
          <w:u w:val="single"/>
        </w:rPr>
        <w:t>2016 </w:t>
      </w:r>
      <w:r>
        <w:rPr>
          <w:rFonts w:ascii="微软雅黑" w:eastAsia="微软雅黑" w:hint="eastAsia"/>
          <w:sz w:val="19"/>
          <w:u w:val="single"/>
        </w:rPr>
        <w:t>年 </w:t>
      </w:r>
      <w:r>
        <w:rPr>
          <w:sz w:val="19"/>
          <w:u w:val="single"/>
        </w:rPr>
        <w:t>12 </w:t>
      </w:r>
      <w:r>
        <w:rPr>
          <w:rFonts w:ascii="微软雅黑" w:eastAsia="微软雅黑" w:hint="eastAsia"/>
          <w:sz w:val="19"/>
          <w:u w:val="single"/>
        </w:rPr>
        <w:t>月 </w:t>
      </w:r>
      <w:r>
        <w:rPr>
          <w:sz w:val="19"/>
          <w:u w:val="single"/>
        </w:rPr>
        <w:t>31 </w:t>
      </w:r>
      <w:r>
        <w:rPr>
          <w:rFonts w:ascii="微软雅黑" w:eastAsia="微软雅黑" w:hint="eastAsia"/>
          <w:sz w:val="19"/>
          <w:u w:val="single"/>
        </w:rPr>
        <w:t>日</w:t>
      </w:r>
    </w:p>
    <w:p>
      <w:pPr>
        <w:pStyle w:val="BodyText"/>
        <w:spacing w:before="14"/>
        <w:rPr>
          <w:rFonts w:ascii="微软雅黑"/>
          <w:sz w:val="12"/>
        </w:rPr>
      </w:pPr>
    </w:p>
    <w:p>
      <w:pPr>
        <w:tabs>
          <w:tab w:pos="5439" w:val="left" w:leader="none"/>
          <w:tab w:pos="7242" w:val="left" w:leader="none"/>
        </w:tabs>
        <w:spacing w:line="348" w:lineRule="exact" w:before="27"/>
        <w:ind w:left="695" w:right="0" w:firstLine="0"/>
        <w:jc w:val="left"/>
        <w:rPr>
          <w:sz w:val="19"/>
        </w:rPr>
      </w:pPr>
      <w:r>
        <w:rPr>
          <w:rFonts w:ascii="微软雅黑" w:eastAsia="微软雅黑" w:hint="eastAsia"/>
          <w:position w:val="4"/>
          <w:sz w:val="19"/>
        </w:rPr>
        <w:t>库存</w:t>
      </w:r>
      <w:r>
        <w:rPr>
          <w:rFonts w:ascii="微软雅黑" w:eastAsia="微软雅黑" w:hint="eastAsia"/>
          <w:spacing w:val="-3"/>
          <w:position w:val="4"/>
          <w:sz w:val="19"/>
        </w:rPr>
        <w:t>现</w:t>
      </w:r>
      <w:r>
        <w:rPr>
          <w:rFonts w:ascii="微软雅黑" w:eastAsia="微软雅黑" w:hint="eastAsia"/>
          <w:position w:val="4"/>
          <w:sz w:val="19"/>
        </w:rPr>
        <w:t>金</w:t>
        <w:tab/>
      </w:r>
      <w:r>
        <w:rPr>
          <w:sz w:val="19"/>
        </w:rPr>
        <w:t>2,642,520.35</w:t>
        <w:tab/>
        <w:t>4,051,189.15</w:t>
      </w:r>
    </w:p>
    <w:p>
      <w:pPr>
        <w:tabs>
          <w:tab w:pos="4863" w:val="left" w:leader="none"/>
          <w:tab w:pos="6767" w:val="left" w:leader="none"/>
        </w:tabs>
        <w:spacing w:line="338" w:lineRule="exact" w:before="0"/>
        <w:ind w:left="695" w:right="0" w:firstLine="0"/>
        <w:jc w:val="left"/>
        <w:rPr>
          <w:sz w:val="19"/>
        </w:rPr>
      </w:pPr>
      <w:r>
        <w:rPr>
          <w:rFonts w:ascii="微软雅黑" w:eastAsia="微软雅黑" w:hint="eastAsia"/>
          <w:position w:val="4"/>
          <w:sz w:val="19"/>
        </w:rPr>
        <w:t>银行</w:t>
      </w:r>
      <w:r>
        <w:rPr>
          <w:rFonts w:ascii="微软雅黑" w:eastAsia="微软雅黑" w:hint="eastAsia"/>
          <w:spacing w:val="-3"/>
          <w:position w:val="4"/>
          <w:sz w:val="19"/>
        </w:rPr>
        <w:t>存</w:t>
      </w:r>
      <w:r>
        <w:rPr>
          <w:rFonts w:ascii="微软雅黑" w:eastAsia="微软雅黑" w:hint="eastAsia"/>
          <w:position w:val="4"/>
          <w:sz w:val="19"/>
        </w:rPr>
        <w:t>款</w:t>
        <w:tab/>
      </w:r>
      <w:r>
        <w:rPr>
          <w:sz w:val="19"/>
        </w:rPr>
        <w:t>107,496,428,530.84</w:t>
        <w:tab/>
        <w:t>86,954,643,593.51</w:t>
      </w:r>
    </w:p>
    <w:p>
      <w:pPr>
        <w:tabs>
          <w:tab w:pos="5333" w:val="left" w:leader="none"/>
          <w:tab w:pos="7136" w:val="left" w:leader="none"/>
        </w:tabs>
        <w:spacing w:line="348" w:lineRule="exact" w:before="0"/>
        <w:ind w:left="695" w:right="0" w:firstLine="0"/>
        <w:jc w:val="left"/>
        <w:rPr>
          <w:sz w:val="19"/>
        </w:rPr>
      </w:pPr>
      <w:r>
        <w:rPr/>
        <w:pict>
          <v:line style="position:absolute;mso-position-horizontal-relative:page;mso-position-vertical-relative:paragraph;z-index:1144;mso-wrap-distance-left:0;mso-wrap-distance-right:0" from="327.185486pt,20.871653pt" to="412.099266pt,20.871653pt" stroked="true" strokeweight=".541551pt" strokecolor="#000000">
            <v:stroke dashstyle="solid"/>
            <w10:wrap type="topAndBottom"/>
          </v:line>
        </w:pict>
      </w:r>
      <w:r>
        <w:rPr/>
        <w:pict>
          <v:line style="position:absolute;mso-position-horizontal-relative:page;mso-position-vertical-relative:paragraph;z-index:1168;mso-wrap-distance-left:0;mso-wrap-distance-right:0" from="417.298096pt,20.871653pt" to="502.233536pt,20.871653pt" stroked="true" strokeweight=".541551pt" strokecolor="#000000">
            <v:stroke dashstyle="solid"/>
            <w10:wrap type="topAndBottom"/>
          </v:line>
        </w:pict>
      </w:r>
      <w:r>
        <w:rPr>
          <w:rFonts w:ascii="微软雅黑" w:eastAsia="微软雅黑" w:hint="eastAsia"/>
          <w:position w:val="4"/>
          <w:sz w:val="19"/>
        </w:rPr>
        <w:t>其他</w:t>
      </w:r>
      <w:r>
        <w:rPr>
          <w:rFonts w:ascii="微软雅黑" w:eastAsia="微软雅黑" w:hint="eastAsia"/>
          <w:spacing w:val="-3"/>
          <w:position w:val="4"/>
          <w:sz w:val="19"/>
        </w:rPr>
        <w:t>货</w:t>
      </w:r>
      <w:r>
        <w:rPr>
          <w:rFonts w:ascii="微软雅黑" w:eastAsia="微软雅黑" w:hint="eastAsia"/>
          <w:position w:val="4"/>
          <w:sz w:val="19"/>
        </w:rPr>
        <w:t>币</w:t>
      </w:r>
      <w:r>
        <w:rPr>
          <w:rFonts w:ascii="微软雅黑" w:eastAsia="微软雅黑" w:hint="eastAsia"/>
          <w:spacing w:val="-3"/>
          <w:position w:val="4"/>
          <w:sz w:val="19"/>
        </w:rPr>
        <w:t>资</w:t>
      </w:r>
      <w:r>
        <w:rPr>
          <w:rFonts w:ascii="微软雅黑" w:eastAsia="微软雅黑" w:hint="eastAsia"/>
          <w:position w:val="4"/>
          <w:sz w:val="19"/>
        </w:rPr>
        <w:t>金</w:t>
        <w:tab/>
      </w:r>
      <w:r>
        <w:rPr>
          <w:sz w:val="19"/>
        </w:rPr>
        <w:t>64,135,029.54</w:t>
        <w:tab/>
        <w:t>73,423,427.97</w:t>
      </w:r>
    </w:p>
    <w:p>
      <w:pPr>
        <w:spacing w:line="240" w:lineRule="auto" w:before="11"/>
        <w:rPr>
          <w:sz w:val="7"/>
        </w:rPr>
      </w:pPr>
    </w:p>
    <w:p>
      <w:pPr>
        <w:tabs>
          <w:tab w:pos="4863" w:val="left" w:leader="none"/>
          <w:tab w:pos="6767" w:val="left" w:leader="none"/>
        </w:tabs>
        <w:spacing w:before="24"/>
        <w:ind w:left="695" w:right="0" w:firstLine="0"/>
        <w:jc w:val="left"/>
        <w:rPr>
          <w:sz w:val="19"/>
        </w:rPr>
      </w:pPr>
      <w:r>
        <w:rPr/>
        <w:pict>
          <v:group style="position:absolute;margin-left:327.010498pt;margin-top:21.684694pt;width:85.3pt;height:1.55pt;mso-position-horizontal-relative:page;mso-position-vertical-relative:paragraph;z-index:1192;mso-wrap-distance-left:0;mso-wrap-distance-right:0" coordorigin="6540,434" coordsize="1706,31">
            <v:line style="position:absolute" from="6544,437" to="8242,437" stroked="true" strokeweight=".324916pt" strokecolor="#000000">
              <v:stroke dashstyle="solid"/>
            </v:line>
            <v:line style="position:absolute" from="6544,461" to="8242,461" stroked="true" strokeweight=".324916pt" strokecolor="#000000">
              <v:stroke dashstyle="solid"/>
            </v:line>
            <w10:wrap type="topAndBottom"/>
          </v:group>
        </w:pict>
      </w:r>
      <w:r>
        <w:rPr/>
        <w:pict>
          <v:group style="position:absolute;margin-left:417.123108pt;margin-top:21.684694pt;width:85.3pt;height:1.55pt;mso-position-horizontal-relative:page;mso-position-vertical-relative:paragraph;z-index:1216;mso-wrap-distance-left:0;mso-wrap-distance-right:0" coordorigin="8342,434" coordsize="1706,31">
            <v:line style="position:absolute" from="8346,437" to="10045,437" stroked="true" strokeweight=".324916pt" strokecolor="#000000">
              <v:stroke dashstyle="solid"/>
            </v:line>
            <v:line style="position:absolute" from="8346,461" to="10045,461" stroked="true" strokeweight=".324916pt" strokecolor="#000000">
              <v:stroke dashstyle="solid"/>
            </v:line>
            <w10:wrap type="topAndBottom"/>
          </v:group>
        </w:pict>
      </w:r>
      <w:r>
        <w:rPr>
          <w:rFonts w:ascii="微软雅黑" w:eastAsia="微软雅黑" w:hint="eastAsia"/>
          <w:position w:val="4"/>
          <w:sz w:val="19"/>
        </w:rPr>
        <w:t>合计</w:t>
        <w:tab/>
      </w:r>
      <w:r>
        <w:rPr>
          <w:sz w:val="19"/>
        </w:rPr>
        <w:t>107,563,206,080.73</w:t>
        <w:tab/>
        <w:t>87,032,118,210.63</w:t>
      </w:r>
    </w:p>
    <w:p>
      <w:pPr>
        <w:spacing w:line="240" w:lineRule="auto" w:before="1"/>
        <w:rPr>
          <w:sz w:val="24"/>
        </w:rPr>
      </w:pPr>
    </w:p>
    <w:p>
      <w:pPr>
        <w:spacing w:line="237" w:lineRule="auto" w:before="27"/>
        <w:ind w:left="688" w:right="166" w:firstLine="0"/>
        <w:jc w:val="both"/>
        <w:rPr>
          <w:rFonts w:ascii="微软雅黑" w:eastAsia="微软雅黑" w:hint="eastAsia"/>
          <w:sz w:val="19"/>
        </w:rPr>
      </w:pPr>
      <w:r>
        <w:rPr>
          <w:rFonts w:ascii="微软雅黑" w:eastAsia="微软雅黑" w:hint="eastAsia"/>
          <w:spacing w:val="-2"/>
          <w:sz w:val="19"/>
        </w:rPr>
        <w:t>其他货币资金为物业管理项目代管基金 </w:t>
      </w:r>
      <w:r>
        <w:rPr>
          <w:sz w:val="19"/>
        </w:rPr>
        <w:t>(</w:t>
      </w:r>
      <w:r>
        <w:rPr>
          <w:rFonts w:ascii="微软雅黑" w:eastAsia="微软雅黑" w:hint="eastAsia"/>
          <w:spacing w:val="-3"/>
          <w:sz w:val="19"/>
        </w:rPr>
        <w:t>见附注五、</w:t>
      </w:r>
      <w:r>
        <w:rPr>
          <w:sz w:val="19"/>
        </w:rPr>
        <w:t>31</w:t>
      </w:r>
      <w:r>
        <w:rPr>
          <w:spacing w:val="10"/>
          <w:sz w:val="19"/>
        </w:rPr>
        <w:t>) </w:t>
      </w:r>
      <w:r>
        <w:rPr>
          <w:rFonts w:ascii="微软雅黑" w:eastAsia="微软雅黑" w:hint="eastAsia"/>
          <w:spacing w:val="-3"/>
          <w:sz w:val="19"/>
        </w:rPr>
        <w:t>。银行存款中含有受限使用资金为人</w:t>
      </w:r>
      <w:r>
        <w:rPr>
          <w:rFonts w:ascii="微软雅黑" w:eastAsia="微软雅黑" w:hint="eastAsia"/>
          <w:spacing w:val="-7"/>
          <w:sz w:val="19"/>
        </w:rPr>
        <w:t>民币 </w:t>
      </w:r>
      <w:r>
        <w:rPr>
          <w:sz w:val="19"/>
        </w:rPr>
        <w:t>7,880,050,235.78 </w:t>
      </w:r>
      <w:r>
        <w:rPr>
          <w:rFonts w:ascii="微软雅黑" w:eastAsia="微软雅黑" w:hint="eastAsia"/>
          <w:spacing w:val="10"/>
          <w:sz w:val="19"/>
        </w:rPr>
        <w:t>元 </w:t>
      </w:r>
      <w:r>
        <w:rPr>
          <w:sz w:val="19"/>
        </w:rPr>
        <w:t>(2016 </w:t>
      </w:r>
      <w:r>
        <w:rPr>
          <w:rFonts w:ascii="微软雅黑" w:eastAsia="微软雅黑" w:hint="eastAsia"/>
          <w:spacing w:val="-4"/>
          <w:sz w:val="19"/>
        </w:rPr>
        <w:t>年：人民币 </w:t>
      </w:r>
      <w:r>
        <w:rPr>
          <w:sz w:val="19"/>
        </w:rPr>
        <w:t>7,542,103,264.94 </w:t>
      </w:r>
      <w:r>
        <w:rPr>
          <w:rFonts w:ascii="微软雅黑" w:eastAsia="微软雅黑" w:hint="eastAsia"/>
          <w:spacing w:val="-3"/>
          <w:sz w:val="19"/>
        </w:rPr>
        <w:t>元</w:t>
      </w:r>
      <w:r>
        <w:rPr>
          <w:spacing w:val="12"/>
          <w:sz w:val="19"/>
        </w:rPr>
        <w:t>) </w:t>
      </w:r>
      <w:r>
        <w:rPr>
          <w:rFonts w:ascii="微软雅黑" w:eastAsia="微软雅黑" w:hint="eastAsia"/>
          <w:spacing w:val="-3"/>
          <w:sz w:val="19"/>
        </w:rPr>
        <w:t>，其中因质押对使用有限</w:t>
      </w:r>
    </w:p>
    <w:p>
      <w:pPr>
        <w:spacing w:line="324" w:lineRule="exact" w:before="0"/>
        <w:ind w:left="688" w:right="0" w:firstLine="0"/>
        <w:jc w:val="both"/>
        <w:rPr>
          <w:rFonts w:ascii="微软雅黑" w:eastAsia="微软雅黑" w:hint="eastAsia"/>
          <w:sz w:val="19"/>
        </w:rPr>
      </w:pPr>
      <w:r>
        <w:rPr>
          <w:rFonts w:ascii="微软雅黑" w:eastAsia="微软雅黑" w:hint="eastAsia"/>
          <w:sz w:val="19"/>
        </w:rPr>
        <w:t>制的资金为人民币 </w:t>
      </w:r>
      <w:r>
        <w:rPr>
          <w:sz w:val="19"/>
        </w:rPr>
        <w:t>6,406,000,000.00 </w:t>
      </w:r>
      <w:r>
        <w:rPr>
          <w:rFonts w:ascii="微软雅黑" w:eastAsia="微软雅黑" w:hint="eastAsia"/>
          <w:sz w:val="19"/>
        </w:rPr>
        <w:t>元 </w:t>
      </w:r>
      <w:r>
        <w:rPr>
          <w:sz w:val="19"/>
        </w:rPr>
        <w:t>(2016 </w:t>
      </w:r>
      <w:r>
        <w:rPr>
          <w:rFonts w:ascii="微软雅黑" w:eastAsia="微软雅黑" w:hint="eastAsia"/>
          <w:sz w:val="19"/>
        </w:rPr>
        <w:t>年：人民币 </w:t>
      </w:r>
      <w:r>
        <w:rPr>
          <w:sz w:val="19"/>
        </w:rPr>
        <w:t>6,182,500,000.00 </w:t>
      </w:r>
      <w:r>
        <w:rPr>
          <w:rFonts w:ascii="微软雅黑" w:eastAsia="微软雅黑" w:hint="eastAsia"/>
          <w:sz w:val="19"/>
        </w:rPr>
        <w:t>元</w:t>
      </w:r>
      <w:r>
        <w:rPr>
          <w:sz w:val="19"/>
        </w:rPr>
        <w:t>) </w:t>
      </w:r>
      <w:r>
        <w:rPr>
          <w:rFonts w:ascii="微软雅黑" w:eastAsia="微软雅黑" w:hint="eastAsia"/>
          <w:sz w:val="19"/>
        </w:rPr>
        <w:t>。存放境外</w:t>
      </w:r>
    </w:p>
    <w:p>
      <w:pPr>
        <w:spacing w:line="237" w:lineRule="auto" w:before="3"/>
        <w:ind w:left="688" w:right="153" w:firstLine="0"/>
        <w:jc w:val="both"/>
        <w:rPr>
          <w:rFonts w:ascii="微软雅黑" w:eastAsia="微软雅黑" w:hint="eastAsia"/>
          <w:sz w:val="19"/>
        </w:rPr>
      </w:pPr>
      <w:r>
        <w:rPr>
          <w:rFonts w:ascii="微软雅黑" w:eastAsia="微软雅黑" w:hint="eastAsia"/>
          <w:sz w:val="19"/>
        </w:rPr>
        <w:t>货币资金共计折合人民币 </w:t>
      </w:r>
      <w:r>
        <w:rPr>
          <w:sz w:val="19"/>
        </w:rPr>
        <w:t>8,547,366,274.13 </w:t>
      </w:r>
      <w:r>
        <w:rPr>
          <w:rFonts w:ascii="微软雅黑" w:eastAsia="微软雅黑" w:hint="eastAsia"/>
          <w:sz w:val="19"/>
        </w:rPr>
        <w:t>元 </w:t>
      </w:r>
      <w:r>
        <w:rPr>
          <w:sz w:val="19"/>
        </w:rPr>
        <w:t>(2016 </w:t>
      </w:r>
      <w:r>
        <w:rPr>
          <w:rFonts w:ascii="微软雅黑" w:eastAsia="微软雅黑" w:hint="eastAsia"/>
          <w:sz w:val="19"/>
        </w:rPr>
        <w:t>年：人民币 </w:t>
      </w:r>
      <w:r>
        <w:rPr>
          <w:sz w:val="19"/>
        </w:rPr>
        <w:t>11,635,033,629.99 </w:t>
      </w:r>
      <w:r>
        <w:rPr>
          <w:rFonts w:ascii="微软雅黑" w:eastAsia="微软雅黑" w:hint="eastAsia"/>
          <w:sz w:val="19"/>
        </w:rPr>
        <w:t>元</w:t>
      </w:r>
      <w:r>
        <w:rPr>
          <w:sz w:val="19"/>
        </w:rPr>
        <w:t>) </w:t>
      </w:r>
      <w:r>
        <w:rPr>
          <w:rFonts w:ascii="微软雅黑" w:eastAsia="微软雅黑" w:hint="eastAsia"/>
          <w:sz w:val="19"/>
        </w:rPr>
        <w:t>。本集团无抵押或冻结等对使用有限制的款项。本集团期末存于珠海华润银行及徽商银行的存款分别为人民币 </w:t>
      </w:r>
      <w:r>
        <w:rPr>
          <w:sz w:val="19"/>
        </w:rPr>
        <w:t>718,625,738.00 </w:t>
      </w:r>
      <w:r>
        <w:rPr>
          <w:rFonts w:ascii="微软雅黑" w:eastAsia="微软雅黑" w:hint="eastAsia"/>
          <w:sz w:val="19"/>
        </w:rPr>
        <w:t>元 </w:t>
      </w:r>
      <w:r>
        <w:rPr>
          <w:sz w:val="19"/>
        </w:rPr>
        <w:t>(2016 </w:t>
      </w:r>
      <w:r>
        <w:rPr>
          <w:rFonts w:ascii="微软雅黑" w:eastAsia="微软雅黑" w:hint="eastAsia"/>
          <w:sz w:val="19"/>
        </w:rPr>
        <w:t>年：人民币 </w:t>
      </w:r>
      <w:r>
        <w:rPr>
          <w:sz w:val="19"/>
        </w:rPr>
        <w:t>1,758,089,287.37 </w:t>
      </w:r>
      <w:r>
        <w:rPr>
          <w:rFonts w:ascii="微软雅黑" w:eastAsia="微软雅黑" w:hint="eastAsia"/>
          <w:sz w:val="19"/>
        </w:rPr>
        <w:t>元</w:t>
      </w:r>
      <w:r>
        <w:rPr>
          <w:sz w:val="19"/>
        </w:rPr>
        <w:t>) </w:t>
      </w:r>
      <w:r>
        <w:rPr>
          <w:rFonts w:ascii="微软雅黑" w:eastAsia="微软雅黑" w:hint="eastAsia"/>
          <w:sz w:val="19"/>
        </w:rPr>
        <w:t>和人民币</w:t>
      </w:r>
    </w:p>
    <w:p>
      <w:pPr>
        <w:spacing w:line="323" w:lineRule="exact" w:before="0"/>
        <w:ind w:left="688" w:right="0" w:firstLine="0"/>
        <w:jc w:val="both"/>
        <w:rPr>
          <w:rFonts w:ascii="微软雅黑" w:eastAsia="微软雅黑" w:hint="eastAsia"/>
          <w:sz w:val="19"/>
        </w:rPr>
      </w:pPr>
      <w:r>
        <w:rPr>
          <w:sz w:val="19"/>
        </w:rPr>
        <w:t>173,400,311.98 </w:t>
      </w:r>
      <w:r>
        <w:rPr>
          <w:rFonts w:ascii="微软雅黑" w:eastAsia="微软雅黑" w:hint="eastAsia"/>
          <w:sz w:val="19"/>
        </w:rPr>
        <w:t>元 </w:t>
      </w:r>
      <w:r>
        <w:rPr>
          <w:sz w:val="19"/>
        </w:rPr>
        <w:t>(2016 </w:t>
      </w:r>
      <w:r>
        <w:rPr>
          <w:rFonts w:ascii="微软雅黑" w:eastAsia="微软雅黑" w:hint="eastAsia"/>
          <w:sz w:val="19"/>
        </w:rPr>
        <w:t>年：人民币 </w:t>
      </w:r>
      <w:r>
        <w:rPr>
          <w:sz w:val="19"/>
        </w:rPr>
        <w:t>111,002,979.69 </w:t>
      </w:r>
      <w:r>
        <w:rPr>
          <w:rFonts w:ascii="微软雅黑" w:eastAsia="微软雅黑" w:hint="eastAsia"/>
          <w:sz w:val="19"/>
        </w:rPr>
        <w:t>元</w:t>
      </w:r>
      <w:r>
        <w:rPr>
          <w:sz w:val="19"/>
        </w:rPr>
        <w:t>) </w:t>
      </w:r>
      <w:r>
        <w:rPr>
          <w:rFonts w:ascii="微软雅黑" w:eastAsia="微软雅黑" w:hint="eastAsia"/>
          <w:sz w:val="19"/>
        </w:rPr>
        <w:t>。</w:t>
      </w:r>
    </w:p>
    <w:p>
      <w:pPr>
        <w:pStyle w:val="ListParagraph"/>
        <w:numPr>
          <w:ilvl w:val="0"/>
          <w:numId w:val="1"/>
        </w:numPr>
        <w:tabs>
          <w:tab w:pos="688" w:val="left" w:leader="none"/>
          <w:tab w:pos="689" w:val="left" w:leader="none"/>
        </w:tabs>
        <w:spacing w:line="327" w:lineRule="exact" w:before="0" w:after="0"/>
        <w:ind w:left="688" w:right="0" w:hanging="511"/>
        <w:jc w:val="left"/>
        <w:rPr>
          <w:sz w:val="19"/>
        </w:rPr>
      </w:pPr>
      <w:r>
        <w:rPr>
          <w:spacing w:val="-1"/>
          <w:sz w:val="19"/>
        </w:rPr>
        <w:t>应收账款</w:t>
      </w:r>
    </w:p>
    <w:p>
      <w:pPr>
        <w:pStyle w:val="ListParagraph"/>
        <w:numPr>
          <w:ilvl w:val="1"/>
          <w:numId w:val="1"/>
        </w:numPr>
        <w:tabs>
          <w:tab w:pos="1200" w:val="left" w:leader="none"/>
        </w:tabs>
        <w:spacing w:line="240" w:lineRule="auto" w:before="216" w:after="0"/>
        <w:ind w:left="1199" w:right="0" w:hanging="511"/>
        <w:jc w:val="both"/>
        <w:rPr>
          <w:sz w:val="19"/>
        </w:rPr>
      </w:pPr>
      <w:r>
        <w:rPr>
          <w:spacing w:val="-3"/>
          <w:sz w:val="19"/>
        </w:rPr>
        <w:t>应收账款分类披露：</w:t>
      </w:r>
    </w:p>
    <w:p>
      <w:pPr>
        <w:pStyle w:val="BodyText"/>
        <w:spacing w:before="13"/>
        <w:rPr>
          <w:rFonts w:ascii="微软雅黑"/>
          <w:sz w:val="13"/>
        </w:rPr>
      </w:pPr>
    </w:p>
    <w:p>
      <w:pPr>
        <w:tabs>
          <w:tab w:pos="5296" w:val="left" w:leader="none"/>
          <w:tab w:pos="8364" w:val="left" w:leader="none"/>
        </w:tabs>
        <w:spacing w:before="0" w:after="52"/>
        <w:ind w:left="3286" w:right="0" w:firstLine="0"/>
        <w:jc w:val="left"/>
        <w:rPr>
          <w:rFonts w:ascii="微软雅黑" w:eastAsia="微软雅黑" w:hint="eastAsia"/>
          <w:sz w:val="12"/>
        </w:rPr>
      </w:pPr>
      <w:r>
        <w:rPr>
          <w:w w:val="104"/>
          <w:sz w:val="12"/>
          <w:u w:val="single"/>
        </w:rPr>
        <w:t> </w:t>
      </w:r>
      <w:r>
        <w:rPr>
          <w:sz w:val="12"/>
          <w:u w:val="single"/>
        </w:rPr>
        <w:tab/>
      </w:r>
      <w:r>
        <w:rPr>
          <w:w w:val="105"/>
          <w:sz w:val="12"/>
          <w:u w:val="single"/>
        </w:rPr>
        <w:t>2017</w:t>
      </w:r>
      <w:r>
        <w:rPr>
          <w:spacing w:val="-9"/>
          <w:w w:val="105"/>
          <w:sz w:val="12"/>
          <w:u w:val="single"/>
        </w:rPr>
        <w:t> </w:t>
      </w:r>
      <w:r>
        <w:rPr>
          <w:rFonts w:ascii="微软雅黑" w:eastAsia="微软雅黑" w:hint="eastAsia"/>
          <w:w w:val="105"/>
          <w:sz w:val="12"/>
          <w:u w:val="single"/>
        </w:rPr>
        <w:t>年</w:t>
      </w:r>
      <w:r>
        <w:rPr>
          <w:rFonts w:ascii="微软雅黑" w:eastAsia="微软雅黑" w:hint="eastAsia"/>
          <w:spacing w:val="-7"/>
          <w:w w:val="105"/>
          <w:sz w:val="12"/>
          <w:u w:val="single"/>
        </w:rPr>
        <w:t> </w:t>
      </w:r>
      <w:r>
        <w:rPr>
          <w:w w:val="105"/>
          <w:sz w:val="12"/>
          <w:u w:val="single"/>
        </w:rPr>
        <w:t>6</w:t>
      </w:r>
      <w:r>
        <w:rPr>
          <w:spacing w:val="-9"/>
          <w:w w:val="105"/>
          <w:sz w:val="12"/>
          <w:u w:val="single"/>
        </w:rPr>
        <w:t> </w:t>
      </w:r>
      <w:r>
        <w:rPr>
          <w:rFonts w:ascii="微软雅黑" w:eastAsia="微软雅黑" w:hint="eastAsia"/>
          <w:w w:val="105"/>
          <w:sz w:val="12"/>
          <w:u w:val="single"/>
        </w:rPr>
        <w:t>月</w:t>
      </w:r>
      <w:r>
        <w:rPr>
          <w:rFonts w:ascii="微软雅黑" w:eastAsia="微软雅黑" w:hint="eastAsia"/>
          <w:spacing w:val="-7"/>
          <w:w w:val="105"/>
          <w:sz w:val="12"/>
          <w:u w:val="single"/>
        </w:rPr>
        <w:t> </w:t>
      </w:r>
      <w:r>
        <w:rPr>
          <w:w w:val="105"/>
          <w:sz w:val="12"/>
          <w:u w:val="single"/>
        </w:rPr>
        <w:t>30</w:t>
      </w:r>
      <w:r>
        <w:rPr>
          <w:spacing w:val="-9"/>
          <w:w w:val="105"/>
          <w:sz w:val="12"/>
          <w:u w:val="single"/>
        </w:rPr>
        <w:t> </w:t>
      </w:r>
      <w:r>
        <w:rPr>
          <w:rFonts w:ascii="微软雅黑" w:eastAsia="微软雅黑" w:hint="eastAsia"/>
          <w:w w:val="105"/>
          <w:sz w:val="12"/>
          <w:u w:val="single"/>
        </w:rPr>
        <w:t>日</w:t>
      </w:r>
      <w:r>
        <w:rPr>
          <w:rFonts w:ascii="微软雅黑" w:eastAsia="微软雅黑" w:hint="eastAsia"/>
          <w:sz w:val="12"/>
          <w:u w:val="single"/>
        </w:rPr>
        <w:tab/>
      </w:r>
    </w:p>
    <w:tbl>
      <w:tblPr>
        <w:tblW w:w="0" w:type="auto"/>
        <w:jc w:val="left"/>
        <w:tblInd w:w="1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384"/>
        <w:gridCol w:w="1183"/>
        <w:gridCol w:w="148"/>
        <w:gridCol w:w="466"/>
        <w:gridCol w:w="149"/>
        <w:gridCol w:w="1183"/>
        <w:gridCol w:w="761"/>
        <w:gridCol w:w="1233"/>
      </w:tblGrid>
      <w:tr>
        <w:trPr>
          <w:trHeight w:val="360" w:hRule="atLeast"/>
        </w:trPr>
        <w:tc>
          <w:tcPr>
            <w:tcW w:w="2143" w:type="dxa"/>
            <w:gridSpan w:val="2"/>
          </w:tcPr>
          <w:p>
            <w:pPr>
              <w:pStyle w:val="TableParagraph"/>
              <w:tabs>
                <w:tab w:pos="1822" w:val="left" w:leader="none"/>
              </w:tabs>
              <w:spacing w:line="164" w:lineRule="exact"/>
              <w:ind w:left="50"/>
              <w:rPr>
                <w:rFonts w:ascii="微软雅黑" w:eastAsia="微软雅黑" w:hint="eastAsia"/>
                <w:sz w:val="12"/>
              </w:rPr>
            </w:pPr>
            <w:r>
              <w:rPr>
                <w:rFonts w:ascii="Times New Roman" w:eastAsia="Times New Roman"/>
                <w:spacing w:val="-32"/>
                <w:w w:val="104"/>
                <w:sz w:val="12"/>
                <w:u w:val="single"/>
              </w:rPr>
              <w:t> </w:t>
            </w:r>
            <w:r>
              <w:rPr>
                <w:rFonts w:ascii="微软雅黑" w:eastAsia="微软雅黑" w:hint="eastAsia"/>
                <w:w w:val="105"/>
                <w:sz w:val="12"/>
                <w:u w:val="single"/>
              </w:rPr>
              <w:t>类别</w:t>
            </w:r>
            <w:r>
              <w:rPr>
                <w:rFonts w:ascii="微软雅黑" w:eastAsia="微软雅黑" w:hint="eastAsia"/>
                <w:w w:val="105"/>
                <w:sz w:val="12"/>
              </w:rPr>
              <w:tab/>
              <w:t>注</w:t>
            </w:r>
          </w:p>
        </w:tc>
        <w:tc>
          <w:tcPr>
            <w:tcW w:w="1796" w:type="dxa"/>
            <w:gridSpan w:val="3"/>
          </w:tcPr>
          <w:p>
            <w:pPr>
              <w:pStyle w:val="TableParagraph"/>
              <w:tabs>
                <w:tab w:pos="677" w:val="left" w:leader="none"/>
                <w:tab w:pos="1796" w:val="left" w:leader="none"/>
              </w:tabs>
              <w:spacing w:line="164" w:lineRule="exact"/>
              <w:ind w:right="-1"/>
              <w:rPr>
                <w:rFonts w:ascii="微软雅黑" w:eastAsia="微软雅黑" w:hint="eastAsia"/>
                <w:sz w:val="12"/>
              </w:rPr>
            </w:pPr>
            <w:r>
              <w:rPr>
                <w:rFonts w:ascii="Times New Roman" w:eastAsia="Times New Roman"/>
                <w:w w:val="104"/>
                <w:sz w:val="12"/>
                <w:u w:val="single"/>
              </w:rPr>
              <w:t> </w:t>
            </w:r>
            <w:r>
              <w:rPr>
                <w:rFonts w:ascii="Times New Roman" w:eastAsia="Times New Roman"/>
                <w:sz w:val="12"/>
                <w:u w:val="single"/>
              </w:rPr>
              <w:tab/>
            </w:r>
            <w:r>
              <w:rPr>
                <w:rFonts w:ascii="微软雅黑" w:eastAsia="微软雅黑" w:hint="eastAsia"/>
                <w:sz w:val="12"/>
                <w:u w:val="single"/>
              </w:rPr>
              <w:t>账面余额</w:t>
              <w:tab/>
            </w:r>
          </w:p>
        </w:tc>
        <w:tc>
          <w:tcPr>
            <w:tcW w:w="2093" w:type="dxa"/>
            <w:gridSpan w:val="3"/>
          </w:tcPr>
          <w:p>
            <w:pPr>
              <w:pStyle w:val="TableParagraph"/>
              <w:tabs>
                <w:tab w:pos="677" w:val="left" w:leader="none"/>
                <w:tab w:pos="1796" w:val="left" w:leader="none"/>
              </w:tabs>
              <w:spacing w:line="164" w:lineRule="exact"/>
              <w:ind w:right="145"/>
              <w:jc w:val="right"/>
              <w:rPr>
                <w:rFonts w:ascii="微软雅黑" w:eastAsia="微软雅黑" w:hint="eastAsia"/>
                <w:sz w:val="12"/>
              </w:rPr>
            </w:pPr>
            <w:r>
              <w:rPr>
                <w:rFonts w:ascii="Times New Roman" w:eastAsia="Times New Roman"/>
                <w:w w:val="104"/>
                <w:sz w:val="12"/>
                <w:u w:val="single"/>
              </w:rPr>
              <w:t> </w:t>
            </w:r>
            <w:r>
              <w:rPr>
                <w:rFonts w:ascii="Times New Roman" w:eastAsia="Times New Roman"/>
                <w:sz w:val="12"/>
                <w:u w:val="single"/>
              </w:rPr>
              <w:tab/>
            </w:r>
            <w:r>
              <w:rPr>
                <w:rFonts w:ascii="微软雅黑" w:eastAsia="微软雅黑" w:hint="eastAsia"/>
                <w:sz w:val="12"/>
                <w:u w:val="single"/>
              </w:rPr>
              <w:t>坏账准备</w:t>
              <w:tab/>
            </w:r>
          </w:p>
          <w:p>
            <w:pPr>
              <w:pStyle w:val="TableParagraph"/>
              <w:spacing w:line="178" w:lineRule="exact" w:before="9"/>
              <w:ind w:right="148"/>
              <w:jc w:val="right"/>
              <w:rPr>
                <w:rFonts w:ascii="微软雅黑" w:eastAsia="微软雅黑" w:hint="eastAsia"/>
                <w:sz w:val="12"/>
              </w:rPr>
            </w:pPr>
            <w:r>
              <w:rPr>
                <w:rFonts w:ascii="微软雅黑" w:eastAsia="微软雅黑" w:hint="eastAsia"/>
                <w:sz w:val="12"/>
              </w:rPr>
              <w:t>计提比例</w:t>
            </w:r>
          </w:p>
        </w:tc>
        <w:tc>
          <w:tcPr>
            <w:tcW w:w="1233" w:type="dxa"/>
          </w:tcPr>
          <w:p>
            <w:pPr>
              <w:pStyle w:val="TableParagraph"/>
              <w:spacing w:line="164" w:lineRule="exact"/>
              <w:ind w:right="48"/>
              <w:jc w:val="right"/>
              <w:rPr>
                <w:rFonts w:ascii="微软雅黑" w:eastAsia="微软雅黑" w:hint="eastAsia"/>
                <w:sz w:val="12"/>
              </w:rPr>
            </w:pPr>
            <w:r>
              <w:rPr>
                <w:rFonts w:ascii="Times New Roman" w:eastAsia="Times New Roman"/>
                <w:w w:val="104"/>
                <w:sz w:val="12"/>
                <w:u w:val="single"/>
              </w:rPr>
              <w:t> </w:t>
            </w:r>
            <w:r>
              <w:rPr>
                <w:rFonts w:ascii="微软雅黑" w:eastAsia="微软雅黑" w:hint="eastAsia"/>
                <w:w w:val="105"/>
                <w:sz w:val="12"/>
                <w:u w:val="single"/>
              </w:rPr>
              <w:t>账面价值</w:t>
            </w:r>
          </w:p>
        </w:tc>
      </w:tr>
      <w:tr>
        <w:trPr>
          <w:trHeight w:val="420" w:hRule="atLeast"/>
        </w:trPr>
        <w:tc>
          <w:tcPr>
            <w:tcW w:w="2143" w:type="dxa"/>
            <w:gridSpan w:val="2"/>
          </w:tcPr>
          <w:p>
            <w:pPr>
              <w:pStyle w:val="TableParagraph"/>
              <w:spacing w:before="10"/>
              <w:rPr>
                <w:rFonts w:ascii="微软雅黑"/>
                <w:sz w:val="9"/>
              </w:rPr>
            </w:pPr>
          </w:p>
          <w:p>
            <w:pPr>
              <w:pStyle w:val="TableParagraph"/>
              <w:ind w:left="50"/>
              <w:rPr>
                <w:rFonts w:ascii="微软雅黑" w:eastAsia="微软雅黑" w:hint="eastAsia"/>
                <w:sz w:val="12"/>
              </w:rPr>
            </w:pPr>
            <w:r>
              <w:rPr>
                <w:rFonts w:ascii="微软雅黑" w:eastAsia="微软雅黑" w:hint="eastAsia"/>
                <w:w w:val="105"/>
                <w:sz w:val="12"/>
              </w:rPr>
              <w:t>按信用风险特征组合计提</w:t>
            </w:r>
          </w:p>
        </w:tc>
        <w:tc>
          <w:tcPr>
            <w:tcW w:w="1796" w:type="dxa"/>
            <w:gridSpan w:val="3"/>
          </w:tcPr>
          <w:p>
            <w:pPr>
              <w:pStyle w:val="TableParagraph"/>
              <w:spacing w:line="154" w:lineRule="exact"/>
              <w:ind w:left="929"/>
              <w:rPr>
                <w:sz w:val="12"/>
              </w:rPr>
            </w:pPr>
            <w:r>
              <w:rPr>
                <w:rFonts w:ascii="Times New Roman" w:eastAsia="Times New Roman"/>
                <w:spacing w:val="-32"/>
                <w:w w:val="104"/>
                <w:sz w:val="12"/>
                <w:u w:val="single"/>
              </w:rPr>
              <w:t> </w:t>
            </w:r>
            <w:r>
              <w:rPr>
                <w:rFonts w:ascii="微软雅黑" w:eastAsia="微软雅黑" w:hint="eastAsia"/>
                <w:w w:val="105"/>
                <w:sz w:val="12"/>
                <w:u w:val="single"/>
              </w:rPr>
              <w:t>金 额</w:t>
            </w:r>
            <w:r>
              <w:rPr>
                <w:rFonts w:ascii="微软雅黑" w:eastAsia="微软雅黑" w:hint="eastAsia"/>
                <w:spacing w:val="0"/>
                <w:w w:val="105"/>
                <w:sz w:val="12"/>
                <w:u w:val="single"/>
              </w:rPr>
              <w:t> 比 例 </w:t>
            </w:r>
            <w:r>
              <w:rPr>
                <w:w w:val="105"/>
                <w:sz w:val="12"/>
                <w:u w:val="single"/>
              </w:rPr>
              <w:t>(%)</w:t>
            </w:r>
          </w:p>
        </w:tc>
        <w:tc>
          <w:tcPr>
            <w:tcW w:w="2093" w:type="dxa"/>
            <w:gridSpan w:val="3"/>
          </w:tcPr>
          <w:p>
            <w:pPr>
              <w:pStyle w:val="TableParagraph"/>
              <w:tabs>
                <w:tab w:pos="1748" w:val="left" w:leader="none"/>
              </w:tabs>
              <w:spacing w:line="178" w:lineRule="exact"/>
              <w:ind w:left="1078"/>
              <w:rPr>
                <w:sz w:val="12"/>
              </w:rPr>
            </w:pPr>
            <w:r>
              <w:rPr>
                <w:rFonts w:ascii="Times New Roman" w:eastAsia="Times New Roman"/>
                <w:spacing w:val="-32"/>
                <w:w w:val="104"/>
                <w:sz w:val="12"/>
                <w:u w:val="single"/>
              </w:rPr>
              <w:t> </w:t>
            </w:r>
            <w:r>
              <w:rPr>
                <w:rFonts w:ascii="微软雅黑" w:eastAsia="微软雅黑" w:hint="eastAsia"/>
                <w:w w:val="105"/>
                <w:sz w:val="12"/>
                <w:u w:val="single"/>
              </w:rPr>
              <w:t>金额</w:t>
            </w:r>
            <w:r>
              <w:rPr>
                <w:rFonts w:ascii="微软雅黑" w:eastAsia="微软雅黑" w:hint="eastAsia"/>
                <w:w w:val="105"/>
                <w:sz w:val="12"/>
              </w:rPr>
              <w:tab/>
            </w:r>
            <w:r>
              <w:rPr>
                <w:w w:val="105"/>
                <w:position w:val="-2"/>
                <w:sz w:val="12"/>
                <w:u w:val="single"/>
              </w:rPr>
              <w:t>(%)</w:t>
            </w:r>
          </w:p>
        </w:tc>
        <w:tc>
          <w:tcPr>
            <w:tcW w:w="1233" w:type="dxa"/>
          </w:tcPr>
          <w:p>
            <w:pPr>
              <w:pStyle w:val="TableParagraph"/>
              <w:rPr>
                <w:rFonts w:ascii="Times New Roman"/>
                <w:sz w:val="16"/>
              </w:rPr>
            </w:pPr>
          </w:p>
        </w:tc>
      </w:tr>
      <w:tr>
        <w:trPr>
          <w:trHeight w:val="400" w:hRule="atLeast"/>
        </w:trPr>
        <w:tc>
          <w:tcPr>
            <w:tcW w:w="2143" w:type="dxa"/>
            <w:gridSpan w:val="2"/>
          </w:tcPr>
          <w:p>
            <w:pPr>
              <w:pStyle w:val="TableParagraph"/>
              <w:spacing w:line="156" w:lineRule="exact"/>
              <w:ind w:left="177"/>
              <w:rPr>
                <w:rFonts w:ascii="微软雅黑" w:eastAsia="微软雅黑" w:hint="eastAsia"/>
                <w:sz w:val="12"/>
              </w:rPr>
            </w:pPr>
            <w:r>
              <w:rPr>
                <w:rFonts w:ascii="微软雅黑" w:eastAsia="微软雅黑" w:hint="eastAsia"/>
                <w:w w:val="105"/>
                <w:sz w:val="12"/>
              </w:rPr>
              <w:t>坏账准备的应收账款</w:t>
            </w:r>
          </w:p>
          <w:p>
            <w:pPr>
              <w:pStyle w:val="TableParagraph"/>
              <w:tabs>
                <w:tab w:pos="1809" w:val="left" w:leader="none"/>
              </w:tabs>
              <w:spacing w:line="225" w:lineRule="exact" w:before="9"/>
              <w:ind w:left="175"/>
              <w:rPr>
                <w:sz w:val="12"/>
              </w:rPr>
            </w:pPr>
            <w:r>
              <w:rPr>
                <w:rFonts w:ascii="微软雅黑" w:eastAsia="微软雅黑" w:hint="eastAsia"/>
                <w:w w:val="105"/>
                <w:sz w:val="12"/>
              </w:rPr>
              <w:t>组合一</w:t>
              <w:tab/>
            </w:r>
            <w:r>
              <w:rPr>
                <w:w w:val="105"/>
                <w:position w:val="-2"/>
                <w:sz w:val="12"/>
              </w:rPr>
              <w:t>(a)</w:t>
            </w:r>
          </w:p>
        </w:tc>
        <w:tc>
          <w:tcPr>
            <w:tcW w:w="1796" w:type="dxa"/>
            <w:gridSpan w:val="3"/>
          </w:tcPr>
          <w:p>
            <w:pPr>
              <w:pStyle w:val="TableParagraph"/>
              <w:spacing w:before="15"/>
              <w:rPr>
                <w:rFonts w:ascii="微软雅黑"/>
                <w:sz w:val="14"/>
              </w:rPr>
            </w:pPr>
          </w:p>
          <w:p>
            <w:pPr>
              <w:pStyle w:val="TableParagraph"/>
              <w:tabs>
                <w:tab w:pos="1479" w:val="left" w:leader="none"/>
              </w:tabs>
              <w:spacing w:line="134" w:lineRule="exact"/>
              <w:ind w:left="301"/>
              <w:rPr>
                <w:sz w:val="12"/>
              </w:rPr>
            </w:pPr>
            <w:r>
              <w:rPr>
                <w:w w:val="105"/>
                <w:sz w:val="12"/>
              </w:rPr>
              <w:t>476,607,566.52</w:t>
              <w:tab/>
            </w:r>
            <w:r>
              <w:rPr>
                <w:sz w:val="12"/>
              </w:rPr>
              <w:t>27.33</w:t>
            </w:r>
          </w:p>
        </w:tc>
        <w:tc>
          <w:tcPr>
            <w:tcW w:w="2093" w:type="dxa"/>
            <w:gridSpan w:val="3"/>
          </w:tcPr>
          <w:p>
            <w:pPr>
              <w:pStyle w:val="TableParagraph"/>
              <w:spacing w:before="15"/>
              <w:rPr>
                <w:rFonts w:ascii="微软雅黑"/>
                <w:sz w:val="14"/>
              </w:rPr>
            </w:pPr>
          </w:p>
          <w:p>
            <w:pPr>
              <w:pStyle w:val="TableParagraph"/>
              <w:tabs>
                <w:tab w:pos="1904" w:val="left" w:leader="none"/>
              </w:tabs>
              <w:spacing w:line="134" w:lineRule="exact"/>
              <w:ind w:left="1111"/>
              <w:rPr>
                <w:sz w:val="12"/>
              </w:rPr>
            </w:pPr>
            <w:r>
              <w:rPr>
                <w:w w:val="105"/>
                <w:sz w:val="12"/>
              </w:rPr>
              <w:t>-</w:t>
              <w:tab/>
              <w:t>-</w:t>
            </w:r>
          </w:p>
        </w:tc>
        <w:tc>
          <w:tcPr>
            <w:tcW w:w="1233" w:type="dxa"/>
          </w:tcPr>
          <w:p>
            <w:pPr>
              <w:pStyle w:val="TableParagraph"/>
              <w:spacing w:before="15"/>
              <w:rPr>
                <w:rFonts w:ascii="微软雅黑"/>
                <w:sz w:val="14"/>
              </w:rPr>
            </w:pPr>
          </w:p>
          <w:p>
            <w:pPr>
              <w:pStyle w:val="TableParagraph"/>
              <w:spacing w:line="134" w:lineRule="exact"/>
              <w:ind w:right="52"/>
              <w:jc w:val="right"/>
              <w:rPr>
                <w:sz w:val="12"/>
              </w:rPr>
            </w:pPr>
            <w:r>
              <w:rPr>
                <w:w w:val="105"/>
                <w:sz w:val="12"/>
              </w:rPr>
              <w:t>476,607,566.52</w:t>
            </w:r>
          </w:p>
        </w:tc>
      </w:tr>
      <w:tr>
        <w:trPr>
          <w:trHeight w:val="260" w:hRule="atLeast"/>
        </w:trPr>
        <w:tc>
          <w:tcPr>
            <w:tcW w:w="1759" w:type="dxa"/>
          </w:tcPr>
          <w:p>
            <w:pPr>
              <w:pStyle w:val="TableParagraph"/>
              <w:spacing w:line="164" w:lineRule="exact"/>
              <w:ind w:left="175"/>
              <w:rPr>
                <w:rFonts w:ascii="微软雅黑" w:eastAsia="微软雅黑" w:hint="eastAsia"/>
                <w:sz w:val="12"/>
              </w:rPr>
            </w:pPr>
            <w:r>
              <w:rPr>
                <w:rFonts w:ascii="微软雅黑" w:eastAsia="微软雅黑" w:hint="eastAsia"/>
                <w:sz w:val="12"/>
              </w:rPr>
              <w:t>组合二</w:t>
            </w:r>
          </w:p>
        </w:tc>
        <w:tc>
          <w:tcPr>
            <w:tcW w:w="384" w:type="dxa"/>
          </w:tcPr>
          <w:p>
            <w:pPr>
              <w:pStyle w:val="TableParagraph"/>
              <w:spacing w:before="48"/>
              <w:ind w:left="50"/>
              <w:rPr>
                <w:sz w:val="12"/>
              </w:rPr>
            </w:pPr>
            <w:r>
              <w:rPr>
                <w:w w:val="105"/>
                <w:sz w:val="12"/>
              </w:rPr>
              <w:t>(b)</w:t>
            </w:r>
          </w:p>
        </w:tc>
        <w:tc>
          <w:tcPr>
            <w:tcW w:w="1183" w:type="dxa"/>
            <w:tcBorders>
              <w:bottom w:val="single" w:sz="6" w:space="0" w:color="000000"/>
            </w:tcBorders>
          </w:tcPr>
          <w:p>
            <w:pPr>
              <w:pStyle w:val="TableParagraph"/>
              <w:spacing w:before="48"/>
              <w:ind w:right="2"/>
              <w:jc w:val="right"/>
              <w:rPr>
                <w:sz w:val="12"/>
              </w:rPr>
            </w:pPr>
            <w:r>
              <w:rPr>
                <w:w w:val="105"/>
                <w:sz w:val="12"/>
              </w:rPr>
              <w:t>1,260,507,764.13</w:t>
            </w:r>
          </w:p>
        </w:tc>
        <w:tc>
          <w:tcPr>
            <w:tcW w:w="148" w:type="dxa"/>
          </w:tcPr>
          <w:p>
            <w:pPr>
              <w:pStyle w:val="TableParagraph"/>
              <w:rPr>
                <w:rFonts w:ascii="Times New Roman"/>
                <w:sz w:val="16"/>
              </w:rPr>
            </w:pPr>
          </w:p>
        </w:tc>
        <w:tc>
          <w:tcPr>
            <w:tcW w:w="466" w:type="dxa"/>
            <w:tcBorders>
              <w:bottom w:val="single" w:sz="6" w:space="0" w:color="000000"/>
            </w:tcBorders>
          </w:tcPr>
          <w:p>
            <w:pPr>
              <w:pStyle w:val="TableParagraph"/>
              <w:spacing w:before="48"/>
              <w:jc w:val="right"/>
              <w:rPr>
                <w:sz w:val="12"/>
              </w:rPr>
            </w:pPr>
            <w:r>
              <w:rPr>
                <w:w w:val="105"/>
                <w:sz w:val="12"/>
              </w:rPr>
              <w:t>72.27</w:t>
            </w:r>
          </w:p>
        </w:tc>
        <w:tc>
          <w:tcPr>
            <w:tcW w:w="149" w:type="dxa"/>
          </w:tcPr>
          <w:p>
            <w:pPr>
              <w:pStyle w:val="TableParagraph"/>
              <w:rPr>
                <w:rFonts w:ascii="Times New Roman"/>
                <w:sz w:val="16"/>
              </w:rPr>
            </w:pPr>
          </w:p>
        </w:tc>
        <w:tc>
          <w:tcPr>
            <w:tcW w:w="1183" w:type="dxa"/>
            <w:tcBorders>
              <w:bottom w:val="single" w:sz="6" w:space="0" w:color="000000"/>
            </w:tcBorders>
          </w:tcPr>
          <w:p>
            <w:pPr>
              <w:pStyle w:val="TableParagraph"/>
              <w:spacing w:before="48"/>
              <w:ind w:right="1"/>
              <w:jc w:val="right"/>
              <w:rPr>
                <w:sz w:val="12"/>
              </w:rPr>
            </w:pPr>
            <w:r>
              <w:rPr>
                <w:w w:val="105"/>
                <w:sz w:val="12"/>
              </w:rPr>
              <w:t>42,505,884.89</w:t>
            </w:r>
          </w:p>
        </w:tc>
        <w:tc>
          <w:tcPr>
            <w:tcW w:w="761" w:type="dxa"/>
          </w:tcPr>
          <w:p>
            <w:pPr>
              <w:pStyle w:val="TableParagraph"/>
              <w:spacing w:before="48"/>
              <w:ind w:right="147"/>
              <w:jc w:val="right"/>
              <w:rPr>
                <w:sz w:val="12"/>
              </w:rPr>
            </w:pPr>
            <w:r>
              <w:rPr>
                <w:w w:val="105"/>
                <w:sz w:val="12"/>
              </w:rPr>
              <w:t>3.37</w:t>
            </w:r>
          </w:p>
        </w:tc>
        <w:tc>
          <w:tcPr>
            <w:tcW w:w="1233" w:type="dxa"/>
            <w:tcBorders>
              <w:bottom w:val="single" w:sz="6" w:space="0" w:color="000000"/>
            </w:tcBorders>
          </w:tcPr>
          <w:p>
            <w:pPr>
              <w:pStyle w:val="TableParagraph"/>
              <w:spacing w:before="48"/>
              <w:ind w:right="52"/>
              <w:jc w:val="right"/>
              <w:rPr>
                <w:sz w:val="12"/>
              </w:rPr>
            </w:pPr>
            <w:r>
              <w:rPr>
                <w:w w:val="105"/>
                <w:sz w:val="12"/>
              </w:rPr>
              <w:t>1,218,001,879.24</w:t>
            </w:r>
          </w:p>
        </w:tc>
      </w:tr>
      <w:tr>
        <w:trPr>
          <w:trHeight w:val="360" w:hRule="atLeast"/>
        </w:trPr>
        <w:tc>
          <w:tcPr>
            <w:tcW w:w="1759" w:type="dxa"/>
          </w:tcPr>
          <w:p>
            <w:pPr>
              <w:pStyle w:val="TableParagraph"/>
              <w:spacing w:before="56"/>
              <w:ind w:left="50"/>
              <w:rPr>
                <w:rFonts w:ascii="微软雅黑" w:eastAsia="微软雅黑" w:hint="eastAsia"/>
                <w:sz w:val="12"/>
              </w:rPr>
            </w:pPr>
            <w:r>
              <w:rPr>
                <w:rFonts w:ascii="微软雅黑" w:eastAsia="微软雅黑" w:hint="eastAsia"/>
                <w:sz w:val="12"/>
              </w:rPr>
              <w:t>组合小计</w:t>
            </w:r>
          </w:p>
        </w:tc>
        <w:tc>
          <w:tcPr>
            <w:tcW w:w="384" w:type="dxa"/>
          </w:tcPr>
          <w:p>
            <w:pPr>
              <w:pStyle w:val="TableParagraph"/>
              <w:rPr>
                <w:rFonts w:ascii="Times New Roman"/>
                <w:sz w:val="16"/>
              </w:rPr>
            </w:pPr>
          </w:p>
        </w:tc>
        <w:tc>
          <w:tcPr>
            <w:tcW w:w="1183" w:type="dxa"/>
            <w:tcBorders>
              <w:top w:val="single" w:sz="6" w:space="0" w:color="000000"/>
            </w:tcBorders>
          </w:tcPr>
          <w:p>
            <w:pPr>
              <w:pStyle w:val="TableParagraph"/>
              <w:spacing w:before="9"/>
              <w:rPr>
                <w:rFonts w:ascii="微软雅黑"/>
                <w:sz w:val="8"/>
              </w:rPr>
            </w:pPr>
          </w:p>
          <w:p>
            <w:pPr>
              <w:pStyle w:val="TableParagraph"/>
              <w:ind w:right="2"/>
              <w:jc w:val="right"/>
              <w:rPr>
                <w:sz w:val="12"/>
              </w:rPr>
            </w:pPr>
            <w:r>
              <w:rPr>
                <w:w w:val="105"/>
                <w:sz w:val="12"/>
              </w:rPr>
              <w:t>1,737,115,330.65</w:t>
            </w:r>
          </w:p>
        </w:tc>
        <w:tc>
          <w:tcPr>
            <w:tcW w:w="148" w:type="dxa"/>
          </w:tcPr>
          <w:p>
            <w:pPr>
              <w:pStyle w:val="TableParagraph"/>
              <w:rPr>
                <w:rFonts w:ascii="Times New Roman"/>
                <w:sz w:val="16"/>
              </w:rPr>
            </w:pPr>
          </w:p>
        </w:tc>
        <w:tc>
          <w:tcPr>
            <w:tcW w:w="466" w:type="dxa"/>
            <w:tcBorders>
              <w:top w:val="single" w:sz="6" w:space="0" w:color="000000"/>
            </w:tcBorders>
          </w:tcPr>
          <w:p>
            <w:pPr>
              <w:pStyle w:val="TableParagraph"/>
              <w:spacing w:before="9"/>
              <w:rPr>
                <w:rFonts w:ascii="微软雅黑"/>
                <w:sz w:val="8"/>
              </w:rPr>
            </w:pPr>
          </w:p>
          <w:p>
            <w:pPr>
              <w:pStyle w:val="TableParagraph"/>
              <w:jc w:val="right"/>
              <w:rPr>
                <w:sz w:val="12"/>
              </w:rPr>
            </w:pPr>
            <w:r>
              <w:rPr>
                <w:w w:val="105"/>
                <w:sz w:val="12"/>
              </w:rPr>
              <w:t>99.60</w:t>
            </w:r>
          </w:p>
        </w:tc>
        <w:tc>
          <w:tcPr>
            <w:tcW w:w="149" w:type="dxa"/>
          </w:tcPr>
          <w:p>
            <w:pPr>
              <w:pStyle w:val="TableParagraph"/>
              <w:rPr>
                <w:rFonts w:ascii="Times New Roman"/>
                <w:sz w:val="16"/>
              </w:rPr>
            </w:pPr>
          </w:p>
        </w:tc>
        <w:tc>
          <w:tcPr>
            <w:tcW w:w="1183" w:type="dxa"/>
            <w:tcBorders>
              <w:top w:val="single" w:sz="6" w:space="0" w:color="000000"/>
            </w:tcBorders>
          </w:tcPr>
          <w:p>
            <w:pPr>
              <w:pStyle w:val="TableParagraph"/>
              <w:spacing w:before="9"/>
              <w:rPr>
                <w:rFonts w:ascii="微软雅黑"/>
                <w:sz w:val="8"/>
              </w:rPr>
            </w:pPr>
          </w:p>
          <w:p>
            <w:pPr>
              <w:pStyle w:val="TableParagraph"/>
              <w:ind w:right="1"/>
              <w:jc w:val="right"/>
              <w:rPr>
                <w:sz w:val="12"/>
              </w:rPr>
            </w:pPr>
            <w:r>
              <w:rPr>
                <w:w w:val="105"/>
                <w:sz w:val="12"/>
              </w:rPr>
              <w:t>42,505,884.89</w:t>
            </w:r>
          </w:p>
        </w:tc>
        <w:tc>
          <w:tcPr>
            <w:tcW w:w="761" w:type="dxa"/>
          </w:tcPr>
          <w:p>
            <w:pPr>
              <w:pStyle w:val="TableParagraph"/>
              <w:rPr>
                <w:rFonts w:ascii="Times New Roman"/>
                <w:sz w:val="16"/>
              </w:rPr>
            </w:pPr>
          </w:p>
        </w:tc>
        <w:tc>
          <w:tcPr>
            <w:tcW w:w="1233" w:type="dxa"/>
            <w:tcBorders>
              <w:top w:val="single" w:sz="6" w:space="0" w:color="000000"/>
            </w:tcBorders>
          </w:tcPr>
          <w:p>
            <w:pPr>
              <w:pStyle w:val="TableParagraph"/>
              <w:spacing w:before="9"/>
              <w:rPr>
                <w:rFonts w:ascii="微软雅黑"/>
                <w:sz w:val="8"/>
              </w:rPr>
            </w:pPr>
          </w:p>
          <w:p>
            <w:pPr>
              <w:pStyle w:val="TableParagraph"/>
              <w:ind w:right="52"/>
              <w:jc w:val="right"/>
              <w:rPr>
                <w:sz w:val="12"/>
              </w:rPr>
            </w:pPr>
            <w:r>
              <w:rPr>
                <w:w w:val="105"/>
                <w:sz w:val="12"/>
              </w:rPr>
              <w:t>1,694,609,445.76</w:t>
            </w:r>
          </w:p>
        </w:tc>
      </w:tr>
      <w:tr>
        <w:trPr>
          <w:trHeight w:val="260" w:hRule="atLeast"/>
        </w:trPr>
        <w:tc>
          <w:tcPr>
            <w:tcW w:w="1759" w:type="dxa"/>
          </w:tcPr>
          <w:p>
            <w:pPr>
              <w:pStyle w:val="TableParagraph"/>
              <w:spacing w:before="45"/>
              <w:ind w:left="50"/>
              <w:rPr>
                <w:rFonts w:ascii="微软雅黑" w:eastAsia="微软雅黑" w:hint="eastAsia"/>
                <w:sz w:val="12"/>
              </w:rPr>
            </w:pPr>
            <w:r>
              <w:rPr>
                <w:rFonts w:ascii="微软雅黑" w:eastAsia="微软雅黑" w:hint="eastAsia"/>
                <w:w w:val="105"/>
                <w:sz w:val="12"/>
              </w:rPr>
              <w:t>单项金额不重大但单独计提</w:t>
            </w:r>
          </w:p>
        </w:tc>
        <w:tc>
          <w:tcPr>
            <w:tcW w:w="384" w:type="dxa"/>
          </w:tcPr>
          <w:p>
            <w:pPr>
              <w:pStyle w:val="TableParagraph"/>
              <w:rPr>
                <w:rFonts w:ascii="Times New Roman"/>
                <w:sz w:val="16"/>
              </w:rPr>
            </w:pPr>
          </w:p>
        </w:tc>
        <w:tc>
          <w:tcPr>
            <w:tcW w:w="1183" w:type="dxa"/>
          </w:tcPr>
          <w:p>
            <w:pPr>
              <w:pStyle w:val="TableParagraph"/>
              <w:rPr>
                <w:rFonts w:ascii="Times New Roman"/>
                <w:sz w:val="16"/>
              </w:rPr>
            </w:pPr>
          </w:p>
        </w:tc>
        <w:tc>
          <w:tcPr>
            <w:tcW w:w="148" w:type="dxa"/>
          </w:tcPr>
          <w:p>
            <w:pPr>
              <w:pStyle w:val="TableParagraph"/>
              <w:rPr>
                <w:rFonts w:ascii="Times New Roman"/>
                <w:sz w:val="16"/>
              </w:rPr>
            </w:pPr>
          </w:p>
        </w:tc>
        <w:tc>
          <w:tcPr>
            <w:tcW w:w="466" w:type="dxa"/>
          </w:tcPr>
          <w:p>
            <w:pPr>
              <w:pStyle w:val="TableParagraph"/>
              <w:rPr>
                <w:rFonts w:ascii="Times New Roman"/>
                <w:sz w:val="16"/>
              </w:rPr>
            </w:pPr>
          </w:p>
        </w:tc>
        <w:tc>
          <w:tcPr>
            <w:tcW w:w="149" w:type="dxa"/>
          </w:tcPr>
          <w:p>
            <w:pPr>
              <w:pStyle w:val="TableParagraph"/>
              <w:rPr>
                <w:rFonts w:ascii="Times New Roman"/>
                <w:sz w:val="16"/>
              </w:rPr>
            </w:pPr>
          </w:p>
        </w:tc>
        <w:tc>
          <w:tcPr>
            <w:tcW w:w="1183" w:type="dxa"/>
          </w:tcPr>
          <w:p>
            <w:pPr>
              <w:pStyle w:val="TableParagraph"/>
              <w:rPr>
                <w:rFonts w:ascii="Times New Roman"/>
                <w:sz w:val="16"/>
              </w:rPr>
            </w:pPr>
          </w:p>
        </w:tc>
        <w:tc>
          <w:tcPr>
            <w:tcW w:w="761" w:type="dxa"/>
          </w:tcPr>
          <w:p>
            <w:pPr>
              <w:pStyle w:val="TableParagraph"/>
              <w:rPr>
                <w:rFonts w:ascii="Times New Roman"/>
                <w:sz w:val="16"/>
              </w:rPr>
            </w:pPr>
          </w:p>
        </w:tc>
        <w:tc>
          <w:tcPr>
            <w:tcW w:w="1233" w:type="dxa"/>
          </w:tcPr>
          <w:p>
            <w:pPr>
              <w:pStyle w:val="TableParagraph"/>
              <w:rPr>
                <w:rFonts w:ascii="Times New Roman"/>
                <w:sz w:val="16"/>
              </w:rPr>
            </w:pPr>
          </w:p>
        </w:tc>
      </w:tr>
      <w:tr>
        <w:trPr>
          <w:trHeight w:val="260" w:hRule="atLeast"/>
        </w:trPr>
        <w:tc>
          <w:tcPr>
            <w:tcW w:w="1759" w:type="dxa"/>
          </w:tcPr>
          <w:p>
            <w:pPr>
              <w:pStyle w:val="TableParagraph"/>
              <w:spacing w:line="190" w:lineRule="exact"/>
              <w:ind w:left="177"/>
              <w:rPr>
                <w:rFonts w:ascii="微软雅黑" w:eastAsia="微软雅黑" w:hint="eastAsia"/>
                <w:sz w:val="12"/>
              </w:rPr>
            </w:pPr>
            <w:r>
              <w:rPr>
                <w:rFonts w:ascii="微软雅黑" w:eastAsia="微软雅黑" w:hint="eastAsia"/>
                <w:w w:val="105"/>
                <w:sz w:val="12"/>
              </w:rPr>
              <w:t>了坏账准备的应收账款</w:t>
            </w:r>
          </w:p>
        </w:tc>
        <w:tc>
          <w:tcPr>
            <w:tcW w:w="384" w:type="dxa"/>
          </w:tcPr>
          <w:p>
            <w:pPr>
              <w:pStyle w:val="TableParagraph"/>
              <w:rPr>
                <w:rFonts w:ascii="Times New Roman"/>
                <w:sz w:val="16"/>
              </w:rPr>
            </w:pPr>
          </w:p>
        </w:tc>
        <w:tc>
          <w:tcPr>
            <w:tcW w:w="1183" w:type="dxa"/>
            <w:tcBorders>
              <w:bottom w:val="single" w:sz="6" w:space="0" w:color="000000"/>
            </w:tcBorders>
          </w:tcPr>
          <w:p>
            <w:pPr>
              <w:pStyle w:val="TableParagraph"/>
              <w:spacing w:before="74"/>
              <w:ind w:right="1"/>
              <w:jc w:val="right"/>
              <w:rPr>
                <w:sz w:val="12"/>
              </w:rPr>
            </w:pPr>
            <w:r>
              <w:rPr>
                <w:w w:val="105"/>
                <w:sz w:val="12"/>
              </w:rPr>
              <w:t>6,959,713.58</w:t>
            </w:r>
          </w:p>
        </w:tc>
        <w:tc>
          <w:tcPr>
            <w:tcW w:w="148" w:type="dxa"/>
          </w:tcPr>
          <w:p>
            <w:pPr>
              <w:pStyle w:val="TableParagraph"/>
              <w:rPr>
                <w:rFonts w:ascii="Times New Roman"/>
                <w:sz w:val="16"/>
              </w:rPr>
            </w:pPr>
          </w:p>
        </w:tc>
        <w:tc>
          <w:tcPr>
            <w:tcW w:w="466" w:type="dxa"/>
            <w:tcBorders>
              <w:bottom w:val="single" w:sz="6" w:space="0" w:color="000000"/>
            </w:tcBorders>
          </w:tcPr>
          <w:p>
            <w:pPr>
              <w:pStyle w:val="TableParagraph"/>
              <w:spacing w:before="74"/>
              <w:ind w:right="1"/>
              <w:jc w:val="right"/>
              <w:rPr>
                <w:sz w:val="12"/>
              </w:rPr>
            </w:pPr>
            <w:r>
              <w:rPr>
                <w:w w:val="105"/>
                <w:sz w:val="12"/>
              </w:rPr>
              <w:t>0.40</w:t>
            </w:r>
          </w:p>
        </w:tc>
        <w:tc>
          <w:tcPr>
            <w:tcW w:w="149" w:type="dxa"/>
          </w:tcPr>
          <w:p>
            <w:pPr>
              <w:pStyle w:val="TableParagraph"/>
              <w:rPr>
                <w:rFonts w:ascii="Times New Roman"/>
                <w:sz w:val="16"/>
              </w:rPr>
            </w:pPr>
          </w:p>
        </w:tc>
        <w:tc>
          <w:tcPr>
            <w:tcW w:w="1183" w:type="dxa"/>
            <w:tcBorders>
              <w:bottom w:val="single" w:sz="6" w:space="0" w:color="000000"/>
            </w:tcBorders>
          </w:tcPr>
          <w:p>
            <w:pPr>
              <w:pStyle w:val="TableParagraph"/>
              <w:spacing w:before="74"/>
              <w:ind w:right="1"/>
              <w:jc w:val="right"/>
              <w:rPr>
                <w:sz w:val="12"/>
              </w:rPr>
            </w:pPr>
            <w:r>
              <w:rPr>
                <w:w w:val="105"/>
                <w:sz w:val="12"/>
              </w:rPr>
              <w:t>6,739,488.40</w:t>
            </w:r>
          </w:p>
        </w:tc>
        <w:tc>
          <w:tcPr>
            <w:tcW w:w="761" w:type="dxa"/>
          </w:tcPr>
          <w:p>
            <w:pPr>
              <w:pStyle w:val="TableParagraph"/>
              <w:spacing w:before="74"/>
              <w:ind w:right="148"/>
              <w:jc w:val="right"/>
              <w:rPr>
                <w:sz w:val="12"/>
              </w:rPr>
            </w:pPr>
            <w:r>
              <w:rPr>
                <w:w w:val="105"/>
                <w:sz w:val="12"/>
              </w:rPr>
              <w:t>96.84</w:t>
            </w:r>
          </w:p>
        </w:tc>
        <w:tc>
          <w:tcPr>
            <w:tcW w:w="1233" w:type="dxa"/>
            <w:tcBorders>
              <w:bottom w:val="single" w:sz="6" w:space="0" w:color="000000"/>
            </w:tcBorders>
          </w:tcPr>
          <w:p>
            <w:pPr>
              <w:pStyle w:val="TableParagraph"/>
              <w:spacing w:before="74"/>
              <w:ind w:right="51"/>
              <w:jc w:val="right"/>
              <w:rPr>
                <w:sz w:val="12"/>
              </w:rPr>
            </w:pPr>
            <w:r>
              <w:rPr>
                <w:w w:val="105"/>
                <w:sz w:val="12"/>
              </w:rPr>
              <w:t>220,225.18</w:t>
            </w:r>
          </w:p>
        </w:tc>
      </w:tr>
      <w:tr>
        <w:trPr>
          <w:trHeight w:val="340" w:hRule="atLeast"/>
        </w:trPr>
        <w:tc>
          <w:tcPr>
            <w:tcW w:w="1759" w:type="dxa"/>
          </w:tcPr>
          <w:p>
            <w:pPr>
              <w:pStyle w:val="TableParagraph"/>
              <w:spacing w:before="56"/>
              <w:ind w:left="50"/>
              <w:rPr>
                <w:rFonts w:ascii="微软雅黑" w:eastAsia="微软雅黑" w:hint="eastAsia"/>
                <w:sz w:val="12"/>
              </w:rPr>
            </w:pPr>
            <w:r>
              <w:rPr>
                <w:rFonts w:ascii="微软雅黑" w:eastAsia="微软雅黑" w:hint="eastAsia"/>
                <w:sz w:val="12"/>
              </w:rPr>
              <w:t>合计</w:t>
            </w:r>
          </w:p>
        </w:tc>
        <w:tc>
          <w:tcPr>
            <w:tcW w:w="384" w:type="dxa"/>
          </w:tcPr>
          <w:p>
            <w:pPr>
              <w:pStyle w:val="TableParagraph"/>
              <w:rPr>
                <w:rFonts w:ascii="Times New Roman"/>
                <w:sz w:val="16"/>
              </w:rPr>
            </w:pPr>
          </w:p>
        </w:tc>
        <w:tc>
          <w:tcPr>
            <w:tcW w:w="1183" w:type="dxa"/>
            <w:tcBorders>
              <w:top w:val="single" w:sz="6" w:space="0" w:color="000000"/>
              <w:bottom w:val="double" w:sz="1" w:space="0" w:color="000000"/>
            </w:tcBorders>
          </w:tcPr>
          <w:p>
            <w:pPr>
              <w:pStyle w:val="TableParagraph"/>
              <w:spacing w:before="9"/>
              <w:rPr>
                <w:rFonts w:ascii="微软雅黑"/>
                <w:sz w:val="8"/>
              </w:rPr>
            </w:pPr>
          </w:p>
          <w:p>
            <w:pPr>
              <w:pStyle w:val="TableParagraph"/>
              <w:ind w:right="2"/>
              <w:jc w:val="right"/>
              <w:rPr>
                <w:sz w:val="12"/>
              </w:rPr>
            </w:pPr>
            <w:r>
              <w:rPr>
                <w:w w:val="105"/>
                <w:sz w:val="12"/>
              </w:rPr>
              <w:t>1,744,075,044.23</w:t>
            </w:r>
          </w:p>
        </w:tc>
        <w:tc>
          <w:tcPr>
            <w:tcW w:w="148" w:type="dxa"/>
          </w:tcPr>
          <w:p>
            <w:pPr>
              <w:pStyle w:val="TableParagraph"/>
              <w:rPr>
                <w:rFonts w:ascii="Times New Roman"/>
                <w:sz w:val="16"/>
              </w:rPr>
            </w:pPr>
          </w:p>
        </w:tc>
        <w:tc>
          <w:tcPr>
            <w:tcW w:w="466" w:type="dxa"/>
            <w:tcBorders>
              <w:top w:val="single" w:sz="6" w:space="0" w:color="000000"/>
              <w:bottom w:val="double" w:sz="1" w:space="0" w:color="000000"/>
            </w:tcBorders>
          </w:tcPr>
          <w:p>
            <w:pPr>
              <w:pStyle w:val="TableParagraph"/>
              <w:spacing w:before="9"/>
              <w:rPr>
                <w:rFonts w:ascii="微软雅黑"/>
                <w:sz w:val="8"/>
              </w:rPr>
            </w:pPr>
          </w:p>
          <w:p>
            <w:pPr>
              <w:pStyle w:val="TableParagraph"/>
              <w:ind w:right="1"/>
              <w:jc w:val="right"/>
              <w:rPr>
                <w:sz w:val="12"/>
              </w:rPr>
            </w:pPr>
            <w:r>
              <w:rPr>
                <w:w w:val="105"/>
                <w:sz w:val="12"/>
              </w:rPr>
              <w:t>100.00</w:t>
            </w:r>
          </w:p>
        </w:tc>
        <w:tc>
          <w:tcPr>
            <w:tcW w:w="149" w:type="dxa"/>
          </w:tcPr>
          <w:p>
            <w:pPr>
              <w:pStyle w:val="TableParagraph"/>
              <w:rPr>
                <w:rFonts w:ascii="Times New Roman"/>
                <w:sz w:val="16"/>
              </w:rPr>
            </w:pPr>
          </w:p>
        </w:tc>
        <w:tc>
          <w:tcPr>
            <w:tcW w:w="1183" w:type="dxa"/>
            <w:tcBorders>
              <w:top w:val="single" w:sz="6" w:space="0" w:color="000000"/>
              <w:bottom w:val="double" w:sz="1" w:space="0" w:color="000000"/>
            </w:tcBorders>
          </w:tcPr>
          <w:p>
            <w:pPr>
              <w:pStyle w:val="TableParagraph"/>
              <w:spacing w:before="9"/>
              <w:rPr>
                <w:rFonts w:ascii="微软雅黑"/>
                <w:sz w:val="8"/>
              </w:rPr>
            </w:pPr>
          </w:p>
          <w:p>
            <w:pPr>
              <w:pStyle w:val="TableParagraph"/>
              <w:ind w:right="1"/>
              <w:jc w:val="right"/>
              <w:rPr>
                <w:sz w:val="12"/>
              </w:rPr>
            </w:pPr>
            <w:r>
              <w:rPr>
                <w:w w:val="105"/>
                <w:sz w:val="12"/>
              </w:rPr>
              <w:t>49,245,373.29</w:t>
            </w:r>
          </w:p>
        </w:tc>
        <w:tc>
          <w:tcPr>
            <w:tcW w:w="761" w:type="dxa"/>
          </w:tcPr>
          <w:p>
            <w:pPr>
              <w:pStyle w:val="TableParagraph"/>
              <w:rPr>
                <w:rFonts w:ascii="Times New Roman"/>
                <w:sz w:val="16"/>
              </w:rPr>
            </w:pPr>
          </w:p>
        </w:tc>
        <w:tc>
          <w:tcPr>
            <w:tcW w:w="1233" w:type="dxa"/>
            <w:tcBorders>
              <w:top w:val="single" w:sz="6" w:space="0" w:color="000000"/>
              <w:bottom w:val="double" w:sz="1" w:space="0" w:color="000000"/>
            </w:tcBorders>
          </w:tcPr>
          <w:p>
            <w:pPr>
              <w:pStyle w:val="TableParagraph"/>
              <w:spacing w:before="9"/>
              <w:rPr>
                <w:rFonts w:ascii="微软雅黑"/>
                <w:sz w:val="8"/>
              </w:rPr>
            </w:pPr>
          </w:p>
          <w:p>
            <w:pPr>
              <w:pStyle w:val="TableParagraph"/>
              <w:ind w:right="52"/>
              <w:jc w:val="right"/>
              <w:rPr>
                <w:sz w:val="12"/>
              </w:rPr>
            </w:pPr>
            <w:r>
              <w:rPr>
                <w:w w:val="105"/>
                <w:sz w:val="12"/>
              </w:rPr>
              <w:t>1,694,829,670.94</w:t>
            </w:r>
          </w:p>
        </w:tc>
      </w:tr>
    </w:tbl>
    <w:p>
      <w:pPr>
        <w:pStyle w:val="BodyText"/>
        <w:rPr>
          <w:rFonts w:ascii="微软雅黑"/>
          <w:sz w:val="16"/>
        </w:rPr>
      </w:pPr>
    </w:p>
    <w:p>
      <w:pPr>
        <w:pStyle w:val="BodyText"/>
        <w:rPr>
          <w:rFonts w:ascii="微软雅黑"/>
          <w:sz w:val="16"/>
        </w:rPr>
      </w:pPr>
    </w:p>
    <w:p>
      <w:pPr>
        <w:pStyle w:val="BodyText"/>
        <w:rPr>
          <w:rFonts w:ascii="微软雅黑"/>
          <w:sz w:val="16"/>
        </w:rPr>
      </w:pPr>
    </w:p>
    <w:p>
      <w:pPr>
        <w:pStyle w:val="BodyText"/>
        <w:rPr>
          <w:rFonts w:ascii="微软雅黑"/>
          <w:sz w:val="16"/>
        </w:rPr>
      </w:pPr>
    </w:p>
    <w:p>
      <w:pPr>
        <w:pStyle w:val="BodyText"/>
        <w:rPr>
          <w:rFonts w:ascii="微软雅黑"/>
          <w:sz w:val="16"/>
        </w:rPr>
      </w:pPr>
    </w:p>
    <w:p>
      <w:pPr>
        <w:pStyle w:val="BodyText"/>
        <w:rPr>
          <w:rFonts w:ascii="微软雅黑"/>
          <w:sz w:val="16"/>
        </w:rPr>
      </w:pPr>
    </w:p>
    <w:p>
      <w:pPr>
        <w:pStyle w:val="BodyText"/>
        <w:rPr>
          <w:rFonts w:ascii="微软雅黑"/>
          <w:sz w:val="16"/>
        </w:rPr>
      </w:pPr>
    </w:p>
    <w:p>
      <w:pPr>
        <w:pStyle w:val="BodyText"/>
        <w:rPr>
          <w:rFonts w:ascii="微软雅黑"/>
          <w:sz w:val="16"/>
        </w:rPr>
      </w:pPr>
    </w:p>
    <w:p>
      <w:pPr>
        <w:pStyle w:val="BodyText"/>
        <w:rPr>
          <w:rFonts w:ascii="微软雅黑"/>
          <w:sz w:val="16"/>
        </w:rPr>
      </w:pPr>
    </w:p>
    <w:p>
      <w:pPr>
        <w:pStyle w:val="BodyText"/>
        <w:spacing w:before="1"/>
        <w:rPr>
          <w:rFonts w:ascii="微软雅黑"/>
          <w:sz w:val="17"/>
        </w:rPr>
      </w:pPr>
    </w:p>
    <w:p>
      <w:pPr>
        <w:spacing w:before="0"/>
        <w:ind w:left="4171" w:right="4168" w:firstLine="0"/>
        <w:jc w:val="center"/>
        <w:rPr>
          <w:rFonts w:ascii="Times New Roman"/>
          <w:sz w:val="16"/>
        </w:rPr>
      </w:pPr>
      <w:r>
        <w:rPr>
          <w:rFonts w:ascii="Times New Roman"/>
          <w:sz w:val="16"/>
        </w:rPr>
        <w:t>78</w:t>
      </w:r>
    </w:p>
    <w:p>
      <w:pPr>
        <w:spacing w:after="0"/>
        <w:jc w:val="center"/>
        <w:rPr>
          <w:rFonts w:ascii="Times New Roman"/>
          <w:sz w:val="16"/>
        </w:rPr>
        <w:sectPr>
          <w:pgSz w:w="11900" w:h="16840"/>
          <w:pgMar w:top="1260" w:bottom="280" w:left="1680" w:right="16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1"/>
        <w:gridCol w:w="1632"/>
        <w:gridCol w:w="1631"/>
        <w:gridCol w:w="1629"/>
        <w:gridCol w:w="1631"/>
        <w:gridCol w:w="1630"/>
        <w:gridCol w:w="1606"/>
      </w:tblGrid>
      <w:tr>
        <w:trPr>
          <w:trHeight w:val="220" w:hRule="atLeast"/>
        </w:trPr>
        <w:tc>
          <w:tcPr>
            <w:tcW w:w="9585" w:type="dxa"/>
            <w:gridSpan w:val="5"/>
            <w:vMerge w:val="restart"/>
          </w:tcPr>
          <w:p>
            <w:pPr>
              <w:pStyle w:val="TableParagraph"/>
              <w:rPr>
                <w:rFonts w:ascii="Times New Roman"/>
                <w:sz w:val="16"/>
              </w:rPr>
            </w:pPr>
          </w:p>
        </w:tc>
        <w:tc>
          <w:tcPr>
            <w:tcW w:w="3236" w:type="dxa"/>
            <w:gridSpan w:val="2"/>
          </w:tcPr>
          <w:p>
            <w:pPr>
              <w:pStyle w:val="TableParagraph"/>
              <w:spacing w:line="201" w:lineRule="exact"/>
              <w:ind w:left="1661"/>
              <w:rPr>
                <w:rFonts w:ascii="微软雅黑" w:eastAsia="微软雅黑" w:hint="eastAsia"/>
                <w:i/>
                <w:sz w:val="15"/>
              </w:rPr>
            </w:pPr>
            <w:r>
              <w:rPr>
                <w:rFonts w:ascii="微软雅黑" w:eastAsia="微软雅黑" w:hint="eastAsia"/>
                <w:i/>
                <w:w w:val="95"/>
                <w:sz w:val="15"/>
              </w:rPr>
              <w:t>万科企业股份有限公司</w:t>
            </w:r>
          </w:p>
        </w:tc>
      </w:tr>
      <w:tr>
        <w:trPr>
          <w:trHeight w:val="460" w:hRule="atLeast"/>
        </w:trPr>
        <w:tc>
          <w:tcPr>
            <w:tcW w:w="9585" w:type="dxa"/>
            <w:gridSpan w:val="5"/>
            <w:vMerge/>
            <w:tcBorders>
              <w:top w:val="nil"/>
            </w:tcBorders>
          </w:tcPr>
          <w:p>
            <w:pPr>
              <w:rPr>
                <w:sz w:val="2"/>
                <w:szCs w:val="2"/>
              </w:rPr>
            </w:pPr>
          </w:p>
        </w:tc>
        <w:tc>
          <w:tcPr>
            <w:tcW w:w="3236" w:type="dxa"/>
            <w:gridSpan w:val="2"/>
          </w:tcPr>
          <w:p>
            <w:pPr>
              <w:pStyle w:val="TableParagraph"/>
              <w:spacing w:line="225" w:lineRule="exact"/>
              <w:ind w:left="609"/>
              <w:rPr>
                <w:rFonts w:ascii="微软雅黑" w:eastAsia="微软雅黑" w:hint="eastAsia"/>
                <w:i/>
                <w:sz w:val="15"/>
              </w:rPr>
            </w:pPr>
            <w:r>
              <w:rPr>
                <w:rFonts w:ascii="微软雅黑" w:eastAsia="微软雅黑" w:hint="eastAsia"/>
                <w:i/>
                <w:sz w:val="15"/>
              </w:rPr>
              <w:t>截至 </w:t>
            </w:r>
            <w:r>
              <w:rPr>
                <w:i/>
                <w:sz w:val="14"/>
              </w:rPr>
              <w:t>2017 </w:t>
            </w:r>
            <w:r>
              <w:rPr>
                <w:rFonts w:ascii="微软雅黑" w:eastAsia="微软雅黑" w:hint="eastAsia"/>
                <w:i/>
                <w:sz w:val="15"/>
              </w:rPr>
              <w:t>年 </w:t>
            </w:r>
            <w:r>
              <w:rPr>
                <w:i/>
                <w:sz w:val="14"/>
              </w:rPr>
              <w:t>6 </w:t>
            </w:r>
            <w:r>
              <w:rPr>
                <w:rFonts w:ascii="微软雅黑" w:eastAsia="微软雅黑" w:hint="eastAsia"/>
                <w:i/>
                <w:sz w:val="15"/>
              </w:rPr>
              <w:t>月 </w:t>
            </w:r>
            <w:r>
              <w:rPr>
                <w:i/>
                <w:sz w:val="14"/>
              </w:rPr>
              <w:t>30 </w:t>
            </w:r>
            <w:r>
              <w:rPr>
                <w:rFonts w:ascii="微软雅黑" w:eastAsia="微软雅黑" w:hint="eastAsia"/>
                <w:i/>
                <w:sz w:val="15"/>
              </w:rPr>
              <w:t>日止期间财务报表</w:t>
            </w:r>
          </w:p>
        </w:tc>
      </w:tr>
      <w:tr>
        <w:trPr>
          <w:trHeight w:val="620" w:hRule="atLeast"/>
        </w:trPr>
        <w:tc>
          <w:tcPr>
            <w:tcW w:w="3061" w:type="dxa"/>
          </w:tcPr>
          <w:p>
            <w:pPr>
              <w:pStyle w:val="TableParagraph"/>
              <w:tabs>
                <w:tab w:pos="561" w:val="left" w:leader="none"/>
              </w:tabs>
              <w:spacing w:before="168"/>
              <w:ind w:left="50"/>
              <w:rPr>
                <w:rFonts w:ascii="微软雅黑" w:eastAsia="微软雅黑" w:hint="eastAsia"/>
                <w:sz w:val="19"/>
              </w:rPr>
            </w:pPr>
            <w:r>
              <w:rPr>
                <w:spacing w:val="-8"/>
                <w:sz w:val="19"/>
              </w:rPr>
              <w:t>11</w:t>
              <w:tab/>
            </w:r>
            <w:r>
              <w:rPr>
                <w:rFonts w:ascii="微软雅黑" w:eastAsia="微软雅黑" w:hint="eastAsia"/>
                <w:spacing w:val="-1"/>
                <w:sz w:val="19"/>
              </w:rPr>
              <w:t>固定资产</w:t>
            </w:r>
          </w:p>
        </w:tc>
        <w:tc>
          <w:tcPr>
            <w:tcW w:w="1632" w:type="dxa"/>
          </w:tcPr>
          <w:p>
            <w:pPr>
              <w:pStyle w:val="TableParagraph"/>
              <w:rPr>
                <w:rFonts w:ascii="Times New Roman"/>
                <w:sz w:val="16"/>
              </w:rPr>
            </w:pPr>
          </w:p>
        </w:tc>
        <w:tc>
          <w:tcPr>
            <w:tcW w:w="1631" w:type="dxa"/>
          </w:tcPr>
          <w:p>
            <w:pPr>
              <w:pStyle w:val="TableParagraph"/>
              <w:rPr>
                <w:rFonts w:ascii="Times New Roman"/>
                <w:sz w:val="16"/>
              </w:rPr>
            </w:pPr>
          </w:p>
        </w:tc>
        <w:tc>
          <w:tcPr>
            <w:tcW w:w="1629" w:type="dxa"/>
          </w:tcPr>
          <w:p>
            <w:pPr>
              <w:pStyle w:val="TableParagraph"/>
              <w:rPr>
                <w:rFonts w:ascii="Times New Roman"/>
                <w:sz w:val="16"/>
              </w:rPr>
            </w:pPr>
          </w:p>
        </w:tc>
        <w:tc>
          <w:tcPr>
            <w:tcW w:w="1631" w:type="dxa"/>
          </w:tcPr>
          <w:p>
            <w:pPr>
              <w:pStyle w:val="TableParagraph"/>
              <w:rPr>
                <w:rFonts w:ascii="Times New Roman"/>
                <w:sz w:val="16"/>
              </w:rPr>
            </w:pPr>
          </w:p>
        </w:tc>
        <w:tc>
          <w:tcPr>
            <w:tcW w:w="3236" w:type="dxa"/>
            <w:gridSpan w:val="2"/>
          </w:tcPr>
          <w:p>
            <w:pPr>
              <w:pStyle w:val="TableParagraph"/>
              <w:rPr>
                <w:rFonts w:ascii="Times New Roman"/>
                <w:sz w:val="16"/>
              </w:rPr>
            </w:pPr>
          </w:p>
        </w:tc>
      </w:tr>
      <w:tr>
        <w:trPr>
          <w:trHeight w:val="380" w:hRule="atLeast"/>
        </w:trPr>
        <w:tc>
          <w:tcPr>
            <w:tcW w:w="3061" w:type="dxa"/>
          </w:tcPr>
          <w:p>
            <w:pPr>
              <w:pStyle w:val="TableParagraph"/>
              <w:rPr>
                <w:rFonts w:ascii="Times New Roman"/>
                <w:sz w:val="16"/>
              </w:rPr>
            </w:pPr>
          </w:p>
        </w:tc>
        <w:tc>
          <w:tcPr>
            <w:tcW w:w="1632" w:type="dxa"/>
          </w:tcPr>
          <w:p>
            <w:pPr>
              <w:pStyle w:val="TableParagraph"/>
              <w:spacing w:before="79"/>
              <w:ind w:right="132"/>
              <w:jc w:val="right"/>
              <w:rPr>
                <w:rFonts w:ascii="微软雅黑" w:eastAsia="微软雅黑" w:hint="eastAsia"/>
                <w:sz w:val="16"/>
              </w:rPr>
            </w:pPr>
            <w:r>
              <w:rPr>
                <w:rFonts w:ascii="Times New Roman" w:eastAsia="Times New Roman"/>
                <w:w w:val="101"/>
                <w:sz w:val="16"/>
                <w:u w:val="single"/>
              </w:rPr>
              <w:t> </w:t>
            </w:r>
            <w:r>
              <w:rPr>
                <w:rFonts w:ascii="微软雅黑" w:eastAsia="微软雅黑" w:hint="eastAsia"/>
                <w:sz w:val="16"/>
                <w:u w:val="single"/>
              </w:rPr>
              <w:t>酒店、房屋及建筑物</w:t>
            </w:r>
          </w:p>
        </w:tc>
        <w:tc>
          <w:tcPr>
            <w:tcW w:w="1631" w:type="dxa"/>
          </w:tcPr>
          <w:p>
            <w:pPr>
              <w:pStyle w:val="TableParagraph"/>
              <w:spacing w:before="79"/>
              <w:ind w:right="130"/>
              <w:jc w:val="right"/>
              <w:rPr>
                <w:rFonts w:ascii="微软雅黑" w:eastAsia="微软雅黑" w:hint="eastAsia"/>
                <w:sz w:val="16"/>
              </w:rPr>
            </w:pPr>
            <w:r>
              <w:rPr>
                <w:rFonts w:ascii="Times New Roman" w:eastAsia="Times New Roman"/>
                <w:w w:val="101"/>
                <w:sz w:val="16"/>
                <w:u w:val="single"/>
              </w:rPr>
              <w:t> </w:t>
            </w:r>
            <w:r>
              <w:rPr>
                <w:rFonts w:ascii="微软雅黑" w:eastAsia="微软雅黑" w:hint="eastAsia"/>
                <w:sz w:val="16"/>
                <w:u w:val="single"/>
              </w:rPr>
              <w:t>装修费</w:t>
            </w:r>
          </w:p>
        </w:tc>
        <w:tc>
          <w:tcPr>
            <w:tcW w:w="1629" w:type="dxa"/>
          </w:tcPr>
          <w:p>
            <w:pPr>
              <w:pStyle w:val="TableParagraph"/>
              <w:spacing w:before="79"/>
              <w:ind w:left="34"/>
              <w:rPr>
                <w:rFonts w:ascii="微软雅黑" w:eastAsia="微软雅黑" w:hint="eastAsia"/>
                <w:sz w:val="16"/>
              </w:rPr>
            </w:pPr>
            <w:r>
              <w:rPr>
                <w:rFonts w:ascii="Times New Roman" w:eastAsia="Times New Roman"/>
                <w:w w:val="101"/>
                <w:sz w:val="16"/>
                <w:u w:val="single"/>
              </w:rPr>
              <w:t> </w:t>
            </w:r>
            <w:r>
              <w:rPr>
                <w:rFonts w:ascii="微软雅黑" w:eastAsia="微软雅黑" w:hint="eastAsia"/>
                <w:sz w:val="16"/>
                <w:u w:val="single"/>
              </w:rPr>
              <w:t>机器设备及运输工具</w:t>
            </w:r>
          </w:p>
        </w:tc>
        <w:tc>
          <w:tcPr>
            <w:tcW w:w="1631" w:type="dxa"/>
          </w:tcPr>
          <w:p>
            <w:pPr>
              <w:pStyle w:val="TableParagraph"/>
              <w:spacing w:before="79"/>
              <w:ind w:right="132"/>
              <w:jc w:val="right"/>
              <w:rPr>
                <w:rFonts w:ascii="微软雅黑" w:eastAsia="微软雅黑" w:hint="eastAsia"/>
                <w:sz w:val="16"/>
              </w:rPr>
            </w:pPr>
            <w:r>
              <w:rPr>
                <w:rFonts w:ascii="Times New Roman" w:eastAsia="Times New Roman"/>
                <w:w w:val="101"/>
                <w:sz w:val="16"/>
                <w:u w:val="single"/>
              </w:rPr>
              <w:t> </w:t>
            </w:r>
            <w:r>
              <w:rPr>
                <w:rFonts w:ascii="微软雅黑" w:eastAsia="微软雅黑" w:hint="eastAsia"/>
                <w:sz w:val="16"/>
                <w:u w:val="single"/>
              </w:rPr>
              <w:t>电子设备</w:t>
            </w:r>
          </w:p>
        </w:tc>
        <w:tc>
          <w:tcPr>
            <w:tcW w:w="3236" w:type="dxa"/>
            <w:gridSpan w:val="2"/>
          </w:tcPr>
          <w:p>
            <w:pPr>
              <w:pStyle w:val="TableParagraph"/>
              <w:tabs>
                <w:tab w:pos="2801" w:val="left" w:leader="none"/>
              </w:tabs>
              <w:spacing w:before="79"/>
              <w:ind w:left="847"/>
              <w:rPr>
                <w:rFonts w:ascii="微软雅黑" w:eastAsia="微软雅黑" w:hint="eastAsia"/>
                <w:sz w:val="16"/>
              </w:rPr>
            </w:pPr>
            <w:r>
              <w:rPr>
                <w:rFonts w:ascii="Times New Roman" w:eastAsia="Times New Roman"/>
                <w:spacing w:val="-41"/>
                <w:w w:val="101"/>
                <w:sz w:val="16"/>
                <w:u w:val="single"/>
              </w:rPr>
              <w:t> </w:t>
            </w:r>
            <w:r>
              <w:rPr>
                <w:rFonts w:ascii="微软雅黑" w:eastAsia="微软雅黑" w:hint="eastAsia"/>
                <w:sz w:val="16"/>
                <w:u w:val="single"/>
              </w:rPr>
              <w:t>其他设备</w:t>
            </w:r>
            <w:r>
              <w:rPr>
                <w:rFonts w:ascii="微软雅黑" w:eastAsia="微软雅黑" w:hint="eastAsia"/>
                <w:sz w:val="16"/>
              </w:rPr>
              <w:tab/>
            </w:r>
            <w:r>
              <w:rPr>
                <w:rFonts w:ascii="微软雅黑" w:eastAsia="微软雅黑" w:hint="eastAsia"/>
                <w:sz w:val="16"/>
                <w:u w:val="single"/>
              </w:rPr>
              <w:t> 合计</w:t>
            </w:r>
          </w:p>
        </w:tc>
      </w:tr>
      <w:tr>
        <w:trPr>
          <w:trHeight w:val="260" w:hRule="atLeast"/>
        </w:trPr>
        <w:tc>
          <w:tcPr>
            <w:tcW w:w="3061" w:type="dxa"/>
          </w:tcPr>
          <w:p>
            <w:pPr>
              <w:pStyle w:val="TableParagraph"/>
              <w:spacing w:line="246" w:lineRule="exact"/>
              <w:ind w:left="561"/>
              <w:rPr>
                <w:rFonts w:ascii="微软雅黑" w:eastAsia="微软雅黑" w:hint="eastAsia"/>
                <w:sz w:val="16"/>
              </w:rPr>
            </w:pPr>
            <w:r>
              <w:rPr>
                <w:rFonts w:ascii="微软雅黑" w:eastAsia="微软雅黑" w:hint="eastAsia"/>
                <w:sz w:val="16"/>
              </w:rPr>
              <w:t>账面原值</w:t>
            </w:r>
          </w:p>
        </w:tc>
        <w:tc>
          <w:tcPr>
            <w:tcW w:w="1632" w:type="dxa"/>
          </w:tcPr>
          <w:p>
            <w:pPr>
              <w:pStyle w:val="TableParagraph"/>
              <w:rPr>
                <w:rFonts w:ascii="Times New Roman"/>
                <w:sz w:val="16"/>
              </w:rPr>
            </w:pPr>
          </w:p>
        </w:tc>
        <w:tc>
          <w:tcPr>
            <w:tcW w:w="1631" w:type="dxa"/>
          </w:tcPr>
          <w:p>
            <w:pPr>
              <w:pStyle w:val="TableParagraph"/>
              <w:rPr>
                <w:rFonts w:ascii="Times New Roman"/>
                <w:sz w:val="16"/>
              </w:rPr>
            </w:pPr>
          </w:p>
        </w:tc>
        <w:tc>
          <w:tcPr>
            <w:tcW w:w="1629" w:type="dxa"/>
          </w:tcPr>
          <w:p>
            <w:pPr>
              <w:pStyle w:val="TableParagraph"/>
              <w:rPr>
                <w:rFonts w:ascii="Times New Roman"/>
                <w:sz w:val="16"/>
              </w:rPr>
            </w:pPr>
          </w:p>
        </w:tc>
        <w:tc>
          <w:tcPr>
            <w:tcW w:w="1631" w:type="dxa"/>
          </w:tcPr>
          <w:p>
            <w:pPr>
              <w:pStyle w:val="TableParagraph"/>
              <w:rPr>
                <w:rFonts w:ascii="Times New Roman"/>
                <w:sz w:val="16"/>
              </w:rPr>
            </w:pPr>
          </w:p>
        </w:tc>
        <w:tc>
          <w:tcPr>
            <w:tcW w:w="3236" w:type="dxa"/>
            <w:gridSpan w:val="2"/>
          </w:tcPr>
          <w:p>
            <w:pPr>
              <w:pStyle w:val="TableParagraph"/>
              <w:rPr>
                <w:rFonts w:ascii="Times New Roman"/>
                <w:sz w:val="16"/>
              </w:rPr>
            </w:pPr>
          </w:p>
        </w:tc>
      </w:tr>
      <w:tr>
        <w:trPr>
          <w:trHeight w:val="280" w:hRule="atLeast"/>
        </w:trPr>
        <w:tc>
          <w:tcPr>
            <w:tcW w:w="3061" w:type="dxa"/>
          </w:tcPr>
          <w:p>
            <w:pPr>
              <w:pStyle w:val="TableParagraph"/>
              <w:spacing w:line="246" w:lineRule="exact"/>
              <w:ind w:left="884"/>
              <w:rPr>
                <w:rFonts w:ascii="微软雅黑" w:eastAsia="微软雅黑" w:hint="eastAsia"/>
                <w:sz w:val="16"/>
              </w:rPr>
            </w:pPr>
            <w:r>
              <w:rPr>
                <w:rFonts w:ascii="微软雅黑" w:eastAsia="微软雅黑" w:hint="eastAsia"/>
                <w:sz w:val="16"/>
              </w:rPr>
              <w:t>期初余额</w:t>
            </w:r>
          </w:p>
        </w:tc>
        <w:tc>
          <w:tcPr>
            <w:tcW w:w="1632" w:type="dxa"/>
          </w:tcPr>
          <w:p>
            <w:pPr>
              <w:pStyle w:val="TableParagraph"/>
              <w:spacing w:line="179" w:lineRule="exact" w:before="95"/>
              <w:ind w:right="130"/>
              <w:jc w:val="right"/>
              <w:rPr>
                <w:sz w:val="16"/>
              </w:rPr>
            </w:pPr>
            <w:r>
              <w:rPr>
                <w:sz w:val="16"/>
              </w:rPr>
              <w:t>7,055,062,293.12</w:t>
            </w:r>
          </w:p>
        </w:tc>
        <w:tc>
          <w:tcPr>
            <w:tcW w:w="1631" w:type="dxa"/>
          </w:tcPr>
          <w:p>
            <w:pPr>
              <w:pStyle w:val="TableParagraph"/>
              <w:spacing w:line="179" w:lineRule="exact" w:before="95"/>
              <w:ind w:right="129"/>
              <w:jc w:val="right"/>
              <w:rPr>
                <w:sz w:val="16"/>
              </w:rPr>
            </w:pPr>
            <w:r>
              <w:rPr>
                <w:sz w:val="16"/>
              </w:rPr>
              <w:t>134,804,742.21</w:t>
            </w:r>
          </w:p>
        </w:tc>
        <w:tc>
          <w:tcPr>
            <w:tcW w:w="1629" w:type="dxa"/>
          </w:tcPr>
          <w:p>
            <w:pPr>
              <w:pStyle w:val="TableParagraph"/>
              <w:spacing w:line="179" w:lineRule="exact" w:before="95"/>
              <w:ind w:left="370"/>
              <w:rPr>
                <w:sz w:val="16"/>
              </w:rPr>
            </w:pPr>
            <w:r>
              <w:rPr>
                <w:sz w:val="16"/>
              </w:rPr>
              <w:t>507,692,657.28</w:t>
            </w:r>
          </w:p>
        </w:tc>
        <w:tc>
          <w:tcPr>
            <w:tcW w:w="1631" w:type="dxa"/>
          </w:tcPr>
          <w:p>
            <w:pPr>
              <w:pStyle w:val="TableParagraph"/>
              <w:spacing w:line="179" w:lineRule="exact" w:before="95"/>
              <w:ind w:right="129"/>
              <w:jc w:val="right"/>
              <w:rPr>
                <w:sz w:val="16"/>
              </w:rPr>
            </w:pPr>
            <w:r>
              <w:rPr>
                <w:sz w:val="16"/>
              </w:rPr>
              <w:t>322,589,644.30</w:t>
            </w:r>
          </w:p>
        </w:tc>
        <w:tc>
          <w:tcPr>
            <w:tcW w:w="3236" w:type="dxa"/>
            <w:gridSpan w:val="2"/>
          </w:tcPr>
          <w:p>
            <w:pPr>
              <w:pStyle w:val="TableParagraph"/>
              <w:tabs>
                <w:tab w:pos="1863" w:val="left" w:leader="none"/>
              </w:tabs>
              <w:spacing w:line="179" w:lineRule="exact" w:before="95"/>
              <w:ind w:left="370"/>
              <w:rPr>
                <w:sz w:val="16"/>
              </w:rPr>
            </w:pPr>
            <w:r>
              <w:rPr>
                <w:sz w:val="16"/>
              </w:rPr>
              <w:t>201,115,435.30</w:t>
              <w:tab/>
              <w:t>8,221,264,772.21</w:t>
            </w:r>
          </w:p>
        </w:tc>
      </w:tr>
      <w:tr>
        <w:trPr>
          <w:trHeight w:val="260" w:hRule="atLeast"/>
        </w:trPr>
        <w:tc>
          <w:tcPr>
            <w:tcW w:w="3061" w:type="dxa"/>
          </w:tcPr>
          <w:p>
            <w:pPr>
              <w:pStyle w:val="TableParagraph"/>
              <w:spacing w:line="229" w:lineRule="exact"/>
              <w:ind w:left="884"/>
              <w:rPr>
                <w:rFonts w:ascii="微软雅黑" w:eastAsia="微软雅黑" w:hint="eastAsia"/>
                <w:sz w:val="16"/>
              </w:rPr>
            </w:pPr>
            <w:r>
              <w:rPr>
                <w:rFonts w:ascii="微软雅黑" w:eastAsia="微软雅黑" w:hint="eastAsia"/>
                <w:sz w:val="16"/>
              </w:rPr>
              <w:t>本期增加</w:t>
            </w:r>
          </w:p>
        </w:tc>
        <w:tc>
          <w:tcPr>
            <w:tcW w:w="1632" w:type="dxa"/>
          </w:tcPr>
          <w:p>
            <w:pPr>
              <w:pStyle w:val="TableParagraph"/>
              <w:spacing w:line="179" w:lineRule="exact" w:before="80"/>
              <w:ind w:right="127"/>
              <w:jc w:val="right"/>
              <w:rPr>
                <w:sz w:val="16"/>
              </w:rPr>
            </w:pPr>
            <w:r>
              <w:rPr>
                <w:sz w:val="16"/>
              </w:rPr>
              <w:t>55,645,633.27</w:t>
            </w:r>
          </w:p>
        </w:tc>
        <w:tc>
          <w:tcPr>
            <w:tcW w:w="1631" w:type="dxa"/>
          </w:tcPr>
          <w:p>
            <w:pPr>
              <w:pStyle w:val="TableParagraph"/>
              <w:spacing w:line="179" w:lineRule="exact" w:before="80"/>
              <w:ind w:right="127"/>
              <w:jc w:val="right"/>
              <w:rPr>
                <w:sz w:val="16"/>
              </w:rPr>
            </w:pPr>
            <w:r>
              <w:rPr>
                <w:sz w:val="16"/>
              </w:rPr>
              <w:t>23,141,186.33</w:t>
            </w:r>
          </w:p>
        </w:tc>
        <w:tc>
          <w:tcPr>
            <w:tcW w:w="1629" w:type="dxa"/>
          </w:tcPr>
          <w:p>
            <w:pPr>
              <w:pStyle w:val="TableParagraph"/>
              <w:spacing w:line="179" w:lineRule="exact" w:before="80"/>
              <w:ind w:left="461"/>
              <w:rPr>
                <w:sz w:val="16"/>
              </w:rPr>
            </w:pPr>
            <w:r>
              <w:rPr>
                <w:sz w:val="16"/>
              </w:rPr>
              <w:t>12,428,095.91</w:t>
            </w:r>
          </w:p>
        </w:tc>
        <w:tc>
          <w:tcPr>
            <w:tcW w:w="1631" w:type="dxa"/>
          </w:tcPr>
          <w:p>
            <w:pPr>
              <w:pStyle w:val="TableParagraph"/>
              <w:spacing w:line="179" w:lineRule="exact" w:before="80"/>
              <w:ind w:right="127"/>
              <w:jc w:val="right"/>
              <w:rPr>
                <w:sz w:val="16"/>
              </w:rPr>
            </w:pPr>
            <w:r>
              <w:rPr>
                <w:sz w:val="16"/>
              </w:rPr>
              <w:t>62,189,985.64</w:t>
            </w:r>
          </w:p>
        </w:tc>
        <w:tc>
          <w:tcPr>
            <w:tcW w:w="3236" w:type="dxa"/>
            <w:gridSpan w:val="2"/>
          </w:tcPr>
          <w:p>
            <w:pPr>
              <w:pStyle w:val="TableParagraph"/>
              <w:tabs>
                <w:tab w:pos="1999" w:val="left" w:leader="none"/>
              </w:tabs>
              <w:spacing w:line="179" w:lineRule="exact" w:before="80"/>
              <w:ind w:left="461"/>
              <w:rPr>
                <w:sz w:val="16"/>
              </w:rPr>
            </w:pPr>
            <w:r>
              <w:rPr>
                <w:sz w:val="16"/>
              </w:rPr>
              <w:t>62,397,541.15</w:t>
              <w:tab/>
              <w:t>215,802,442.30</w:t>
            </w:r>
          </w:p>
        </w:tc>
      </w:tr>
      <w:tr>
        <w:trPr>
          <w:trHeight w:val="260" w:hRule="atLeast"/>
        </w:trPr>
        <w:tc>
          <w:tcPr>
            <w:tcW w:w="3061" w:type="dxa"/>
          </w:tcPr>
          <w:p>
            <w:pPr>
              <w:pStyle w:val="TableParagraph"/>
              <w:spacing w:line="229" w:lineRule="exact"/>
              <w:ind w:left="1044" w:right="1559"/>
              <w:jc w:val="center"/>
              <w:rPr>
                <w:rFonts w:ascii="微软雅黑" w:eastAsia="微软雅黑" w:hint="eastAsia"/>
                <w:sz w:val="16"/>
              </w:rPr>
            </w:pPr>
            <w:r>
              <w:rPr>
                <w:sz w:val="16"/>
              </w:rPr>
              <w:t>- </w:t>
            </w:r>
            <w:r>
              <w:rPr>
                <w:rFonts w:ascii="微软雅黑" w:eastAsia="微软雅黑" w:hint="eastAsia"/>
                <w:sz w:val="16"/>
              </w:rPr>
              <w:t>购置</w:t>
            </w:r>
          </w:p>
        </w:tc>
        <w:tc>
          <w:tcPr>
            <w:tcW w:w="1632" w:type="dxa"/>
          </w:tcPr>
          <w:p>
            <w:pPr>
              <w:pStyle w:val="TableParagraph"/>
              <w:spacing w:line="165" w:lineRule="exact" w:before="78"/>
              <w:ind w:right="127"/>
              <w:jc w:val="right"/>
              <w:rPr>
                <w:sz w:val="16"/>
              </w:rPr>
            </w:pPr>
            <w:r>
              <w:rPr>
                <w:sz w:val="16"/>
              </w:rPr>
              <w:t>38,006,907.24</w:t>
            </w:r>
          </w:p>
        </w:tc>
        <w:tc>
          <w:tcPr>
            <w:tcW w:w="1631" w:type="dxa"/>
          </w:tcPr>
          <w:p>
            <w:pPr>
              <w:pStyle w:val="TableParagraph"/>
              <w:spacing w:line="165" w:lineRule="exact" w:before="78"/>
              <w:ind w:right="127"/>
              <w:jc w:val="right"/>
              <w:rPr>
                <w:sz w:val="16"/>
              </w:rPr>
            </w:pPr>
            <w:r>
              <w:rPr>
                <w:sz w:val="16"/>
              </w:rPr>
              <w:t>23,141,186.33</w:t>
            </w:r>
          </w:p>
        </w:tc>
        <w:tc>
          <w:tcPr>
            <w:tcW w:w="1629" w:type="dxa"/>
          </w:tcPr>
          <w:p>
            <w:pPr>
              <w:pStyle w:val="TableParagraph"/>
              <w:spacing w:line="165" w:lineRule="exact" w:before="78"/>
              <w:ind w:left="461"/>
              <w:rPr>
                <w:sz w:val="16"/>
              </w:rPr>
            </w:pPr>
            <w:r>
              <w:rPr>
                <w:sz w:val="16"/>
              </w:rPr>
              <w:t>12,428,095.91</w:t>
            </w:r>
          </w:p>
        </w:tc>
        <w:tc>
          <w:tcPr>
            <w:tcW w:w="1631" w:type="dxa"/>
          </w:tcPr>
          <w:p>
            <w:pPr>
              <w:pStyle w:val="TableParagraph"/>
              <w:spacing w:line="165" w:lineRule="exact" w:before="78"/>
              <w:ind w:right="127"/>
              <w:jc w:val="right"/>
              <w:rPr>
                <w:sz w:val="16"/>
              </w:rPr>
            </w:pPr>
            <w:r>
              <w:rPr>
                <w:sz w:val="16"/>
              </w:rPr>
              <w:t>62,189,985.64</w:t>
            </w:r>
          </w:p>
        </w:tc>
        <w:tc>
          <w:tcPr>
            <w:tcW w:w="3236" w:type="dxa"/>
            <w:gridSpan w:val="2"/>
          </w:tcPr>
          <w:p>
            <w:pPr>
              <w:pStyle w:val="TableParagraph"/>
              <w:tabs>
                <w:tab w:pos="1999" w:val="left" w:leader="none"/>
              </w:tabs>
              <w:spacing w:line="165" w:lineRule="exact" w:before="78"/>
              <w:ind w:left="461"/>
              <w:rPr>
                <w:sz w:val="16"/>
              </w:rPr>
            </w:pPr>
            <w:r>
              <w:rPr>
                <w:sz w:val="16"/>
              </w:rPr>
              <w:t>62,397,541.15</w:t>
              <w:tab/>
              <w:t>198,163,716.27</w:t>
            </w:r>
          </w:p>
        </w:tc>
      </w:tr>
      <w:tr>
        <w:trPr>
          <w:trHeight w:val="280" w:hRule="atLeast"/>
        </w:trPr>
        <w:tc>
          <w:tcPr>
            <w:tcW w:w="12820" w:type="dxa"/>
            <w:gridSpan w:val="7"/>
          </w:tcPr>
          <w:p>
            <w:pPr>
              <w:pStyle w:val="TableParagraph"/>
              <w:tabs>
                <w:tab w:pos="3523" w:val="left" w:leader="none"/>
                <w:tab w:pos="5914" w:val="left" w:leader="none"/>
                <w:tab w:pos="7546" w:val="left" w:leader="none"/>
                <w:tab w:pos="9175" w:val="left" w:leader="none"/>
                <w:tab w:pos="10806" w:val="left" w:leader="none"/>
                <w:tab w:pos="11675" w:val="left" w:leader="none"/>
              </w:tabs>
              <w:spacing w:line="275" w:lineRule="exact"/>
              <w:ind w:left="1059"/>
              <w:rPr>
                <w:sz w:val="16"/>
              </w:rPr>
            </w:pPr>
            <w:r>
              <w:rPr>
                <w:position w:val="4"/>
                <w:sz w:val="16"/>
              </w:rPr>
              <w:t>-</w:t>
            </w:r>
            <w:r>
              <w:rPr>
                <w:spacing w:val="5"/>
                <w:position w:val="4"/>
                <w:sz w:val="16"/>
              </w:rPr>
              <w:t> </w:t>
            </w:r>
            <w:r>
              <w:rPr>
                <w:rFonts w:ascii="微软雅黑" w:eastAsia="微软雅黑" w:hint="eastAsia"/>
                <w:position w:val="4"/>
                <w:sz w:val="16"/>
              </w:rPr>
              <w:t>存货</w:t>
            </w:r>
            <w:r>
              <w:rPr>
                <w:position w:val="4"/>
                <w:sz w:val="16"/>
              </w:rPr>
              <w:t>/</w:t>
            </w:r>
            <w:r>
              <w:rPr>
                <w:rFonts w:ascii="微软雅黑" w:eastAsia="微软雅黑" w:hint="eastAsia"/>
                <w:position w:val="4"/>
                <w:sz w:val="16"/>
              </w:rPr>
              <w:t>投资性房地产转入</w:t>
              <w:tab/>
            </w:r>
            <w:r>
              <w:rPr>
                <w:sz w:val="16"/>
              </w:rPr>
              <w:t>17,638,726.03</w:t>
              <w:tab/>
              <w:t>-</w:t>
              <w:tab/>
              <w:t>-</w:t>
              <w:tab/>
              <w:t>-</w:t>
              <w:tab/>
              <w:t>-</w:t>
              <w:tab/>
              <w:t>17,638,726.03</w:t>
            </w:r>
          </w:p>
        </w:tc>
      </w:tr>
      <w:tr>
        <w:trPr>
          <w:trHeight w:val="260" w:hRule="atLeast"/>
        </w:trPr>
        <w:tc>
          <w:tcPr>
            <w:tcW w:w="3061" w:type="dxa"/>
          </w:tcPr>
          <w:p>
            <w:pPr>
              <w:pStyle w:val="TableParagraph"/>
              <w:spacing w:line="214" w:lineRule="exact"/>
              <w:ind w:left="884"/>
              <w:rPr>
                <w:rFonts w:ascii="微软雅黑" w:eastAsia="微软雅黑" w:hint="eastAsia"/>
                <w:sz w:val="16"/>
              </w:rPr>
            </w:pPr>
            <w:r>
              <w:rPr>
                <w:rFonts w:ascii="微软雅黑" w:eastAsia="微软雅黑" w:hint="eastAsia"/>
                <w:sz w:val="16"/>
              </w:rPr>
              <w:t>本期减少</w:t>
            </w:r>
          </w:p>
        </w:tc>
        <w:tc>
          <w:tcPr>
            <w:tcW w:w="1632" w:type="dxa"/>
          </w:tcPr>
          <w:p>
            <w:pPr>
              <w:pStyle w:val="TableParagraph"/>
              <w:spacing w:line="179" w:lineRule="exact" w:before="65"/>
              <w:ind w:right="72"/>
              <w:jc w:val="right"/>
              <w:rPr>
                <w:sz w:val="16"/>
              </w:rPr>
            </w:pPr>
            <w:r>
              <w:rPr>
                <w:sz w:val="16"/>
              </w:rPr>
              <w:t>(1,596,365.75)</w:t>
            </w:r>
          </w:p>
        </w:tc>
        <w:tc>
          <w:tcPr>
            <w:tcW w:w="1631" w:type="dxa"/>
          </w:tcPr>
          <w:p>
            <w:pPr>
              <w:pStyle w:val="TableParagraph"/>
              <w:spacing w:line="179" w:lineRule="exact" w:before="65"/>
              <w:ind w:right="72"/>
              <w:jc w:val="right"/>
              <w:rPr>
                <w:sz w:val="16"/>
              </w:rPr>
            </w:pPr>
            <w:r>
              <w:rPr>
                <w:sz w:val="16"/>
              </w:rPr>
              <w:t>(1,098,635.40)</w:t>
            </w:r>
          </w:p>
        </w:tc>
        <w:tc>
          <w:tcPr>
            <w:tcW w:w="1629" w:type="dxa"/>
          </w:tcPr>
          <w:p>
            <w:pPr>
              <w:pStyle w:val="TableParagraph"/>
              <w:spacing w:line="179" w:lineRule="exact" w:before="65"/>
              <w:ind w:right="70"/>
              <w:jc w:val="right"/>
              <w:rPr>
                <w:sz w:val="16"/>
              </w:rPr>
            </w:pPr>
            <w:r>
              <w:rPr>
                <w:sz w:val="16"/>
              </w:rPr>
              <w:t>(8,974,764.55)</w:t>
            </w:r>
          </w:p>
        </w:tc>
        <w:tc>
          <w:tcPr>
            <w:tcW w:w="1631" w:type="dxa"/>
          </w:tcPr>
          <w:p>
            <w:pPr>
              <w:pStyle w:val="TableParagraph"/>
              <w:spacing w:line="179" w:lineRule="exact" w:before="65"/>
              <w:ind w:right="72"/>
              <w:jc w:val="right"/>
              <w:rPr>
                <w:sz w:val="16"/>
              </w:rPr>
            </w:pPr>
            <w:r>
              <w:rPr>
                <w:sz w:val="16"/>
              </w:rPr>
              <w:t>(5,105,826.90)</w:t>
            </w:r>
          </w:p>
        </w:tc>
        <w:tc>
          <w:tcPr>
            <w:tcW w:w="1630" w:type="dxa"/>
          </w:tcPr>
          <w:p>
            <w:pPr>
              <w:pStyle w:val="TableParagraph"/>
              <w:spacing w:line="179" w:lineRule="exact" w:before="65"/>
              <w:ind w:right="70"/>
              <w:jc w:val="right"/>
              <w:rPr>
                <w:sz w:val="16"/>
              </w:rPr>
            </w:pPr>
            <w:r>
              <w:rPr>
                <w:sz w:val="16"/>
              </w:rPr>
              <w:t>(26,150,090.52)</w:t>
            </w:r>
          </w:p>
        </w:tc>
        <w:tc>
          <w:tcPr>
            <w:tcW w:w="1606" w:type="dxa"/>
          </w:tcPr>
          <w:p>
            <w:pPr>
              <w:pStyle w:val="TableParagraph"/>
              <w:spacing w:line="179" w:lineRule="exact" w:before="65"/>
              <w:ind w:right="48"/>
              <w:jc w:val="right"/>
              <w:rPr>
                <w:sz w:val="16"/>
              </w:rPr>
            </w:pPr>
            <w:r>
              <w:rPr>
                <w:sz w:val="16"/>
              </w:rPr>
              <w:t>(42,925,683.12)</w:t>
            </w:r>
          </w:p>
        </w:tc>
      </w:tr>
      <w:tr>
        <w:trPr>
          <w:trHeight w:val="260" w:hRule="atLeast"/>
        </w:trPr>
        <w:tc>
          <w:tcPr>
            <w:tcW w:w="3061" w:type="dxa"/>
          </w:tcPr>
          <w:p>
            <w:pPr>
              <w:pStyle w:val="TableParagraph"/>
              <w:spacing w:line="229" w:lineRule="exact"/>
              <w:ind w:right="712"/>
              <w:jc w:val="right"/>
              <w:rPr>
                <w:rFonts w:ascii="微软雅黑" w:eastAsia="微软雅黑" w:hint="eastAsia"/>
                <w:sz w:val="16"/>
              </w:rPr>
            </w:pPr>
            <w:r>
              <w:rPr>
                <w:rFonts w:ascii="微软雅黑" w:eastAsia="微软雅黑" w:hint="eastAsia"/>
                <w:sz w:val="16"/>
              </w:rPr>
              <w:t>因合并范围变化增加</w:t>
            </w:r>
          </w:p>
        </w:tc>
        <w:tc>
          <w:tcPr>
            <w:tcW w:w="1632" w:type="dxa"/>
          </w:tcPr>
          <w:p>
            <w:pPr>
              <w:pStyle w:val="TableParagraph"/>
              <w:spacing w:line="180" w:lineRule="exact" w:before="78"/>
              <w:ind w:right="127"/>
              <w:jc w:val="right"/>
              <w:rPr>
                <w:sz w:val="16"/>
              </w:rPr>
            </w:pPr>
            <w:r>
              <w:rPr>
                <w:sz w:val="16"/>
              </w:rPr>
              <w:t>48,606,302.21</w:t>
            </w:r>
          </w:p>
        </w:tc>
        <w:tc>
          <w:tcPr>
            <w:tcW w:w="1631" w:type="dxa"/>
          </w:tcPr>
          <w:p>
            <w:pPr>
              <w:pStyle w:val="TableParagraph"/>
              <w:spacing w:line="180" w:lineRule="exact" w:before="78"/>
              <w:ind w:right="129"/>
              <w:jc w:val="right"/>
              <w:rPr>
                <w:sz w:val="16"/>
              </w:rPr>
            </w:pPr>
            <w:r>
              <w:rPr>
                <w:sz w:val="16"/>
              </w:rPr>
              <w:t>1,358,613.80</w:t>
            </w:r>
          </w:p>
        </w:tc>
        <w:tc>
          <w:tcPr>
            <w:tcW w:w="1629" w:type="dxa"/>
          </w:tcPr>
          <w:p>
            <w:pPr>
              <w:pStyle w:val="TableParagraph"/>
              <w:spacing w:line="180" w:lineRule="exact" w:before="78"/>
              <w:ind w:right="127"/>
              <w:jc w:val="right"/>
              <w:rPr>
                <w:sz w:val="16"/>
              </w:rPr>
            </w:pPr>
            <w:r>
              <w:rPr>
                <w:sz w:val="16"/>
              </w:rPr>
              <w:t>4,290,258.27</w:t>
            </w:r>
          </w:p>
        </w:tc>
        <w:tc>
          <w:tcPr>
            <w:tcW w:w="1631" w:type="dxa"/>
          </w:tcPr>
          <w:p>
            <w:pPr>
              <w:pStyle w:val="TableParagraph"/>
              <w:spacing w:line="180" w:lineRule="exact" w:before="78"/>
              <w:ind w:right="129"/>
              <w:jc w:val="right"/>
              <w:rPr>
                <w:sz w:val="16"/>
              </w:rPr>
            </w:pPr>
            <w:r>
              <w:rPr>
                <w:sz w:val="16"/>
              </w:rPr>
              <w:t>2,077,971.31</w:t>
            </w:r>
          </w:p>
        </w:tc>
        <w:tc>
          <w:tcPr>
            <w:tcW w:w="1630" w:type="dxa"/>
          </w:tcPr>
          <w:p>
            <w:pPr>
              <w:pStyle w:val="TableParagraph"/>
              <w:spacing w:line="180" w:lineRule="exact" w:before="78"/>
              <w:ind w:right="127"/>
              <w:jc w:val="right"/>
              <w:rPr>
                <w:sz w:val="16"/>
              </w:rPr>
            </w:pPr>
            <w:r>
              <w:rPr>
                <w:sz w:val="16"/>
              </w:rPr>
              <w:t>7,262,262.09</w:t>
            </w:r>
          </w:p>
        </w:tc>
        <w:tc>
          <w:tcPr>
            <w:tcW w:w="1606" w:type="dxa"/>
          </w:tcPr>
          <w:p>
            <w:pPr>
              <w:pStyle w:val="TableParagraph"/>
              <w:spacing w:line="180" w:lineRule="exact" w:before="78"/>
              <w:ind w:right="102"/>
              <w:jc w:val="right"/>
              <w:rPr>
                <w:sz w:val="16"/>
              </w:rPr>
            </w:pPr>
            <w:r>
              <w:rPr>
                <w:sz w:val="16"/>
              </w:rPr>
              <w:t>63,595,407.68</w:t>
            </w:r>
          </w:p>
        </w:tc>
      </w:tr>
      <w:tr>
        <w:trPr>
          <w:trHeight w:val="320" w:hRule="atLeast"/>
        </w:trPr>
        <w:tc>
          <w:tcPr>
            <w:tcW w:w="3061" w:type="dxa"/>
          </w:tcPr>
          <w:p>
            <w:pPr>
              <w:pStyle w:val="TableParagraph"/>
              <w:spacing w:line="230" w:lineRule="exact"/>
              <w:ind w:left="884"/>
              <w:rPr>
                <w:rFonts w:ascii="微软雅黑" w:eastAsia="微软雅黑" w:hint="eastAsia"/>
                <w:sz w:val="16"/>
              </w:rPr>
            </w:pPr>
            <w:r>
              <w:rPr>
                <w:rFonts w:ascii="微软雅黑" w:eastAsia="微软雅黑" w:hint="eastAsia"/>
                <w:sz w:val="16"/>
              </w:rPr>
              <w:t>汇兑调整</w:t>
            </w:r>
          </w:p>
        </w:tc>
        <w:tc>
          <w:tcPr>
            <w:tcW w:w="1632" w:type="dxa"/>
            <w:tcBorders>
              <w:bottom w:val="single" w:sz="6" w:space="0" w:color="000000"/>
            </w:tcBorders>
          </w:tcPr>
          <w:p>
            <w:pPr>
              <w:pStyle w:val="TableParagraph"/>
              <w:spacing w:before="79"/>
              <w:ind w:right="353"/>
              <w:jc w:val="right"/>
              <w:rPr>
                <w:sz w:val="16"/>
              </w:rPr>
            </w:pPr>
            <w:r>
              <w:rPr>
                <w:w w:val="101"/>
                <w:sz w:val="16"/>
              </w:rPr>
              <w:t>-</w:t>
            </w:r>
          </w:p>
        </w:tc>
        <w:tc>
          <w:tcPr>
            <w:tcW w:w="1631" w:type="dxa"/>
            <w:tcBorders>
              <w:bottom w:val="single" w:sz="6" w:space="0" w:color="000000"/>
            </w:tcBorders>
          </w:tcPr>
          <w:p>
            <w:pPr>
              <w:pStyle w:val="TableParagraph"/>
              <w:spacing w:before="79"/>
              <w:ind w:right="74"/>
              <w:jc w:val="right"/>
              <w:rPr>
                <w:sz w:val="16"/>
              </w:rPr>
            </w:pPr>
            <w:r>
              <w:rPr>
                <w:sz w:val="16"/>
              </w:rPr>
              <w:t>(139,504.61)</w:t>
            </w:r>
          </w:p>
        </w:tc>
        <w:tc>
          <w:tcPr>
            <w:tcW w:w="1629" w:type="dxa"/>
            <w:tcBorders>
              <w:bottom w:val="single" w:sz="6" w:space="0" w:color="000000"/>
            </w:tcBorders>
          </w:tcPr>
          <w:p>
            <w:pPr>
              <w:pStyle w:val="TableParagraph"/>
              <w:spacing w:before="79"/>
              <w:ind w:right="351"/>
              <w:jc w:val="right"/>
              <w:rPr>
                <w:sz w:val="16"/>
              </w:rPr>
            </w:pPr>
            <w:r>
              <w:rPr>
                <w:w w:val="101"/>
                <w:sz w:val="16"/>
              </w:rPr>
              <w:t>-</w:t>
            </w:r>
          </w:p>
        </w:tc>
        <w:tc>
          <w:tcPr>
            <w:tcW w:w="1631" w:type="dxa"/>
            <w:tcBorders>
              <w:bottom w:val="single" w:sz="6" w:space="0" w:color="000000"/>
            </w:tcBorders>
          </w:tcPr>
          <w:p>
            <w:pPr>
              <w:pStyle w:val="TableParagraph"/>
              <w:spacing w:before="79"/>
              <w:ind w:right="72"/>
              <w:jc w:val="right"/>
              <w:rPr>
                <w:sz w:val="16"/>
              </w:rPr>
            </w:pPr>
            <w:r>
              <w:rPr>
                <w:sz w:val="16"/>
              </w:rPr>
              <w:t>(38,264.12)</w:t>
            </w:r>
          </w:p>
        </w:tc>
        <w:tc>
          <w:tcPr>
            <w:tcW w:w="1630" w:type="dxa"/>
            <w:tcBorders>
              <w:bottom w:val="single" w:sz="6" w:space="0" w:color="000000"/>
            </w:tcBorders>
          </w:tcPr>
          <w:p>
            <w:pPr>
              <w:pStyle w:val="TableParagraph"/>
              <w:spacing w:before="79"/>
              <w:ind w:right="70"/>
              <w:jc w:val="right"/>
              <w:rPr>
                <w:sz w:val="16"/>
              </w:rPr>
            </w:pPr>
            <w:r>
              <w:rPr>
                <w:sz w:val="16"/>
              </w:rPr>
              <w:t>(3,887,828.92)</w:t>
            </w:r>
          </w:p>
        </w:tc>
        <w:tc>
          <w:tcPr>
            <w:tcW w:w="1606" w:type="dxa"/>
            <w:tcBorders>
              <w:bottom w:val="single" w:sz="6" w:space="0" w:color="000000"/>
            </w:tcBorders>
          </w:tcPr>
          <w:p>
            <w:pPr>
              <w:pStyle w:val="TableParagraph"/>
              <w:spacing w:before="79"/>
              <w:ind w:right="48"/>
              <w:jc w:val="right"/>
              <w:rPr>
                <w:sz w:val="16"/>
              </w:rPr>
            </w:pPr>
            <w:r>
              <w:rPr>
                <w:sz w:val="16"/>
              </w:rPr>
              <w:t>(4,065,597.65)</w:t>
            </w:r>
          </w:p>
        </w:tc>
      </w:tr>
      <w:tr>
        <w:trPr>
          <w:trHeight w:val="460" w:hRule="atLeast"/>
        </w:trPr>
        <w:tc>
          <w:tcPr>
            <w:tcW w:w="3061" w:type="dxa"/>
          </w:tcPr>
          <w:p>
            <w:pPr>
              <w:pStyle w:val="TableParagraph"/>
              <w:spacing w:before="62"/>
              <w:ind w:left="884"/>
              <w:rPr>
                <w:rFonts w:ascii="微软雅黑" w:eastAsia="微软雅黑" w:hint="eastAsia"/>
                <w:sz w:val="16"/>
              </w:rPr>
            </w:pPr>
            <w:r>
              <w:rPr>
                <w:rFonts w:ascii="微软雅黑" w:eastAsia="微软雅黑" w:hint="eastAsia"/>
                <w:sz w:val="16"/>
              </w:rPr>
              <w:t>期末余额</w:t>
            </w:r>
          </w:p>
        </w:tc>
        <w:tc>
          <w:tcPr>
            <w:tcW w:w="1632" w:type="dxa"/>
            <w:tcBorders>
              <w:top w:val="single" w:sz="6" w:space="0" w:color="000000"/>
            </w:tcBorders>
          </w:tcPr>
          <w:p>
            <w:pPr>
              <w:pStyle w:val="TableParagraph"/>
              <w:spacing w:before="3"/>
              <w:rPr>
                <w:rFonts w:ascii="Times New Roman"/>
                <w:sz w:val="16"/>
              </w:rPr>
            </w:pPr>
          </w:p>
          <w:p>
            <w:pPr>
              <w:pStyle w:val="TableParagraph"/>
              <w:spacing w:line="143" w:lineRule="exact" w:before="1"/>
              <w:ind w:left="233"/>
              <w:rPr>
                <w:sz w:val="16"/>
              </w:rPr>
            </w:pPr>
            <w:r>
              <w:rPr>
                <w:sz w:val="16"/>
              </w:rPr>
              <w:t>7,157,717,862.85</w:t>
            </w:r>
          </w:p>
          <w:p>
            <w:pPr>
              <w:pStyle w:val="TableParagraph"/>
              <w:spacing w:line="120" w:lineRule="exact"/>
              <w:ind w:left="-24"/>
              <w:rPr>
                <w:sz w:val="20"/>
              </w:rPr>
            </w:pPr>
            <w:r>
              <w:rPr>
                <w:w w:val="105"/>
                <w:sz w:val="20"/>
              </w:rPr>
              <w:t>----------------------</w:t>
            </w:r>
          </w:p>
        </w:tc>
        <w:tc>
          <w:tcPr>
            <w:tcW w:w="1631" w:type="dxa"/>
            <w:tcBorders>
              <w:top w:val="single" w:sz="6" w:space="0" w:color="000000"/>
            </w:tcBorders>
          </w:tcPr>
          <w:p>
            <w:pPr>
              <w:pStyle w:val="TableParagraph"/>
              <w:spacing w:before="3"/>
              <w:rPr>
                <w:rFonts w:ascii="Times New Roman"/>
                <w:sz w:val="16"/>
              </w:rPr>
            </w:pPr>
          </w:p>
          <w:p>
            <w:pPr>
              <w:pStyle w:val="TableParagraph"/>
              <w:spacing w:line="143" w:lineRule="exact" w:before="1"/>
              <w:ind w:left="370"/>
              <w:rPr>
                <w:sz w:val="16"/>
              </w:rPr>
            </w:pPr>
            <w:r>
              <w:rPr>
                <w:sz w:val="16"/>
              </w:rPr>
              <w:t>158,066,402.33</w:t>
            </w:r>
          </w:p>
          <w:p>
            <w:pPr>
              <w:pStyle w:val="TableParagraph"/>
              <w:spacing w:line="120" w:lineRule="exact"/>
              <w:ind w:left="-24"/>
              <w:rPr>
                <w:sz w:val="20"/>
              </w:rPr>
            </w:pPr>
            <w:r>
              <w:rPr>
                <w:w w:val="105"/>
                <w:sz w:val="20"/>
              </w:rPr>
              <w:t>----------------------</w:t>
            </w:r>
          </w:p>
        </w:tc>
        <w:tc>
          <w:tcPr>
            <w:tcW w:w="1629" w:type="dxa"/>
            <w:tcBorders>
              <w:top w:val="single" w:sz="6" w:space="0" w:color="000000"/>
            </w:tcBorders>
          </w:tcPr>
          <w:p>
            <w:pPr>
              <w:pStyle w:val="TableParagraph"/>
              <w:spacing w:before="3"/>
              <w:rPr>
                <w:rFonts w:ascii="Times New Roman"/>
                <w:sz w:val="16"/>
              </w:rPr>
            </w:pPr>
          </w:p>
          <w:p>
            <w:pPr>
              <w:pStyle w:val="TableParagraph"/>
              <w:spacing w:line="143" w:lineRule="exact" w:before="1"/>
              <w:ind w:left="370"/>
              <w:rPr>
                <w:sz w:val="16"/>
              </w:rPr>
            </w:pPr>
            <w:r>
              <w:rPr>
                <w:sz w:val="16"/>
              </w:rPr>
              <w:t>515,436,246.91</w:t>
            </w:r>
          </w:p>
          <w:p>
            <w:pPr>
              <w:pStyle w:val="TableParagraph"/>
              <w:spacing w:line="120" w:lineRule="exact"/>
              <w:ind w:left="-24"/>
              <w:rPr>
                <w:sz w:val="20"/>
              </w:rPr>
            </w:pPr>
            <w:r>
              <w:rPr>
                <w:w w:val="105"/>
                <w:sz w:val="20"/>
              </w:rPr>
              <w:t>----------------------</w:t>
            </w:r>
          </w:p>
        </w:tc>
        <w:tc>
          <w:tcPr>
            <w:tcW w:w="1631" w:type="dxa"/>
            <w:tcBorders>
              <w:top w:val="single" w:sz="6" w:space="0" w:color="000000"/>
            </w:tcBorders>
          </w:tcPr>
          <w:p>
            <w:pPr>
              <w:pStyle w:val="TableParagraph"/>
              <w:spacing w:before="3"/>
              <w:rPr>
                <w:rFonts w:ascii="Times New Roman"/>
                <w:sz w:val="16"/>
              </w:rPr>
            </w:pPr>
          </w:p>
          <w:p>
            <w:pPr>
              <w:pStyle w:val="TableParagraph"/>
              <w:spacing w:line="143" w:lineRule="exact" w:before="1"/>
              <w:ind w:left="370"/>
              <w:rPr>
                <w:sz w:val="16"/>
              </w:rPr>
            </w:pPr>
            <w:r>
              <w:rPr>
                <w:sz w:val="16"/>
              </w:rPr>
              <w:t>381,713,510.23</w:t>
            </w:r>
          </w:p>
          <w:p>
            <w:pPr>
              <w:pStyle w:val="TableParagraph"/>
              <w:spacing w:line="120" w:lineRule="exact"/>
              <w:ind w:left="-24"/>
              <w:rPr>
                <w:sz w:val="20"/>
              </w:rPr>
            </w:pPr>
            <w:r>
              <w:rPr>
                <w:w w:val="105"/>
                <w:sz w:val="20"/>
              </w:rPr>
              <w:t>----------------------</w:t>
            </w:r>
          </w:p>
        </w:tc>
        <w:tc>
          <w:tcPr>
            <w:tcW w:w="1630" w:type="dxa"/>
            <w:tcBorders>
              <w:top w:val="single" w:sz="6" w:space="0" w:color="000000"/>
            </w:tcBorders>
          </w:tcPr>
          <w:p>
            <w:pPr>
              <w:pStyle w:val="TableParagraph"/>
              <w:spacing w:before="3"/>
              <w:rPr>
                <w:rFonts w:ascii="Times New Roman"/>
                <w:sz w:val="16"/>
              </w:rPr>
            </w:pPr>
          </w:p>
          <w:p>
            <w:pPr>
              <w:pStyle w:val="TableParagraph"/>
              <w:spacing w:line="143" w:lineRule="exact" w:before="1"/>
              <w:ind w:left="370"/>
              <w:rPr>
                <w:sz w:val="16"/>
              </w:rPr>
            </w:pPr>
            <w:r>
              <w:rPr>
                <w:sz w:val="16"/>
              </w:rPr>
              <w:t>240,737,319.10</w:t>
            </w:r>
          </w:p>
          <w:p>
            <w:pPr>
              <w:pStyle w:val="TableParagraph"/>
              <w:spacing w:line="120" w:lineRule="exact"/>
              <w:ind w:left="-24"/>
              <w:rPr>
                <w:sz w:val="20"/>
              </w:rPr>
            </w:pPr>
            <w:r>
              <w:rPr>
                <w:w w:val="105"/>
                <w:sz w:val="20"/>
              </w:rPr>
              <w:t>----------------------</w:t>
            </w:r>
          </w:p>
        </w:tc>
        <w:tc>
          <w:tcPr>
            <w:tcW w:w="1606" w:type="dxa"/>
            <w:tcBorders>
              <w:top w:val="single" w:sz="6" w:space="0" w:color="000000"/>
            </w:tcBorders>
          </w:tcPr>
          <w:p>
            <w:pPr>
              <w:pStyle w:val="TableParagraph"/>
              <w:spacing w:line="217" w:lineRule="exact" w:before="188"/>
              <w:ind w:left="-24"/>
              <w:rPr>
                <w:sz w:val="16"/>
              </w:rPr>
            </w:pPr>
            <w:r>
              <w:rPr>
                <w:position w:val="-13"/>
                <w:sz w:val="20"/>
              </w:rPr>
              <w:t>--- </w:t>
            </w:r>
            <w:r>
              <w:rPr>
                <w:sz w:val="16"/>
              </w:rPr>
              <w:t>8,453,671,341.42</w:t>
            </w:r>
          </w:p>
          <w:p>
            <w:pPr>
              <w:pStyle w:val="TableParagraph"/>
              <w:spacing w:line="46" w:lineRule="exact"/>
              <w:ind w:left="184"/>
              <w:rPr>
                <w:sz w:val="20"/>
              </w:rPr>
            </w:pPr>
            <w:r>
              <w:rPr>
                <w:w w:val="105"/>
                <w:sz w:val="20"/>
              </w:rPr>
              <w:t>-------------------</w:t>
            </w:r>
          </w:p>
        </w:tc>
      </w:tr>
      <w:tr>
        <w:trPr>
          <w:trHeight w:val="340" w:hRule="atLeast"/>
        </w:trPr>
        <w:tc>
          <w:tcPr>
            <w:tcW w:w="3061" w:type="dxa"/>
          </w:tcPr>
          <w:p>
            <w:pPr>
              <w:pStyle w:val="TableParagraph"/>
              <w:spacing w:before="35"/>
              <w:ind w:left="561"/>
              <w:rPr>
                <w:rFonts w:ascii="微软雅黑" w:eastAsia="微软雅黑" w:hint="eastAsia"/>
                <w:sz w:val="16"/>
              </w:rPr>
            </w:pPr>
            <w:r>
              <w:rPr>
                <w:rFonts w:ascii="微软雅黑" w:eastAsia="微软雅黑" w:hint="eastAsia"/>
                <w:sz w:val="16"/>
              </w:rPr>
              <w:t>累计折旧</w:t>
            </w:r>
          </w:p>
        </w:tc>
        <w:tc>
          <w:tcPr>
            <w:tcW w:w="1632" w:type="dxa"/>
          </w:tcPr>
          <w:p>
            <w:pPr>
              <w:pStyle w:val="TableParagraph"/>
              <w:rPr>
                <w:rFonts w:ascii="Times New Roman"/>
                <w:sz w:val="16"/>
              </w:rPr>
            </w:pPr>
          </w:p>
        </w:tc>
        <w:tc>
          <w:tcPr>
            <w:tcW w:w="1631" w:type="dxa"/>
          </w:tcPr>
          <w:p>
            <w:pPr>
              <w:pStyle w:val="TableParagraph"/>
              <w:rPr>
                <w:rFonts w:ascii="Times New Roman"/>
                <w:sz w:val="16"/>
              </w:rPr>
            </w:pPr>
          </w:p>
        </w:tc>
        <w:tc>
          <w:tcPr>
            <w:tcW w:w="1629" w:type="dxa"/>
          </w:tcPr>
          <w:p>
            <w:pPr>
              <w:pStyle w:val="TableParagraph"/>
              <w:rPr>
                <w:rFonts w:ascii="Times New Roman"/>
                <w:sz w:val="16"/>
              </w:rPr>
            </w:pPr>
          </w:p>
        </w:tc>
        <w:tc>
          <w:tcPr>
            <w:tcW w:w="1631" w:type="dxa"/>
          </w:tcPr>
          <w:p>
            <w:pPr>
              <w:pStyle w:val="TableParagraph"/>
              <w:rPr>
                <w:rFonts w:ascii="Times New Roman"/>
                <w:sz w:val="16"/>
              </w:rPr>
            </w:pPr>
          </w:p>
        </w:tc>
        <w:tc>
          <w:tcPr>
            <w:tcW w:w="1630" w:type="dxa"/>
          </w:tcPr>
          <w:p>
            <w:pPr>
              <w:pStyle w:val="TableParagraph"/>
              <w:rPr>
                <w:rFonts w:ascii="Times New Roman"/>
                <w:sz w:val="16"/>
              </w:rPr>
            </w:pPr>
          </w:p>
        </w:tc>
        <w:tc>
          <w:tcPr>
            <w:tcW w:w="1606" w:type="dxa"/>
          </w:tcPr>
          <w:p>
            <w:pPr>
              <w:pStyle w:val="TableParagraph"/>
              <w:rPr>
                <w:rFonts w:ascii="Times New Roman"/>
                <w:sz w:val="16"/>
              </w:rPr>
            </w:pPr>
          </w:p>
        </w:tc>
      </w:tr>
      <w:tr>
        <w:trPr>
          <w:trHeight w:val="280" w:hRule="atLeast"/>
        </w:trPr>
        <w:tc>
          <w:tcPr>
            <w:tcW w:w="3061" w:type="dxa"/>
          </w:tcPr>
          <w:p>
            <w:pPr>
              <w:pStyle w:val="TableParagraph"/>
              <w:spacing w:line="246" w:lineRule="exact"/>
              <w:ind w:left="884"/>
              <w:rPr>
                <w:rFonts w:ascii="微软雅黑" w:eastAsia="微软雅黑" w:hint="eastAsia"/>
                <w:sz w:val="16"/>
              </w:rPr>
            </w:pPr>
            <w:r>
              <w:rPr>
                <w:rFonts w:ascii="微软雅黑" w:eastAsia="微软雅黑" w:hint="eastAsia"/>
                <w:sz w:val="16"/>
              </w:rPr>
              <w:t>期初余额</w:t>
            </w:r>
          </w:p>
        </w:tc>
        <w:tc>
          <w:tcPr>
            <w:tcW w:w="1632" w:type="dxa"/>
          </w:tcPr>
          <w:p>
            <w:pPr>
              <w:pStyle w:val="TableParagraph"/>
              <w:spacing w:line="180" w:lineRule="exact" w:before="95"/>
              <w:ind w:right="129"/>
              <w:jc w:val="right"/>
              <w:rPr>
                <w:sz w:val="16"/>
              </w:rPr>
            </w:pPr>
            <w:r>
              <w:rPr>
                <w:sz w:val="16"/>
              </w:rPr>
              <w:t>852,302,431.48</w:t>
            </w:r>
          </w:p>
        </w:tc>
        <w:tc>
          <w:tcPr>
            <w:tcW w:w="1631" w:type="dxa"/>
          </w:tcPr>
          <w:p>
            <w:pPr>
              <w:pStyle w:val="TableParagraph"/>
              <w:spacing w:line="180" w:lineRule="exact" w:before="95"/>
              <w:ind w:right="127"/>
              <w:jc w:val="right"/>
              <w:rPr>
                <w:sz w:val="16"/>
              </w:rPr>
            </w:pPr>
            <w:r>
              <w:rPr>
                <w:sz w:val="16"/>
              </w:rPr>
              <w:t>70,452,277.18</w:t>
            </w:r>
          </w:p>
        </w:tc>
        <w:tc>
          <w:tcPr>
            <w:tcW w:w="1629" w:type="dxa"/>
          </w:tcPr>
          <w:p>
            <w:pPr>
              <w:pStyle w:val="TableParagraph"/>
              <w:spacing w:line="180" w:lineRule="exact" w:before="95"/>
              <w:ind w:left="370"/>
              <w:rPr>
                <w:sz w:val="16"/>
              </w:rPr>
            </w:pPr>
            <w:r>
              <w:rPr>
                <w:sz w:val="16"/>
              </w:rPr>
              <w:t>167,198,717.67</w:t>
            </w:r>
          </w:p>
        </w:tc>
        <w:tc>
          <w:tcPr>
            <w:tcW w:w="1631" w:type="dxa"/>
          </w:tcPr>
          <w:p>
            <w:pPr>
              <w:pStyle w:val="TableParagraph"/>
              <w:spacing w:line="180" w:lineRule="exact" w:before="95"/>
              <w:ind w:right="129"/>
              <w:jc w:val="right"/>
              <w:rPr>
                <w:sz w:val="16"/>
              </w:rPr>
            </w:pPr>
            <w:r>
              <w:rPr>
                <w:sz w:val="16"/>
              </w:rPr>
              <w:t>220,683,936.89</w:t>
            </w:r>
          </w:p>
        </w:tc>
        <w:tc>
          <w:tcPr>
            <w:tcW w:w="1630" w:type="dxa"/>
          </w:tcPr>
          <w:p>
            <w:pPr>
              <w:pStyle w:val="TableParagraph"/>
              <w:spacing w:line="180" w:lineRule="exact" w:before="95"/>
              <w:ind w:right="125"/>
              <w:jc w:val="right"/>
              <w:rPr>
                <w:sz w:val="16"/>
              </w:rPr>
            </w:pPr>
            <w:r>
              <w:rPr>
                <w:sz w:val="16"/>
              </w:rPr>
              <w:t>99,834,335.41</w:t>
            </w:r>
          </w:p>
        </w:tc>
        <w:tc>
          <w:tcPr>
            <w:tcW w:w="1606" w:type="dxa"/>
          </w:tcPr>
          <w:p>
            <w:pPr>
              <w:pStyle w:val="TableParagraph"/>
              <w:spacing w:line="180" w:lineRule="exact" w:before="95"/>
              <w:ind w:right="105"/>
              <w:jc w:val="right"/>
              <w:rPr>
                <w:sz w:val="16"/>
              </w:rPr>
            </w:pPr>
            <w:r>
              <w:rPr>
                <w:sz w:val="16"/>
              </w:rPr>
              <w:t>1,410,471,698.63</w:t>
            </w:r>
          </w:p>
        </w:tc>
      </w:tr>
      <w:tr>
        <w:trPr>
          <w:trHeight w:val="260" w:hRule="atLeast"/>
        </w:trPr>
        <w:tc>
          <w:tcPr>
            <w:tcW w:w="3061" w:type="dxa"/>
          </w:tcPr>
          <w:p>
            <w:pPr>
              <w:pStyle w:val="TableParagraph"/>
              <w:spacing w:line="229" w:lineRule="exact"/>
              <w:ind w:left="884"/>
              <w:rPr>
                <w:rFonts w:ascii="微软雅黑" w:eastAsia="微软雅黑" w:hint="eastAsia"/>
                <w:sz w:val="16"/>
              </w:rPr>
            </w:pPr>
            <w:r>
              <w:rPr>
                <w:rFonts w:ascii="微软雅黑" w:eastAsia="微软雅黑" w:hint="eastAsia"/>
                <w:sz w:val="16"/>
              </w:rPr>
              <w:t>本期计提</w:t>
            </w:r>
          </w:p>
        </w:tc>
        <w:tc>
          <w:tcPr>
            <w:tcW w:w="1632" w:type="dxa"/>
          </w:tcPr>
          <w:p>
            <w:pPr>
              <w:pStyle w:val="TableParagraph"/>
              <w:spacing w:line="179" w:lineRule="exact" w:before="80"/>
              <w:ind w:right="129"/>
              <w:jc w:val="right"/>
              <w:rPr>
                <w:sz w:val="16"/>
              </w:rPr>
            </w:pPr>
            <w:r>
              <w:rPr>
                <w:sz w:val="16"/>
              </w:rPr>
              <w:t>137,922,070.77</w:t>
            </w:r>
          </w:p>
        </w:tc>
        <w:tc>
          <w:tcPr>
            <w:tcW w:w="1631" w:type="dxa"/>
          </w:tcPr>
          <w:p>
            <w:pPr>
              <w:pStyle w:val="TableParagraph"/>
              <w:spacing w:line="179" w:lineRule="exact" w:before="80"/>
              <w:ind w:right="129"/>
              <w:jc w:val="right"/>
              <w:rPr>
                <w:sz w:val="16"/>
              </w:rPr>
            </w:pPr>
            <w:r>
              <w:rPr>
                <w:sz w:val="16"/>
              </w:rPr>
              <w:t>9,425,881.60</w:t>
            </w:r>
          </w:p>
        </w:tc>
        <w:tc>
          <w:tcPr>
            <w:tcW w:w="1629" w:type="dxa"/>
          </w:tcPr>
          <w:p>
            <w:pPr>
              <w:pStyle w:val="TableParagraph"/>
              <w:spacing w:line="179" w:lineRule="exact" w:before="80"/>
              <w:ind w:left="461"/>
              <w:rPr>
                <w:sz w:val="16"/>
              </w:rPr>
            </w:pPr>
            <w:r>
              <w:rPr>
                <w:sz w:val="16"/>
              </w:rPr>
              <w:t>22,924,906.57</w:t>
            </w:r>
          </w:p>
        </w:tc>
        <w:tc>
          <w:tcPr>
            <w:tcW w:w="1631" w:type="dxa"/>
          </w:tcPr>
          <w:p>
            <w:pPr>
              <w:pStyle w:val="TableParagraph"/>
              <w:spacing w:line="179" w:lineRule="exact" w:before="80"/>
              <w:ind w:right="127"/>
              <w:jc w:val="right"/>
              <w:rPr>
                <w:sz w:val="16"/>
              </w:rPr>
            </w:pPr>
            <w:r>
              <w:rPr>
                <w:sz w:val="16"/>
              </w:rPr>
              <w:t>19,932,946.94</w:t>
            </w:r>
          </w:p>
        </w:tc>
        <w:tc>
          <w:tcPr>
            <w:tcW w:w="1630" w:type="dxa"/>
          </w:tcPr>
          <w:p>
            <w:pPr>
              <w:pStyle w:val="TableParagraph"/>
              <w:spacing w:line="179" w:lineRule="exact" w:before="80"/>
              <w:ind w:right="125"/>
              <w:jc w:val="right"/>
              <w:rPr>
                <w:sz w:val="16"/>
              </w:rPr>
            </w:pPr>
            <w:r>
              <w:rPr>
                <w:sz w:val="16"/>
              </w:rPr>
              <w:t>18,486,068.93</w:t>
            </w:r>
          </w:p>
        </w:tc>
        <w:tc>
          <w:tcPr>
            <w:tcW w:w="1606" w:type="dxa"/>
          </w:tcPr>
          <w:p>
            <w:pPr>
              <w:pStyle w:val="TableParagraph"/>
              <w:spacing w:line="179" w:lineRule="exact" w:before="80"/>
              <w:ind w:right="104"/>
              <w:jc w:val="right"/>
              <w:rPr>
                <w:sz w:val="16"/>
              </w:rPr>
            </w:pPr>
            <w:r>
              <w:rPr>
                <w:sz w:val="16"/>
              </w:rPr>
              <w:t>208,691,874.81</w:t>
            </w:r>
          </w:p>
        </w:tc>
      </w:tr>
      <w:tr>
        <w:trPr>
          <w:trHeight w:val="260" w:hRule="atLeast"/>
        </w:trPr>
        <w:tc>
          <w:tcPr>
            <w:tcW w:w="3061" w:type="dxa"/>
          </w:tcPr>
          <w:p>
            <w:pPr>
              <w:pStyle w:val="TableParagraph"/>
              <w:spacing w:line="229" w:lineRule="exact"/>
              <w:ind w:left="884"/>
              <w:rPr>
                <w:rFonts w:ascii="微软雅黑" w:eastAsia="微软雅黑" w:hint="eastAsia"/>
                <w:sz w:val="16"/>
              </w:rPr>
            </w:pPr>
            <w:r>
              <w:rPr>
                <w:rFonts w:ascii="微软雅黑" w:eastAsia="微软雅黑" w:hint="eastAsia"/>
                <w:sz w:val="16"/>
              </w:rPr>
              <w:t>本期处置或报废</w:t>
            </w:r>
          </w:p>
        </w:tc>
        <w:tc>
          <w:tcPr>
            <w:tcW w:w="1632" w:type="dxa"/>
          </w:tcPr>
          <w:p>
            <w:pPr>
              <w:pStyle w:val="TableParagraph"/>
              <w:spacing w:line="179" w:lineRule="exact" w:before="80"/>
              <w:ind w:right="74"/>
              <w:jc w:val="right"/>
              <w:rPr>
                <w:sz w:val="16"/>
              </w:rPr>
            </w:pPr>
            <w:r>
              <w:rPr>
                <w:sz w:val="16"/>
              </w:rPr>
              <w:t>(153,309.28)</w:t>
            </w:r>
          </w:p>
        </w:tc>
        <w:tc>
          <w:tcPr>
            <w:tcW w:w="1631" w:type="dxa"/>
          </w:tcPr>
          <w:p>
            <w:pPr>
              <w:pStyle w:val="TableParagraph"/>
              <w:spacing w:line="179" w:lineRule="exact" w:before="80"/>
              <w:ind w:right="74"/>
              <w:jc w:val="right"/>
              <w:rPr>
                <w:sz w:val="16"/>
              </w:rPr>
            </w:pPr>
            <w:r>
              <w:rPr>
                <w:sz w:val="16"/>
              </w:rPr>
              <w:t>(281,373.30)</w:t>
            </w:r>
          </w:p>
        </w:tc>
        <w:tc>
          <w:tcPr>
            <w:tcW w:w="1629" w:type="dxa"/>
          </w:tcPr>
          <w:p>
            <w:pPr>
              <w:pStyle w:val="TableParagraph"/>
              <w:spacing w:line="179" w:lineRule="exact" w:before="80"/>
              <w:ind w:right="70"/>
              <w:jc w:val="right"/>
              <w:rPr>
                <w:sz w:val="16"/>
              </w:rPr>
            </w:pPr>
            <w:r>
              <w:rPr>
                <w:sz w:val="16"/>
              </w:rPr>
              <w:t>(6,440,035.98)</w:t>
            </w:r>
          </w:p>
        </w:tc>
        <w:tc>
          <w:tcPr>
            <w:tcW w:w="1631" w:type="dxa"/>
          </w:tcPr>
          <w:p>
            <w:pPr>
              <w:pStyle w:val="TableParagraph"/>
              <w:spacing w:line="179" w:lineRule="exact" w:before="80"/>
              <w:ind w:right="72"/>
              <w:jc w:val="right"/>
              <w:rPr>
                <w:sz w:val="16"/>
              </w:rPr>
            </w:pPr>
            <w:r>
              <w:rPr>
                <w:sz w:val="16"/>
              </w:rPr>
              <w:t>(2,941,935.30)</w:t>
            </w:r>
          </w:p>
        </w:tc>
        <w:tc>
          <w:tcPr>
            <w:tcW w:w="1630" w:type="dxa"/>
          </w:tcPr>
          <w:p>
            <w:pPr>
              <w:pStyle w:val="TableParagraph"/>
              <w:spacing w:line="179" w:lineRule="exact" w:before="80"/>
              <w:ind w:right="70"/>
              <w:jc w:val="right"/>
              <w:rPr>
                <w:sz w:val="16"/>
              </w:rPr>
            </w:pPr>
            <w:r>
              <w:rPr>
                <w:sz w:val="16"/>
              </w:rPr>
              <w:t>(2,128,494.05)</w:t>
            </w:r>
          </w:p>
        </w:tc>
        <w:tc>
          <w:tcPr>
            <w:tcW w:w="1606" w:type="dxa"/>
          </w:tcPr>
          <w:p>
            <w:pPr>
              <w:pStyle w:val="TableParagraph"/>
              <w:spacing w:line="179" w:lineRule="exact" w:before="80"/>
              <w:ind w:right="48"/>
              <w:jc w:val="right"/>
              <w:rPr>
                <w:sz w:val="16"/>
              </w:rPr>
            </w:pPr>
            <w:r>
              <w:rPr>
                <w:sz w:val="16"/>
              </w:rPr>
              <w:t>(11,945,147.91)</w:t>
            </w:r>
          </w:p>
        </w:tc>
      </w:tr>
      <w:tr>
        <w:trPr>
          <w:trHeight w:val="260" w:hRule="atLeast"/>
        </w:trPr>
        <w:tc>
          <w:tcPr>
            <w:tcW w:w="3061" w:type="dxa"/>
          </w:tcPr>
          <w:p>
            <w:pPr>
              <w:pStyle w:val="TableParagraph"/>
              <w:spacing w:line="229" w:lineRule="exact"/>
              <w:ind w:right="712"/>
              <w:jc w:val="right"/>
              <w:rPr>
                <w:rFonts w:ascii="微软雅黑" w:eastAsia="微软雅黑" w:hint="eastAsia"/>
                <w:sz w:val="16"/>
              </w:rPr>
            </w:pPr>
            <w:r>
              <w:rPr>
                <w:rFonts w:ascii="微软雅黑" w:eastAsia="微软雅黑" w:hint="eastAsia"/>
                <w:sz w:val="16"/>
              </w:rPr>
              <w:t>因合并范围变化增加</w:t>
            </w:r>
          </w:p>
        </w:tc>
        <w:tc>
          <w:tcPr>
            <w:tcW w:w="1632" w:type="dxa"/>
          </w:tcPr>
          <w:p>
            <w:pPr>
              <w:pStyle w:val="TableParagraph"/>
              <w:spacing w:line="179" w:lineRule="exact" w:before="78"/>
              <w:ind w:right="129"/>
              <w:jc w:val="right"/>
              <w:rPr>
                <w:sz w:val="16"/>
              </w:rPr>
            </w:pPr>
            <w:r>
              <w:rPr>
                <w:sz w:val="16"/>
              </w:rPr>
              <w:t>5,643,484.65</w:t>
            </w:r>
          </w:p>
        </w:tc>
        <w:tc>
          <w:tcPr>
            <w:tcW w:w="1631" w:type="dxa"/>
          </w:tcPr>
          <w:p>
            <w:pPr>
              <w:pStyle w:val="TableParagraph"/>
              <w:spacing w:line="179" w:lineRule="exact" w:before="78"/>
              <w:ind w:right="129"/>
              <w:jc w:val="right"/>
              <w:rPr>
                <w:sz w:val="16"/>
              </w:rPr>
            </w:pPr>
            <w:r>
              <w:rPr>
                <w:sz w:val="16"/>
              </w:rPr>
              <w:t>684,342.76</w:t>
            </w:r>
          </w:p>
        </w:tc>
        <w:tc>
          <w:tcPr>
            <w:tcW w:w="1629" w:type="dxa"/>
          </w:tcPr>
          <w:p>
            <w:pPr>
              <w:pStyle w:val="TableParagraph"/>
              <w:spacing w:line="179" w:lineRule="exact" w:before="78"/>
              <w:ind w:right="127"/>
              <w:jc w:val="right"/>
              <w:rPr>
                <w:sz w:val="16"/>
              </w:rPr>
            </w:pPr>
            <w:r>
              <w:rPr>
                <w:sz w:val="16"/>
              </w:rPr>
              <w:t>1,346,690.35</w:t>
            </w:r>
          </w:p>
        </w:tc>
        <w:tc>
          <w:tcPr>
            <w:tcW w:w="1631" w:type="dxa"/>
          </w:tcPr>
          <w:p>
            <w:pPr>
              <w:pStyle w:val="TableParagraph"/>
              <w:spacing w:line="179" w:lineRule="exact" w:before="78"/>
              <w:ind w:right="129"/>
              <w:jc w:val="right"/>
              <w:rPr>
                <w:sz w:val="16"/>
              </w:rPr>
            </w:pPr>
            <w:r>
              <w:rPr>
                <w:sz w:val="16"/>
              </w:rPr>
              <w:t>1,105,455.58</w:t>
            </w:r>
          </w:p>
        </w:tc>
        <w:tc>
          <w:tcPr>
            <w:tcW w:w="1630" w:type="dxa"/>
          </w:tcPr>
          <w:p>
            <w:pPr>
              <w:pStyle w:val="TableParagraph"/>
              <w:spacing w:line="179" w:lineRule="exact" w:before="78"/>
              <w:ind w:right="127"/>
              <w:jc w:val="right"/>
              <w:rPr>
                <w:sz w:val="16"/>
              </w:rPr>
            </w:pPr>
            <w:r>
              <w:rPr>
                <w:sz w:val="16"/>
              </w:rPr>
              <w:t>5,588,379.03</w:t>
            </w:r>
          </w:p>
        </w:tc>
        <w:tc>
          <w:tcPr>
            <w:tcW w:w="1606" w:type="dxa"/>
          </w:tcPr>
          <w:p>
            <w:pPr>
              <w:pStyle w:val="TableParagraph"/>
              <w:spacing w:line="179" w:lineRule="exact" w:before="78"/>
              <w:ind w:right="102"/>
              <w:jc w:val="right"/>
              <w:rPr>
                <w:sz w:val="16"/>
              </w:rPr>
            </w:pPr>
            <w:r>
              <w:rPr>
                <w:sz w:val="16"/>
              </w:rPr>
              <w:t>14,368,352.37</w:t>
            </w:r>
          </w:p>
        </w:tc>
      </w:tr>
      <w:tr>
        <w:trPr>
          <w:trHeight w:val="320" w:hRule="atLeast"/>
        </w:trPr>
        <w:tc>
          <w:tcPr>
            <w:tcW w:w="3061" w:type="dxa"/>
          </w:tcPr>
          <w:p>
            <w:pPr>
              <w:pStyle w:val="TableParagraph"/>
              <w:spacing w:line="229" w:lineRule="exact"/>
              <w:ind w:left="884"/>
              <w:rPr>
                <w:rFonts w:ascii="微软雅黑" w:eastAsia="微软雅黑" w:hint="eastAsia"/>
                <w:sz w:val="16"/>
              </w:rPr>
            </w:pPr>
            <w:r>
              <w:rPr>
                <w:rFonts w:ascii="微软雅黑" w:eastAsia="微软雅黑" w:hint="eastAsia"/>
                <w:sz w:val="16"/>
              </w:rPr>
              <w:t>汇兑调整</w:t>
            </w:r>
          </w:p>
        </w:tc>
        <w:tc>
          <w:tcPr>
            <w:tcW w:w="1632" w:type="dxa"/>
            <w:tcBorders>
              <w:bottom w:val="single" w:sz="6" w:space="0" w:color="000000"/>
            </w:tcBorders>
          </w:tcPr>
          <w:p>
            <w:pPr>
              <w:pStyle w:val="TableParagraph"/>
              <w:spacing w:before="80"/>
              <w:ind w:right="353"/>
              <w:jc w:val="right"/>
              <w:rPr>
                <w:sz w:val="16"/>
              </w:rPr>
            </w:pPr>
            <w:r>
              <w:rPr>
                <w:w w:val="101"/>
                <w:sz w:val="16"/>
              </w:rPr>
              <w:t>-</w:t>
            </w:r>
          </w:p>
        </w:tc>
        <w:tc>
          <w:tcPr>
            <w:tcW w:w="1631" w:type="dxa"/>
            <w:tcBorders>
              <w:bottom w:val="single" w:sz="6" w:space="0" w:color="000000"/>
            </w:tcBorders>
          </w:tcPr>
          <w:p>
            <w:pPr>
              <w:pStyle w:val="TableParagraph"/>
              <w:spacing w:before="80"/>
              <w:ind w:right="72"/>
              <w:jc w:val="right"/>
              <w:rPr>
                <w:sz w:val="16"/>
              </w:rPr>
            </w:pPr>
            <w:r>
              <w:rPr>
                <w:sz w:val="16"/>
              </w:rPr>
              <w:t>(70,629.80)</w:t>
            </w:r>
          </w:p>
        </w:tc>
        <w:tc>
          <w:tcPr>
            <w:tcW w:w="1629" w:type="dxa"/>
            <w:tcBorders>
              <w:bottom w:val="single" w:sz="6" w:space="0" w:color="000000"/>
            </w:tcBorders>
          </w:tcPr>
          <w:p>
            <w:pPr>
              <w:pStyle w:val="TableParagraph"/>
              <w:spacing w:before="80"/>
              <w:ind w:right="351"/>
              <w:jc w:val="right"/>
              <w:rPr>
                <w:sz w:val="16"/>
              </w:rPr>
            </w:pPr>
            <w:r>
              <w:rPr>
                <w:w w:val="101"/>
                <w:sz w:val="16"/>
              </w:rPr>
              <w:t>-</w:t>
            </w:r>
          </w:p>
        </w:tc>
        <w:tc>
          <w:tcPr>
            <w:tcW w:w="1631" w:type="dxa"/>
            <w:tcBorders>
              <w:bottom w:val="single" w:sz="6" w:space="0" w:color="000000"/>
            </w:tcBorders>
          </w:tcPr>
          <w:p>
            <w:pPr>
              <w:pStyle w:val="TableParagraph"/>
              <w:spacing w:before="80"/>
              <w:ind w:right="72"/>
              <w:jc w:val="right"/>
              <w:rPr>
                <w:sz w:val="16"/>
              </w:rPr>
            </w:pPr>
            <w:r>
              <w:rPr>
                <w:sz w:val="16"/>
              </w:rPr>
              <w:t>(15,791.74)</w:t>
            </w:r>
          </w:p>
        </w:tc>
        <w:tc>
          <w:tcPr>
            <w:tcW w:w="1630" w:type="dxa"/>
            <w:tcBorders>
              <w:bottom w:val="single" w:sz="6" w:space="0" w:color="000000"/>
            </w:tcBorders>
          </w:tcPr>
          <w:p>
            <w:pPr>
              <w:pStyle w:val="TableParagraph"/>
              <w:spacing w:before="80"/>
              <w:ind w:right="72"/>
              <w:jc w:val="right"/>
              <w:rPr>
                <w:sz w:val="16"/>
              </w:rPr>
            </w:pPr>
            <w:r>
              <w:rPr>
                <w:sz w:val="16"/>
              </w:rPr>
              <w:t>(241,251.00)</w:t>
            </w:r>
          </w:p>
        </w:tc>
        <w:tc>
          <w:tcPr>
            <w:tcW w:w="1606" w:type="dxa"/>
            <w:tcBorders>
              <w:bottom w:val="single" w:sz="6" w:space="0" w:color="000000"/>
            </w:tcBorders>
          </w:tcPr>
          <w:p>
            <w:pPr>
              <w:pStyle w:val="TableParagraph"/>
              <w:spacing w:before="80"/>
              <w:ind w:right="49"/>
              <w:jc w:val="right"/>
              <w:rPr>
                <w:sz w:val="16"/>
              </w:rPr>
            </w:pPr>
            <w:r>
              <w:rPr>
                <w:sz w:val="16"/>
              </w:rPr>
              <w:t>(327,672.54)</w:t>
            </w:r>
          </w:p>
        </w:tc>
      </w:tr>
      <w:tr>
        <w:trPr>
          <w:trHeight w:val="520" w:hRule="atLeast"/>
        </w:trPr>
        <w:tc>
          <w:tcPr>
            <w:tcW w:w="3061" w:type="dxa"/>
          </w:tcPr>
          <w:p>
            <w:pPr>
              <w:pStyle w:val="TableParagraph"/>
              <w:spacing w:before="62"/>
              <w:ind w:left="884"/>
              <w:rPr>
                <w:rFonts w:ascii="微软雅黑" w:eastAsia="微软雅黑" w:hint="eastAsia"/>
                <w:sz w:val="16"/>
              </w:rPr>
            </w:pPr>
            <w:r>
              <w:rPr>
                <w:rFonts w:ascii="微软雅黑" w:eastAsia="微软雅黑" w:hint="eastAsia"/>
                <w:sz w:val="16"/>
              </w:rPr>
              <w:t>期末余额</w:t>
            </w:r>
          </w:p>
        </w:tc>
        <w:tc>
          <w:tcPr>
            <w:tcW w:w="1632" w:type="dxa"/>
            <w:tcBorders>
              <w:top w:val="single" w:sz="6" w:space="0" w:color="000000"/>
            </w:tcBorders>
          </w:tcPr>
          <w:p>
            <w:pPr>
              <w:pStyle w:val="TableParagraph"/>
              <w:spacing w:before="3"/>
              <w:rPr>
                <w:rFonts w:ascii="Times New Roman"/>
                <w:sz w:val="16"/>
              </w:rPr>
            </w:pPr>
          </w:p>
          <w:p>
            <w:pPr>
              <w:pStyle w:val="TableParagraph"/>
              <w:spacing w:line="141" w:lineRule="exact" w:before="1"/>
              <w:ind w:left="370"/>
              <w:rPr>
                <w:sz w:val="16"/>
              </w:rPr>
            </w:pPr>
            <w:r>
              <w:rPr>
                <w:sz w:val="16"/>
              </w:rPr>
              <w:t>995,714,677.62</w:t>
            </w:r>
          </w:p>
          <w:p>
            <w:pPr>
              <w:pStyle w:val="TableParagraph"/>
              <w:spacing w:line="173" w:lineRule="exact"/>
              <w:ind w:left="-24"/>
              <w:rPr>
                <w:sz w:val="20"/>
              </w:rPr>
            </w:pPr>
            <w:r>
              <w:rPr>
                <w:w w:val="105"/>
                <w:sz w:val="20"/>
                <w:u w:val="single"/>
              </w:rPr>
              <w:t>----------------------</w:t>
            </w:r>
          </w:p>
        </w:tc>
        <w:tc>
          <w:tcPr>
            <w:tcW w:w="1631" w:type="dxa"/>
            <w:tcBorders>
              <w:top w:val="single" w:sz="6" w:space="0" w:color="000000"/>
            </w:tcBorders>
          </w:tcPr>
          <w:p>
            <w:pPr>
              <w:pStyle w:val="TableParagraph"/>
              <w:spacing w:before="3"/>
              <w:rPr>
                <w:rFonts w:ascii="Times New Roman"/>
                <w:sz w:val="16"/>
              </w:rPr>
            </w:pPr>
          </w:p>
          <w:p>
            <w:pPr>
              <w:pStyle w:val="TableParagraph"/>
              <w:spacing w:line="141" w:lineRule="exact" w:before="1"/>
              <w:ind w:left="461"/>
              <w:rPr>
                <w:sz w:val="16"/>
              </w:rPr>
            </w:pPr>
            <w:r>
              <w:rPr>
                <w:sz w:val="16"/>
              </w:rPr>
              <w:t>80,210,498.44</w:t>
            </w:r>
          </w:p>
          <w:p>
            <w:pPr>
              <w:pStyle w:val="TableParagraph"/>
              <w:spacing w:line="173" w:lineRule="exact"/>
              <w:ind w:left="-24"/>
              <w:rPr>
                <w:sz w:val="20"/>
              </w:rPr>
            </w:pPr>
            <w:r>
              <w:rPr>
                <w:w w:val="105"/>
                <w:sz w:val="20"/>
                <w:u w:val="single"/>
              </w:rPr>
              <w:t>----------------------</w:t>
            </w:r>
          </w:p>
        </w:tc>
        <w:tc>
          <w:tcPr>
            <w:tcW w:w="1629" w:type="dxa"/>
            <w:tcBorders>
              <w:top w:val="single" w:sz="6" w:space="0" w:color="000000"/>
            </w:tcBorders>
          </w:tcPr>
          <w:p>
            <w:pPr>
              <w:pStyle w:val="TableParagraph"/>
              <w:spacing w:line="215" w:lineRule="exact" w:before="188"/>
              <w:ind w:left="-24"/>
              <w:rPr>
                <w:sz w:val="16"/>
              </w:rPr>
            </w:pPr>
            <w:r>
              <w:rPr>
                <w:w w:val="105"/>
                <w:position w:val="-13"/>
                <w:sz w:val="20"/>
                <w:u w:val="single"/>
              </w:rPr>
              <w:t>----</w:t>
            </w:r>
            <w:r>
              <w:rPr>
                <w:w w:val="105"/>
                <w:position w:val="-13"/>
                <w:sz w:val="20"/>
              </w:rPr>
              <w:t> </w:t>
            </w:r>
            <w:r>
              <w:rPr>
                <w:w w:val="105"/>
                <w:sz w:val="16"/>
              </w:rPr>
              <w:t>185,030,278.61</w:t>
            </w:r>
          </w:p>
          <w:p>
            <w:pPr>
              <w:pStyle w:val="TableParagraph"/>
              <w:spacing w:line="100" w:lineRule="exact"/>
              <w:ind w:left="253"/>
              <w:rPr>
                <w:sz w:val="20"/>
              </w:rPr>
            </w:pPr>
            <w:r>
              <w:rPr>
                <w:w w:val="105"/>
                <w:sz w:val="20"/>
                <w:u w:val="single"/>
              </w:rPr>
              <w:t>------------------</w:t>
            </w:r>
          </w:p>
        </w:tc>
        <w:tc>
          <w:tcPr>
            <w:tcW w:w="1631" w:type="dxa"/>
            <w:tcBorders>
              <w:top w:val="single" w:sz="6" w:space="0" w:color="000000"/>
            </w:tcBorders>
          </w:tcPr>
          <w:p>
            <w:pPr>
              <w:pStyle w:val="TableParagraph"/>
              <w:spacing w:before="3"/>
              <w:rPr>
                <w:rFonts w:ascii="Times New Roman"/>
                <w:sz w:val="16"/>
              </w:rPr>
            </w:pPr>
          </w:p>
          <w:p>
            <w:pPr>
              <w:pStyle w:val="TableParagraph"/>
              <w:spacing w:line="141" w:lineRule="exact" w:before="1"/>
              <w:ind w:left="370"/>
              <w:rPr>
                <w:sz w:val="16"/>
              </w:rPr>
            </w:pPr>
            <w:r>
              <w:rPr>
                <w:sz w:val="16"/>
              </w:rPr>
              <w:t>238,764,612.37</w:t>
            </w:r>
          </w:p>
          <w:p>
            <w:pPr>
              <w:pStyle w:val="TableParagraph"/>
              <w:spacing w:line="173" w:lineRule="exact"/>
              <w:ind w:left="-24"/>
              <w:rPr>
                <w:sz w:val="20"/>
              </w:rPr>
            </w:pPr>
            <w:r>
              <w:rPr>
                <w:w w:val="105"/>
                <w:sz w:val="20"/>
                <w:u w:val="single"/>
              </w:rPr>
              <w:t>----------------------</w:t>
            </w:r>
          </w:p>
        </w:tc>
        <w:tc>
          <w:tcPr>
            <w:tcW w:w="1630" w:type="dxa"/>
            <w:tcBorders>
              <w:top w:val="single" w:sz="6" w:space="0" w:color="000000"/>
            </w:tcBorders>
          </w:tcPr>
          <w:p>
            <w:pPr>
              <w:pStyle w:val="TableParagraph"/>
              <w:spacing w:before="3"/>
              <w:rPr>
                <w:rFonts w:ascii="Times New Roman"/>
                <w:sz w:val="16"/>
              </w:rPr>
            </w:pPr>
          </w:p>
          <w:p>
            <w:pPr>
              <w:pStyle w:val="TableParagraph"/>
              <w:spacing w:line="141" w:lineRule="exact" w:before="1"/>
              <w:ind w:left="370"/>
              <w:rPr>
                <w:sz w:val="16"/>
              </w:rPr>
            </w:pPr>
            <w:r>
              <w:rPr>
                <w:sz w:val="16"/>
              </w:rPr>
              <w:t>121,539,038.32</w:t>
            </w:r>
          </w:p>
          <w:p>
            <w:pPr>
              <w:pStyle w:val="TableParagraph"/>
              <w:spacing w:line="173" w:lineRule="exact"/>
              <w:ind w:left="-24"/>
              <w:rPr>
                <w:sz w:val="20"/>
              </w:rPr>
            </w:pPr>
            <w:r>
              <w:rPr>
                <w:w w:val="105"/>
                <w:sz w:val="20"/>
                <w:u w:val="single"/>
              </w:rPr>
              <w:t>----------------------</w:t>
            </w:r>
          </w:p>
        </w:tc>
        <w:tc>
          <w:tcPr>
            <w:tcW w:w="1606" w:type="dxa"/>
            <w:tcBorders>
              <w:top w:val="single" w:sz="6" w:space="0" w:color="000000"/>
            </w:tcBorders>
          </w:tcPr>
          <w:p>
            <w:pPr>
              <w:pStyle w:val="TableParagraph"/>
              <w:spacing w:line="215" w:lineRule="exact" w:before="188"/>
              <w:ind w:left="-24"/>
              <w:rPr>
                <w:sz w:val="16"/>
              </w:rPr>
            </w:pPr>
            <w:r>
              <w:rPr>
                <w:position w:val="-13"/>
                <w:sz w:val="20"/>
                <w:u w:val="single"/>
              </w:rPr>
              <w:t>---</w:t>
            </w:r>
            <w:r>
              <w:rPr>
                <w:position w:val="-13"/>
                <w:sz w:val="20"/>
              </w:rPr>
              <w:t> </w:t>
            </w:r>
            <w:r>
              <w:rPr>
                <w:sz w:val="16"/>
              </w:rPr>
              <w:t>1,621,259,105.36</w:t>
            </w:r>
          </w:p>
          <w:p>
            <w:pPr>
              <w:pStyle w:val="TableParagraph"/>
              <w:spacing w:line="100" w:lineRule="exact"/>
              <w:ind w:left="184"/>
              <w:rPr>
                <w:sz w:val="20"/>
              </w:rPr>
            </w:pPr>
            <w:r>
              <w:rPr>
                <w:w w:val="105"/>
                <w:sz w:val="20"/>
                <w:u w:val="single"/>
              </w:rPr>
              <w:t>-------------------</w:t>
            </w:r>
          </w:p>
        </w:tc>
      </w:tr>
      <w:tr>
        <w:trPr>
          <w:trHeight w:val="380" w:hRule="atLeast"/>
        </w:trPr>
        <w:tc>
          <w:tcPr>
            <w:tcW w:w="3061" w:type="dxa"/>
          </w:tcPr>
          <w:p>
            <w:pPr>
              <w:pStyle w:val="TableParagraph"/>
              <w:spacing w:before="87"/>
              <w:ind w:left="561"/>
              <w:rPr>
                <w:rFonts w:ascii="微软雅黑" w:eastAsia="微软雅黑" w:hint="eastAsia"/>
                <w:sz w:val="16"/>
              </w:rPr>
            </w:pPr>
            <w:r>
              <w:rPr>
                <w:rFonts w:ascii="微软雅黑" w:eastAsia="微软雅黑" w:hint="eastAsia"/>
                <w:sz w:val="16"/>
              </w:rPr>
              <w:t>账面价值</w:t>
            </w:r>
          </w:p>
        </w:tc>
        <w:tc>
          <w:tcPr>
            <w:tcW w:w="1632" w:type="dxa"/>
          </w:tcPr>
          <w:p>
            <w:pPr>
              <w:pStyle w:val="TableParagraph"/>
              <w:rPr>
                <w:rFonts w:ascii="Times New Roman"/>
                <w:sz w:val="16"/>
              </w:rPr>
            </w:pPr>
          </w:p>
        </w:tc>
        <w:tc>
          <w:tcPr>
            <w:tcW w:w="1631" w:type="dxa"/>
          </w:tcPr>
          <w:p>
            <w:pPr>
              <w:pStyle w:val="TableParagraph"/>
              <w:rPr>
                <w:rFonts w:ascii="Times New Roman"/>
                <w:sz w:val="16"/>
              </w:rPr>
            </w:pPr>
          </w:p>
        </w:tc>
        <w:tc>
          <w:tcPr>
            <w:tcW w:w="1629" w:type="dxa"/>
          </w:tcPr>
          <w:p>
            <w:pPr>
              <w:pStyle w:val="TableParagraph"/>
              <w:rPr>
                <w:rFonts w:ascii="Times New Roman"/>
                <w:sz w:val="16"/>
              </w:rPr>
            </w:pPr>
          </w:p>
        </w:tc>
        <w:tc>
          <w:tcPr>
            <w:tcW w:w="1631" w:type="dxa"/>
          </w:tcPr>
          <w:p>
            <w:pPr>
              <w:pStyle w:val="TableParagraph"/>
              <w:rPr>
                <w:rFonts w:ascii="Times New Roman"/>
                <w:sz w:val="16"/>
              </w:rPr>
            </w:pPr>
          </w:p>
        </w:tc>
        <w:tc>
          <w:tcPr>
            <w:tcW w:w="1630" w:type="dxa"/>
          </w:tcPr>
          <w:p>
            <w:pPr>
              <w:pStyle w:val="TableParagraph"/>
              <w:rPr>
                <w:rFonts w:ascii="Times New Roman"/>
                <w:sz w:val="16"/>
              </w:rPr>
            </w:pPr>
          </w:p>
        </w:tc>
        <w:tc>
          <w:tcPr>
            <w:tcW w:w="1606" w:type="dxa"/>
          </w:tcPr>
          <w:p>
            <w:pPr>
              <w:pStyle w:val="TableParagraph"/>
              <w:rPr>
                <w:rFonts w:ascii="Times New Roman"/>
                <w:sz w:val="16"/>
              </w:rPr>
            </w:pPr>
          </w:p>
        </w:tc>
      </w:tr>
      <w:tr>
        <w:trPr>
          <w:trHeight w:val="320" w:hRule="atLeast"/>
        </w:trPr>
        <w:tc>
          <w:tcPr>
            <w:tcW w:w="3061" w:type="dxa"/>
          </w:tcPr>
          <w:p>
            <w:pPr>
              <w:pStyle w:val="TableParagraph"/>
              <w:spacing w:line="247" w:lineRule="exact"/>
              <w:ind w:left="884"/>
              <w:rPr>
                <w:rFonts w:ascii="微软雅黑" w:eastAsia="微软雅黑" w:hint="eastAsia"/>
                <w:sz w:val="16"/>
              </w:rPr>
            </w:pPr>
            <w:r>
              <w:rPr>
                <w:rFonts w:ascii="微软雅黑" w:eastAsia="微软雅黑" w:hint="eastAsia"/>
                <w:sz w:val="16"/>
              </w:rPr>
              <w:t>期末账面价值</w:t>
            </w:r>
          </w:p>
        </w:tc>
        <w:tc>
          <w:tcPr>
            <w:tcW w:w="1632" w:type="dxa"/>
            <w:tcBorders>
              <w:bottom w:val="double" w:sz="1" w:space="0" w:color="000000"/>
            </w:tcBorders>
          </w:tcPr>
          <w:p>
            <w:pPr>
              <w:pStyle w:val="TableParagraph"/>
              <w:spacing w:before="95"/>
              <w:ind w:right="130"/>
              <w:jc w:val="right"/>
              <w:rPr>
                <w:sz w:val="16"/>
              </w:rPr>
            </w:pPr>
            <w:r>
              <w:rPr>
                <w:sz w:val="16"/>
              </w:rPr>
              <w:t>6,162,003,185.23</w:t>
            </w:r>
          </w:p>
        </w:tc>
        <w:tc>
          <w:tcPr>
            <w:tcW w:w="1631" w:type="dxa"/>
            <w:tcBorders>
              <w:bottom w:val="double" w:sz="1" w:space="0" w:color="000000"/>
            </w:tcBorders>
          </w:tcPr>
          <w:p>
            <w:pPr>
              <w:pStyle w:val="TableParagraph"/>
              <w:spacing w:before="95"/>
              <w:ind w:right="127"/>
              <w:jc w:val="right"/>
              <w:rPr>
                <w:sz w:val="16"/>
              </w:rPr>
            </w:pPr>
            <w:r>
              <w:rPr>
                <w:sz w:val="16"/>
              </w:rPr>
              <w:t>77,855,903.89</w:t>
            </w:r>
          </w:p>
        </w:tc>
        <w:tc>
          <w:tcPr>
            <w:tcW w:w="1629" w:type="dxa"/>
            <w:tcBorders>
              <w:bottom w:val="double" w:sz="1" w:space="0" w:color="000000"/>
            </w:tcBorders>
          </w:tcPr>
          <w:p>
            <w:pPr>
              <w:pStyle w:val="TableParagraph"/>
              <w:spacing w:before="95"/>
              <w:ind w:left="370"/>
              <w:rPr>
                <w:sz w:val="16"/>
              </w:rPr>
            </w:pPr>
            <w:r>
              <w:rPr>
                <w:sz w:val="16"/>
              </w:rPr>
              <w:t>330,405,968.30</w:t>
            </w:r>
          </w:p>
        </w:tc>
        <w:tc>
          <w:tcPr>
            <w:tcW w:w="1631" w:type="dxa"/>
            <w:tcBorders>
              <w:bottom w:val="double" w:sz="1" w:space="0" w:color="000000"/>
            </w:tcBorders>
          </w:tcPr>
          <w:p>
            <w:pPr>
              <w:pStyle w:val="TableParagraph"/>
              <w:spacing w:before="95"/>
              <w:ind w:right="129"/>
              <w:jc w:val="right"/>
              <w:rPr>
                <w:sz w:val="16"/>
              </w:rPr>
            </w:pPr>
            <w:r>
              <w:rPr>
                <w:sz w:val="16"/>
              </w:rPr>
              <w:t>142,948,897.86</w:t>
            </w:r>
          </w:p>
        </w:tc>
        <w:tc>
          <w:tcPr>
            <w:tcW w:w="1630" w:type="dxa"/>
            <w:tcBorders>
              <w:bottom w:val="double" w:sz="1" w:space="0" w:color="000000"/>
            </w:tcBorders>
          </w:tcPr>
          <w:p>
            <w:pPr>
              <w:pStyle w:val="TableParagraph"/>
              <w:spacing w:before="95"/>
              <w:ind w:right="127"/>
              <w:jc w:val="right"/>
              <w:rPr>
                <w:sz w:val="16"/>
              </w:rPr>
            </w:pPr>
            <w:r>
              <w:rPr>
                <w:sz w:val="16"/>
              </w:rPr>
              <w:t>119,198,280.78</w:t>
            </w:r>
          </w:p>
        </w:tc>
        <w:tc>
          <w:tcPr>
            <w:tcW w:w="1606" w:type="dxa"/>
            <w:tcBorders>
              <w:bottom w:val="double" w:sz="1" w:space="0" w:color="000000"/>
            </w:tcBorders>
          </w:tcPr>
          <w:p>
            <w:pPr>
              <w:pStyle w:val="TableParagraph"/>
              <w:spacing w:before="95"/>
              <w:ind w:right="105"/>
              <w:jc w:val="right"/>
              <w:rPr>
                <w:sz w:val="16"/>
              </w:rPr>
            </w:pPr>
            <w:r>
              <w:rPr>
                <w:sz w:val="16"/>
              </w:rPr>
              <w:t>6,832,412,236.06</w:t>
            </w:r>
          </w:p>
        </w:tc>
      </w:tr>
      <w:tr>
        <w:trPr>
          <w:trHeight w:val="420" w:hRule="atLeast"/>
        </w:trPr>
        <w:tc>
          <w:tcPr>
            <w:tcW w:w="3061" w:type="dxa"/>
          </w:tcPr>
          <w:p>
            <w:pPr>
              <w:pStyle w:val="TableParagraph"/>
              <w:spacing w:before="68"/>
              <w:ind w:left="884"/>
              <w:rPr>
                <w:rFonts w:ascii="微软雅黑" w:eastAsia="微软雅黑" w:hint="eastAsia"/>
                <w:sz w:val="16"/>
              </w:rPr>
            </w:pPr>
            <w:r>
              <w:rPr>
                <w:rFonts w:ascii="微软雅黑" w:eastAsia="微软雅黑" w:hint="eastAsia"/>
                <w:sz w:val="16"/>
              </w:rPr>
              <w:t>期初账面价值</w:t>
            </w:r>
          </w:p>
        </w:tc>
        <w:tc>
          <w:tcPr>
            <w:tcW w:w="1632" w:type="dxa"/>
            <w:tcBorders>
              <w:top w:val="double" w:sz="1" w:space="0" w:color="000000"/>
              <w:bottom w:val="double" w:sz="1" w:space="0" w:color="000000"/>
            </w:tcBorders>
          </w:tcPr>
          <w:p>
            <w:pPr>
              <w:pStyle w:val="TableParagraph"/>
              <w:spacing w:before="9"/>
              <w:rPr>
                <w:rFonts w:ascii="Times New Roman"/>
                <w:sz w:val="16"/>
              </w:rPr>
            </w:pPr>
          </w:p>
          <w:p>
            <w:pPr>
              <w:pStyle w:val="TableParagraph"/>
              <w:ind w:right="130"/>
              <w:jc w:val="right"/>
              <w:rPr>
                <w:sz w:val="16"/>
              </w:rPr>
            </w:pPr>
            <w:r>
              <w:rPr>
                <w:sz w:val="16"/>
              </w:rPr>
              <w:t>6,202,759,861.64</w:t>
            </w:r>
          </w:p>
        </w:tc>
        <w:tc>
          <w:tcPr>
            <w:tcW w:w="1631" w:type="dxa"/>
            <w:tcBorders>
              <w:top w:val="double" w:sz="1" w:space="0" w:color="000000"/>
              <w:bottom w:val="double" w:sz="1" w:space="0" w:color="000000"/>
            </w:tcBorders>
          </w:tcPr>
          <w:p>
            <w:pPr>
              <w:pStyle w:val="TableParagraph"/>
              <w:spacing w:before="9"/>
              <w:rPr>
                <w:rFonts w:ascii="Times New Roman"/>
                <w:sz w:val="16"/>
              </w:rPr>
            </w:pPr>
          </w:p>
          <w:p>
            <w:pPr>
              <w:pStyle w:val="TableParagraph"/>
              <w:ind w:right="127"/>
              <w:jc w:val="right"/>
              <w:rPr>
                <w:sz w:val="16"/>
              </w:rPr>
            </w:pPr>
            <w:r>
              <w:rPr>
                <w:sz w:val="16"/>
              </w:rPr>
              <w:t>64,352,465.03</w:t>
            </w:r>
          </w:p>
        </w:tc>
        <w:tc>
          <w:tcPr>
            <w:tcW w:w="1629" w:type="dxa"/>
            <w:tcBorders>
              <w:top w:val="double" w:sz="1" w:space="0" w:color="000000"/>
              <w:bottom w:val="double" w:sz="1" w:space="0" w:color="000000"/>
            </w:tcBorders>
          </w:tcPr>
          <w:p>
            <w:pPr>
              <w:pStyle w:val="TableParagraph"/>
              <w:spacing w:before="9"/>
              <w:rPr>
                <w:rFonts w:ascii="Times New Roman"/>
                <w:sz w:val="16"/>
              </w:rPr>
            </w:pPr>
          </w:p>
          <w:p>
            <w:pPr>
              <w:pStyle w:val="TableParagraph"/>
              <w:ind w:left="370"/>
              <w:rPr>
                <w:sz w:val="16"/>
              </w:rPr>
            </w:pPr>
            <w:r>
              <w:rPr>
                <w:sz w:val="16"/>
              </w:rPr>
              <w:t>340,493,939.61</w:t>
            </w:r>
          </w:p>
        </w:tc>
        <w:tc>
          <w:tcPr>
            <w:tcW w:w="1631" w:type="dxa"/>
            <w:tcBorders>
              <w:top w:val="double" w:sz="1" w:space="0" w:color="000000"/>
              <w:bottom w:val="double" w:sz="1" w:space="0" w:color="000000"/>
            </w:tcBorders>
          </w:tcPr>
          <w:p>
            <w:pPr>
              <w:pStyle w:val="TableParagraph"/>
              <w:spacing w:before="9"/>
              <w:rPr>
                <w:rFonts w:ascii="Times New Roman"/>
                <w:sz w:val="16"/>
              </w:rPr>
            </w:pPr>
          </w:p>
          <w:p>
            <w:pPr>
              <w:pStyle w:val="TableParagraph"/>
              <w:ind w:right="129"/>
              <w:jc w:val="right"/>
              <w:rPr>
                <w:sz w:val="16"/>
              </w:rPr>
            </w:pPr>
            <w:r>
              <w:rPr>
                <w:sz w:val="16"/>
              </w:rPr>
              <w:t>101,905,707.41</w:t>
            </w:r>
          </w:p>
        </w:tc>
        <w:tc>
          <w:tcPr>
            <w:tcW w:w="1630" w:type="dxa"/>
            <w:tcBorders>
              <w:top w:val="double" w:sz="1" w:space="0" w:color="000000"/>
              <w:bottom w:val="double" w:sz="1" w:space="0" w:color="000000"/>
            </w:tcBorders>
          </w:tcPr>
          <w:p>
            <w:pPr>
              <w:pStyle w:val="TableParagraph"/>
              <w:spacing w:before="9"/>
              <w:rPr>
                <w:rFonts w:ascii="Times New Roman"/>
                <w:sz w:val="16"/>
              </w:rPr>
            </w:pPr>
          </w:p>
          <w:p>
            <w:pPr>
              <w:pStyle w:val="TableParagraph"/>
              <w:ind w:right="127"/>
              <w:jc w:val="right"/>
              <w:rPr>
                <w:sz w:val="16"/>
              </w:rPr>
            </w:pPr>
            <w:r>
              <w:rPr>
                <w:sz w:val="16"/>
              </w:rPr>
              <w:t>101,281,099.89</w:t>
            </w:r>
          </w:p>
        </w:tc>
        <w:tc>
          <w:tcPr>
            <w:tcW w:w="1606" w:type="dxa"/>
            <w:tcBorders>
              <w:top w:val="double" w:sz="1" w:space="0" w:color="000000"/>
              <w:bottom w:val="double" w:sz="1" w:space="0" w:color="000000"/>
            </w:tcBorders>
          </w:tcPr>
          <w:p>
            <w:pPr>
              <w:pStyle w:val="TableParagraph"/>
              <w:spacing w:before="9"/>
              <w:rPr>
                <w:rFonts w:ascii="Times New Roman"/>
                <w:sz w:val="16"/>
              </w:rPr>
            </w:pPr>
          </w:p>
          <w:p>
            <w:pPr>
              <w:pStyle w:val="TableParagraph"/>
              <w:ind w:right="105"/>
              <w:jc w:val="right"/>
              <w:rPr>
                <w:sz w:val="16"/>
              </w:rPr>
            </w:pPr>
            <w:r>
              <w:rPr>
                <w:sz w:val="16"/>
              </w:rPr>
              <w:t>6,810,793,073.58</w:t>
            </w:r>
          </w:p>
        </w:tc>
      </w:tr>
    </w:tbl>
    <w:p>
      <w:pPr>
        <w:pStyle w:val="BodyText"/>
        <w:spacing w:before="5"/>
        <w:rPr>
          <w:rFonts w:ascii="Times New Roman"/>
          <w:sz w:val="22"/>
        </w:rPr>
      </w:pPr>
    </w:p>
    <w:p>
      <w:pPr>
        <w:spacing w:before="24"/>
        <w:ind w:left="671" w:right="0" w:firstLine="0"/>
        <w:jc w:val="left"/>
        <w:rPr>
          <w:rFonts w:ascii="微软雅黑" w:eastAsia="微软雅黑" w:hint="eastAsia"/>
          <w:sz w:val="19"/>
        </w:rPr>
      </w:pPr>
      <w:r>
        <w:rPr>
          <w:rFonts w:ascii="微软雅黑" w:eastAsia="微软雅黑" w:hint="eastAsia"/>
          <w:sz w:val="19"/>
        </w:rPr>
        <w:t>本集团本期没有暂时闲置的固定资产 </w:t>
      </w:r>
      <w:r>
        <w:rPr>
          <w:sz w:val="19"/>
        </w:rPr>
        <w:t>(2016 </w:t>
      </w:r>
      <w:r>
        <w:rPr>
          <w:rFonts w:ascii="微软雅黑" w:eastAsia="微软雅黑" w:hint="eastAsia"/>
          <w:sz w:val="19"/>
        </w:rPr>
        <w:t>年：无</w:t>
      </w:r>
      <w:r>
        <w:rPr>
          <w:sz w:val="19"/>
        </w:rPr>
        <w:t>) </w:t>
      </w:r>
      <w:r>
        <w:rPr>
          <w:rFonts w:ascii="微软雅黑" w:eastAsia="微软雅黑" w:hint="eastAsia"/>
          <w:sz w:val="19"/>
        </w:rPr>
        <w:t>。</w:t>
      </w:r>
    </w:p>
    <w:p>
      <w:pPr>
        <w:pStyle w:val="BodyText"/>
        <w:rPr>
          <w:rFonts w:ascii="微软雅黑"/>
          <w:sz w:val="20"/>
        </w:rPr>
      </w:pPr>
    </w:p>
    <w:p>
      <w:pPr>
        <w:pStyle w:val="BodyText"/>
        <w:spacing w:before="4"/>
        <w:rPr>
          <w:rFonts w:ascii="微软雅黑"/>
          <w:sz w:val="15"/>
        </w:rPr>
      </w:pPr>
    </w:p>
    <w:p>
      <w:pPr>
        <w:spacing w:before="95"/>
        <w:ind w:left="6343" w:right="6417" w:firstLine="0"/>
        <w:jc w:val="center"/>
        <w:rPr>
          <w:rFonts w:ascii="Times New Roman"/>
          <w:sz w:val="16"/>
        </w:rPr>
      </w:pPr>
      <w:r>
        <w:rPr>
          <w:rFonts w:ascii="Times New Roman"/>
          <w:sz w:val="16"/>
        </w:rPr>
        <w:t>100</w:t>
      </w:r>
    </w:p>
    <w:sectPr>
      <w:pgSz w:w="16840" w:h="11900" w:orient="landscape"/>
      <w:pgMar w:top="1100" w:bottom="280" w:left="1940" w:right="1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Arial">
    <w:altName w:val="Arial"/>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88" w:hanging="512"/>
        <w:jc w:val="left"/>
      </w:pPr>
      <w:rPr>
        <w:rFonts w:hint="default" w:ascii="Arial" w:hAnsi="Arial" w:eastAsia="Arial" w:cs="Arial"/>
        <w:w w:val="100"/>
        <w:sz w:val="19"/>
        <w:szCs w:val="19"/>
      </w:rPr>
    </w:lvl>
    <w:lvl w:ilvl="1">
      <w:start w:val="1"/>
      <w:numFmt w:val="decimal"/>
      <w:lvlText w:val="(%2)"/>
      <w:lvlJc w:val="left"/>
      <w:pPr>
        <w:ind w:left="1199" w:hanging="512"/>
        <w:jc w:val="left"/>
      </w:pPr>
      <w:rPr>
        <w:rFonts w:hint="default" w:ascii="Arial" w:hAnsi="Arial" w:eastAsia="Arial" w:cs="Arial"/>
        <w:spacing w:val="-1"/>
        <w:w w:val="100"/>
        <w:sz w:val="19"/>
        <w:szCs w:val="19"/>
      </w:rPr>
    </w:lvl>
    <w:lvl w:ilvl="2">
      <w:start w:val="0"/>
      <w:numFmt w:val="bullet"/>
      <w:lvlText w:val="•"/>
      <w:lvlJc w:val="left"/>
      <w:pPr>
        <w:ind w:left="2015" w:hanging="512"/>
      </w:pPr>
      <w:rPr>
        <w:rFonts w:hint="default"/>
      </w:rPr>
    </w:lvl>
    <w:lvl w:ilvl="3">
      <w:start w:val="0"/>
      <w:numFmt w:val="bullet"/>
      <w:lvlText w:val="•"/>
      <w:lvlJc w:val="left"/>
      <w:pPr>
        <w:ind w:left="2831" w:hanging="512"/>
      </w:pPr>
      <w:rPr>
        <w:rFonts w:hint="default"/>
      </w:rPr>
    </w:lvl>
    <w:lvl w:ilvl="4">
      <w:start w:val="0"/>
      <w:numFmt w:val="bullet"/>
      <w:lvlText w:val="•"/>
      <w:lvlJc w:val="left"/>
      <w:pPr>
        <w:ind w:left="3646" w:hanging="512"/>
      </w:pPr>
      <w:rPr>
        <w:rFonts w:hint="default"/>
      </w:rPr>
    </w:lvl>
    <w:lvl w:ilvl="5">
      <w:start w:val="0"/>
      <w:numFmt w:val="bullet"/>
      <w:lvlText w:val="•"/>
      <w:lvlJc w:val="left"/>
      <w:pPr>
        <w:ind w:left="4462" w:hanging="512"/>
      </w:pPr>
      <w:rPr>
        <w:rFonts w:hint="default"/>
      </w:rPr>
    </w:lvl>
    <w:lvl w:ilvl="6">
      <w:start w:val="0"/>
      <w:numFmt w:val="bullet"/>
      <w:lvlText w:val="•"/>
      <w:lvlJc w:val="left"/>
      <w:pPr>
        <w:ind w:left="5277" w:hanging="512"/>
      </w:pPr>
      <w:rPr>
        <w:rFonts w:hint="default"/>
      </w:rPr>
    </w:lvl>
    <w:lvl w:ilvl="7">
      <w:start w:val="0"/>
      <w:numFmt w:val="bullet"/>
      <w:lvlText w:val="•"/>
      <w:lvlJc w:val="left"/>
      <w:pPr>
        <w:ind w:left="6093" w:hanging="512"/>
      </w:pPr>
      <w:rPr>
        <w:rFonts w:hint="default"/>
      </w:rPr>
    </w:lvl>
    <w:lvl w:ilvl="8">
      <w:start w:val="0"/>
      <w:numFmt w:val="bullet"/>
      <w:lvlText w:val="•"/>
      <w:lvlJc w:val="left"/>
      <w:pPr>
        <w:ind w:left="6908" w:hanging="5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黑体" w:hAnsi="黑体" w:eastAsia="黑体" w:cs="黑体"/>
      <w:sz w:val="21"/>
      <w:szCs w:val="21"/>
    </w:rPr>
  </w:style>
  <w:style w:styleId="Heading1" w:type="paragraph">
    <w:name w:val="Heading 1"/>
    <w:basedOn w:val="Normal"/>
    <w:uiPriority w:val="1"/>
    <w:qFormat/>
    <w:pPr>
      <w:ind w:left="120"/>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138"/>
      <w:outlineLvl w:val="2"/>
    </w:pPr>
    <w:rPr>
      <w:rFonts w:ascii="黑体" w:hAnsi="黑体" w:eastAsia="黑体" w:cs="黑体"/>
      <w:b/>
      <w:bCs/>
      <w:sz w:val="21"/>
      <w:szCs w:val="21"/>
    </w:rPr>
  </w:style>
  <w:style w:styleId="ListParagraph" w:type="paragraph">
    <w:name w:val="List Paragraph"/>
    <w:basedOn w:val="Normal"/>
    <w:uiPriority w:val="1"/>
    <w:qFormat/>
    <w:pPr>
      <w:ind w:left="688" w:hanging="511"/>
    </w:pPr>
    <w:rPr>
      <w:rFonts w:ascii="微软雅黑" w:hAnsi="微软雅黑" w:eastAsia="微软雅黑" w:cs="微软雅黑"/>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2017-12-12T13:18:02Z</dcterms:created>
  <dcterms:modified xsi:type="dcterms:W3CDTF">2017-12-12T13:18:02Z</dcterms:modified>
</cp:coreProperties>
</file>