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i/>
          <w:iCs/>
          <w:color w:val="888888"/>
          <w:sz w:val="18"/>
          <w:szCs w:val="18"/>
        </w:rPr>
        <w:t xml:space="preserve">Frontiers in Endocrinology  |  Systems Endocrinology Section</w:t>
      </w:r>
    </w:p>
    <w:p>
      <w:pPr>
        <w:pBdr>
          <w:bottom w:val="single" w:color="0A7E8C" w:sz="6" w:space="1"/>
        </w:pBdr>
        <w:spacing w:after="240"/>
      </w:pPr>
      <w:r>
        <w:rPr>
          <w:rFonts w:ascii="Calibri" w:cs="Calibri" w:eastAsia="Calibri" w:hAnsi="Calibri"/>
          <w:i/>
          <w:iCs/>
          <w:color w:val="888888"/>
          <w:sz w:val="18"/>
          <w:szCs w:val="18"/>
        </w:rPr>
        <w:t xml:space="preserve">Research Topic Scope Description</w:t>
      </w:r>
    </w:p>
    <w:p>
      <w:pPr>
        <w:pStyle w:val="Heading1"/>
        <w:spacing w:before="0" w:after="200"/>
      </w:pPr>
      <w:r>
        <w:rPr>
          <w:rFonts w:ascii="Cambria" w:cs="Cambria" w:eastAsia="Cambria" w:hAnsi="Cambria"/>
          <w:b/>
          <w:bCs/>
          <w:color w:val="0D1B2A"/>
          <w:sz w:val="34"/>
          <w:szCs w:val="34"/>
        </w:rPr>
        <w:t xml:space="preserve">Control-Theoretic Approaches to Endocrine Network Dynamics: From Molecular Clearance to Physiological Regulation</w:t>
      </w:r>
    </w:p>
    <w:p>
      <w:pPr>
        <w:spacing w:after="320"/>
      </w:pPr>
      <w:r>
        <w:rPr>
          <w:rFonts w:ascii="Calibri" w:cs="Calibri" w:eastAsia="Calibri" w:hAnsi="Calibri"/>
          <w:b/>
          <w:bCs/>
          <w:sz w:val="22"/>
          <w:szCs w:val="22"/>
        </w:rPr>
        <w:t xml:space="preserve">Lead Guest Editor: </w:t>
      </w:r>
      <w:r>
        <w:rPr>
          <w:rFonts w:ascii="Calibri" w:cs="Calibri" w:eastAsia="Calibri" w:hAnsi="Calibri"/>
          <w:sz w:val="22"/>
          <w:szCs w:val="22"/>
        </w:rPr>
        <w:t xml:space="preserve">Dr. Massoud Boroujerdi, London, England  |  massoud.boroujerdi@gmail.com</w:t>
      </w:r>
    </w:p>
    <w:p>
      <w:pPr>
        <w:pStyle w:val="Heading2"/>
      </w:pPr>
      <w:r>
        <w:rPr>
          <w:rFonts w:ascii="Cambria" w:cs="Cambria" w:eastAsia="Cambria" w:hAnsi="Cambria"/>
          <w:b/>
          <w:bCs/>
          <w:color w:val="0A7E8C"/>
          <w:sz w:val="24"/>
          <w:szCs w:val="24"/>
        </w:rPr>
        <w:t xml:space="preserve">Rationale</w:t>
      </w:r>
    </w:p>
    <w:p>
      <w:pPr>
        <w:spacing w:after="160"/>
      </w:pPr>
      <w:r>
        <w:rPr>
          <w:rFonts w:ascii="Calibri" w:cs="Calibri" w:eastAsia="Calibri" w:hAnsi="Calibri"/>
          <w:sz w:val="24"/>
          <w:szCs w:val="24"/>
        </w:rPr>
        <w:t xml:space="preserve">Endocrine systems are characterised by complex dynamic behaviours — oscillations, delays, and transient responses — that are fundamental to physiological function yet remain poorly understood from a quantitative perspective. While the metabolic clearance rates (MCR) of individual hormones and substrates are well-documented in the pharmacokinetic literature, the mechanistic link between these molecular-level parameters and the emergent dynamic behaviour of endocrine networks has not been systematically established.</w:t>
      </w:r>
    </w:p>
    <w:p>
      <w:pPr>
        <w:spacing w:after="160"/>
      </w:pPr>
      <w:r>
        <w:rPr>
          <w:rFonts w:ascii="Calibri" w:cs="Calibri" w:eastAsia="Calibri" w:hAnsi="Calibri"/>
          <w:sz w:val="24"/>
          <w:szCs w:val="24"/>
        </w:rPr>
        <w:t xml:space="preserve">Control theory — the mathematical framework underpinning engineering systems from aerospace to electronics — offers a rigorous and largely untapped toolkit for addressing this gap. A second-order negative feedback compartmental model, in which each hormone or substrate is represented by a substrate compartment (S) and a controller compartment (C), yields a natural frequency directly proportional to the MCR: ωₙ = √(k₃k₄). This single relationship bridges molecular kinetics and system-level dynamics, enabling quantitative, testable predictions about hormonal rhythms, feedback stability, and therapeutic response.</w:t>
      </w:r>
    </w:p>
    <w:p>
      <w:pPr>
        <w:spacing w:after="160"/>
      </w:pPr>
      <w:r>
        <w:rPr>
          <w:rFonts w:ascii="Calibri" w:cs="Calibri" w:eastAsia="Calibri" w:hAnsi="Calibri"/>
          <w:sz w:val="24"/>
          <w:szCs w:val="24"/>
        </w:rPr>
        <w:t xml:space="preserve">This framework has been developed and validated in the context of RNA regulatory networks (currently under review at BMC Bioinformatics) and extends naturally to hormonal regulation across multiple endocrine axes. The approach generates falsifiable predictions about oscillation periods, damping behaviour, and the consequences of altered clearance — for example, the near-critically-damped kinetics of cortisol (MCR ∼ 0.46 h⁻¹, ζ = 0.7) that underlie ultradian HPA rhythms, or the highly stable, overdamped thyroid axis dominated by T4 with its seven-day half-life.</w:t>
      </w:r>
    </w:p>
    <w:p>
      <w:pPr>
        <w:pStyle w:val="Heading2"/>
      </w:pPr>
      <w:r>
        <w:rPr>
          <w:rFonts w:ascii="Cambria" w:cs="Cambria" w:eastAsia="Cambria" w:hAnsi="Cambria"/>
          <w:b/>
          <w:bCs/>
          <w:color w:val="0A7E8C"/>
          <w:sz w:val="24"/>
          <w:szCs w:val="24"/>
        </w:rPr>
        <w:t xml:space="preserve">Scope of the Research Topic</w:t>
      </w:r>
    </w:p>
    <w:p>
      <w:pPr>
        <w:spacing w:after="120"/>
      </w:pPr>
      <w:r>
        <w:rPr>
          <w:rFonts w:ascii="Calibri" w:cs="Calibri" w:eastAsia="Calibri" w:hAnsi="Calibri"/>
          <w:sz w:val="24"/>
          <w:szCs w:val="24"/>
        </w:rPr>
        <w:t xml:space="preserve">This Research Topic invites original contributions that apply control-theoretic and frequency-domain methods to endocrine regulation. Submissions are welcome across the following themes:</w:t>
      </w:r>
    </w:p>
    <w:p>
      <w:pPr>
        <w:pStyle w:val="ListParagraph"/>
        <w:numPr>
          <w:ilvl w:val="0"/>
          <w:numId w:val="2"/>
        </w:numPr>
        <w:spacing w:after="80"/>
      </w:pPr>
      <w:r>
        <w:rPr>
          <w:rFonts w:ascii="Calibri" w:cs="Calibri" w:eastAsia="Calibri" w:hAnsi="Calibri"/>
          <w:sz w:val="24"/>
          <w:szCs w:val="24"/>
        </w:rPr>
        <w:t xml:space="preserve">Mathematical modelling of specific endocrine axes, including the HPA, HPT, and HPG axes, the glucose–insulin system, and the renin–angiotensin–aldosterone system (RAAS);</w:t>
      </w:r>
    </w:p>
    <w:p>
      <w:pPr>
        <w:pStyle w:val="ListParagraph"/>
        <w:numPr>
          <w:ilvl w:val="0"/>
          <w:numId w:val="2"/>
        </w:numPr>
        <w:spacing w:after="80"/>
      </w:pPr>
      <w:r>
        <w:rPr>
          <w:rFonts w:ascii="Calibri" w:cs="Calibri" w:eastAsia="Calibri" w:hAnsi="Calibri"/>
          <w:sz w:val="24"/>
          <w:szCs w:val="24"/>
        </w:rPr>
        <w:t xml:space="preserve">Frequency-domain analysis of hormonal feedback networks, including Bode plot characterisation, bandwidth, and phase/gain margins as indices of regulatory performance;</w:t>
      </w:r>
    </w:p>
    <w:p>
      <w:pPr>
        <w:pStyle w:val="ListParagraph"/>
        <w:numPr>
          <w:ilvl w:val="0"/>
          <w:numId w:val="2"/>
        </w:numPr>
        <w:spacing w:after="80"/>
      </w:pPr>
      <w:r>
        <w:rPr>
          <w:rFonts w:ascii="Calibri" w:cs="Calibri" w:eastAsia="Calibri" w:hAnsi="Calibri"/>
          <w:sz w:val="24"/>
          <w:szCs w:val="24"/>
        </w:rPr>
        <w:t xml:space="preserve">Linking metabolic clearance rates to dynamic response properties, particularly the derivation of natural frequencies, damping ratios, and settling times from published MCR data;</w:t>
      </w:r>
    </w:p>
    <w:p>
      <w:pPr>
        <w:pStyle w:val="ListParagraph"/>
        <w:numPr>
          <w:ilvl w:val="0"/>
          <w:numId w:val="2"/>
        </w:numPr>
        <w:spacing w:after="80"/>
      </w:pPr>
      <w:r>
        <w:rPr>
          <w:rFonts w:ascii="Calibri" w:cs="Calibri" w:eastAsia="Calibri" w:hAnsi="Calibri"/>
          <w:sz w:val="24"/>
          <w:szCs w:val="24"/>
        </w:rPr>
        <w:t xml:space="preserve">Prediction and mechanistic explanation of ultradian and circadian oscillations using second-order system theory;</w:t>
      </w:r>
    </w:p>
    <w:p>
      <w:pPr>
        <w:pStyle w:val="ListParagraph"/>
        <w:numPr>
          <w:ilvl w:val="0"/>
          <w:numId w:val="2"/>
        </w:numPr>
        <w:spacing w:after="80"/>
      </w:pPr>
      <w:r>
        <w:rPr>
          <w:rFonts w:ascii="Calibri" w:cs="Calibri" w:eastAsia="Calibri" w:hAnsi="Calibri"/>
          <w:sz w:val="24"/>
          <w:szCs w:val="24"/>
        </w:rPr>
        <w:t xml:space="preserve">Clinical applications including dosing interval optimisation, chronopharmacological timing effects, and the design of therapeutic strategies informed by control-theoretic principles;</w:t>
      </w:r>
    </w:p>
    <w:p>
      <w:pPr>
        <w:pStyle w:val="ListParagraph"/>
        <w:numPr>
          <w:ilvl w:val="0"/>
          <w:numId w:val="2"/>
        </w:numPr>
        <w:spacing w:after="80"/>
      </w:pPr>
      <w:r>
        <w:rPr>
          <w:rFonts w:ascii="Calibri" w:cs="Calibri" w:eastAsia="Calibri" w:hAnsi="Calibri"/>
          <w:sz w:val="24"/>
          <w:szCs w:val="24"/>
        </w:rPr>
        <w:t xml:space="preserve">Computational tools and methods for analysing endocrine dynamics in R, Python, or other open platforms;</w:t>
      </w:r>
    </w:p>
    <w:p>
      <w:pPr>
        <w:pStyle w:val="ListParagraph"/>
        <w:numPr>
          <w:ilvl w:val="0"/>
          <w:numId w:val="2"/>
        </w:numPr>
        <w:spacing w:after="80"/>
      </w:pPr>
      <w:r>
        <w:rPr>
          <w:rFonts w:ascii="Calibri" w:cs="Calibri" w:eastAsia="Calibri" w:hAnsi="Calibri"/>
          <w:sz w:val="24"/>
          <w:szCs w:val="24"/>
        </w:rPr>
        <w:t xml:space="preserve">Experimental validation of theoretical predictions against published datasets (e.g., OGTT, ACTH stimulation tests, dexamethasone suppression, levothyroxine dose–response).</w:t>
      </w:r>
    </w:p>
    <w:p>
      <w:pPr>
        <w:spacing w:after="160"/>
      </w:pPr>
    </w:p>
    <w:p>
      <w:pPr>
        <w:spacing w:after="160"/>
      </w:pPr>
      <w:r>
        <w:rPr>
          <w:rFonts w:ascii="Calibri" w:cs="Calibri" w:eastAsia="Calibri" w:hAnsi="Calibri"/>
          <w:sz w:val="24"/>
          <w:szCs w:val="24"/>
        </w:rPr>
        <w:t xml:space="preserve">The topic explicitly bridges two communities — control systems engineers and quantitative biologists on one side, and clinical endocrinologists and chronobiologists on the other — and welcomes contributions from either perspective or at their intersection.</w:t>
      </w:r>
    </w:p>
    <w:p>
      <w:pPr>
        <w:pStyle w:val="Heading2"/>
      </w:pPr>
      <w:r>
        <w:rPr>
          <w:rFonts w:ascii="Cambria" w:cs="Cambria" w:eastAsia="Cambria" w:hAnsi="Cambria"/>
          <w:b/>
          <w:bCs/>
          <w:color w:val="0A7E8C"/>
          <w:sz w:val="24"/>
          <w:szCs w:val="24"/>
        </w:rPr>
        <w:t xml:space="preserve">Article Types</w:t>
      </w:r>
    </w:p>
    <w:p>
      <w:pPr>
        <w:spacing w:after="100"/>
      </w:pPr>
      <w:r>
        <w:rPr>
          <w:rFonts w:ascii="Calibri" w:cs="Calibri" w:eastAsia="Calibri" w:hAnsi="Calibri"/>
          <w:sz w:val="24"/>
          <w:szCs w:val="24"/>
        </w:rPr>
        <w:t xml:space="preserve">We welcome the following article types:</w:t>
      </w:r>
    </w:p>
    <w:p>
      <w:pPr>
        <w:pStyle w:val="ListParagraph"/>
        <w:numPr>
          <w:ilvl w:val="0"/>
          <w:numId w:val="2"/>
        </w:numPr>
        <w:spacing w:after="80"/>
      </w:pPr>
      <w:r>
        <w:rPr>
          <w:rFonts w:ascii="Calibri" w:cs="Calibri" w:eastAsia="Calibri" w:hAnsi="Calibri"/>
          <w:b/>
          <w:bCs/>
          <w:sz w:val="24"/>
          <w:szCs w:val="24"/>
        </w:rPr>
        <w:t xml:space="preserve">Original Research — </w:t>
      </w:r>
      <w:r>
        <w:rPr>
          <w:rFonts w:ascii="Calibri" w:cs="Calibri" w:eastAsia="Calibri" w:hAnsi="Calibri"/>
          <w:sz w:val="24"/>
          <w:szCs w:val="24"/>
        </w:rPr>
        <w:t xml:space="preserve">specific axis models with experimental validation, clinical applications of frequency-domain analysis, novel computational frameworks;</w:t>
      </w:r>
    </w:p>
    <w:p>
      <w:pPr>
        <w:pStyle w:val="ListParagraph"/>
        <w:numPr>
          <w:ilvl w:val="0"/>
          <w:numId w:val="2"/>
        </w:numPr>
        <w:spacing w:after="80"/>
      </w:pPr>
      <w:r>
        <w:rPr>
          <w:rFonts w:ascii="Calibri" w:cs="Calibri" w:eastAsia="Calibri" w:hAnsi="Calibri"/>
          <w:b/>
          <w:bCs/>
          <w:sz w:val="24"/>
          <w:szCs w:val="24"/>
        </w:rPr>
        <w:t xml:space="preserve">Methods — </w:t>
      </w:r>
      <w:r>
        <w:rPr>
          <w:rFonts w:ascii="Calibri" w:cs="Calibri" w:eastAsia="Calibri" w:hAnsi="Calibri"/>
          <w:sz w:val="24"/>
          <w:szCs w:val="24"/>
        </w:rPr>
        <w:t xml:space="preserve">computational tools, analytical approaches, and open-source implementations for endocrine network analysis;</w:t>
      </w:r>
    </w:p>
    <w:p>
      <w:pPr>
        <w:pStyle w:val="ListParagraph"/>
        <w:numPr>
          <w:ilvl w:val="0"/>
          <w:numId w:val="2"/>
        </w:numPr>
        <w:spacing w:after="80"/>
      </w:pPr>
      <w:r>
        <w:rPr>
          <w:rFonts w:ascii="Calibri" w:cs="Calibri" w:eastAsia="Calibri" w:hAnsi="Calibri"/>
          <w:b/>
          <w:bCs/>
          <w:sz w:val="24"/>
          <w:szCs w:val="24"/>
        </w:rPr>
        <w:t xml:space="preserve">Reviews — </w:t>
      </w:r>
      <w:r>
        <w:rPr>
          <w:rFonts w:ascii="Calibri" w:cs="Calibri" w:eastAsia="Calibri" w:hAnsi="Calibri"/>
          <w:sz w:val="24"/>
          <w:szCs w:val="24"/>
        </w:rPr>
        <w:t xml:space="preserve">the state of control theory in endocrinology, oscillatory phenomena across hormonal systems, MCR-based pharmacokinetic modelling;</w:t>
      </w:r>
    </w:p>
    <w:p>
      <w:pPr>
        <w:pStyle w:val="ListParagraph"/>
        <w:numPr>
          <w:ilvl w:val="0"/>
          <w:numId w:val="2"/>
        </w:numPr>
        <w:spacing w:after="80"/>
      </w:pPr>
      <w:r>
        <w:rPr>
          <w:rFonts w:ascii="Calibri" w:cs="Calibri" w:eastAsia="Calibri" w:hAnsi="Calibri"/>
          <w:b/>
          <w:bCs/>
          <w:sz w:val="24"/>
          <w:szCs w:val="24"/>
        </w:rPr>
        <w:t xml:space="preserve">Perspectives — </w:t>
      </w:r>
      <w:r>
        <w:rPr>
          <w:rFonts w:ascii="Calibri" w:cs="Calibri" w:eastAsia="Calibri" w:hAnsi="Calibri"/>
          <w:sz w:val="24"/>
          <w:szCs w:val="24"/>
        </w:rPr>
        <w:t xml:space="preserve">design principles of endocrine networks, future directions for quantitative endocrinology, and translational opportunities.</w:t>
      </w:r>
    </w:p>
    <w:p>
      <w:pPr>
        <w:spacing w:after="160"/>
      </w:pPr>
    </w:p>
    <w:p>
      <w:pPr>
        <w:pStyle w:val="Heading2"/>
      </w:pPr>
      <w:r>
        <w:rPr>
          <w:rFonts w:ascii="Cambria" w:cs="Cambria" w:eastAsia="Cambria" w:hAnsi="Cambria"/>
          <w:b/>
          <w:bCs/>
          <w:color w:val="0A7E8C"/>
          <w:sz w:val="24"/>
          <w:szCs w:val="24"/>
        </w:rPr>
        <w:t xml:space="preserve">Significance</w:t>
      </w:r>
    </w:p>
    <w:p>
      <w:pPr>
        <w:spacing w:after="160"/>
      </w:pPr>
      <w:r>
        <w:rPr>
          <w:rFonts w:ascii="Calibri" w:cs="Calibri" w:eastAsia="Calibri" w:hAnsi="Calibri"/>
          <w:sz w:val="24"/>
          <w:szCs w:val="24"/>
        </w:rPr>
        <w:t xml:space="preserve">Endocrine dysregulation underlies some of the most prevalent and burdensome conditions in medicine, including type 2 diabetes, thyroid disorders, adrenal insufficiency, and reproductive endocrinopathies. Despite decades of clinical and molecular research, the dynamic principles governing these systems — why hormones oscillate, what determines the speed of recovery from a perturbation, and why certain dosing regimens succeed or fail — remain incompletely understood. A control-theoretic framework grounded in measurable molecular parameters offers a path toward predictive, mechanism-based endocrinology: one in which the MCR of a hormone is not merely a pharmacokinetic statistic, but a determinant of the entire regulatory dynamics of its axis.</w:t>
      </w:r>
    </w:p>
    <w:p>
      <w:pPr>
        <w:spacing w:after="240"/>
      </w:pPr>
      <w:r>
        <w:rPr>
          <w:rFonts w:ascii="Calibri" w:cs="Calibri" w:eastAsia="Calibri" w:hAnsi="Calibri"/>
          <w:b/>
          <w:bCs/>
          <w:sz w:val="24"/>
          <w:szCs w:val="24"/>
        </w:rPr>
        <w:t xml:space="preserve">By assembling contributions across modelling, computation, experiment, and clinical application, this Research Topic aims to establish control theory as a foundational language for quantitative endocrinology.</w:t>
      </w:r>
    </w:p>
    <w:p>
      <w:pPr>
        <w:pBdr>
          <w:top w:val="single" w:color="CCCCCC" w:sz="4" w:space="1"/>
        </w:pBdr>
        <w:spacing w:before="200" w:after="0"/>
      </w:pPr>
      <w:r>
        <w:rPr>
          <w:rFonts w:ascii="Calibri" w:cs="Calibri" w:eastAsia="Calibri" w:hAnsi="Calibri"/>
          <w:i/>
          <w:iCs/>
          <w:color w:val="888888"/>
          <w:sz w:val="18"/>
          <w:szCs w:val="18"/>
        </w:rPr>
        <w:t xml:space="preserve">Approximate word count: 470  |  February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mbria" w:cs="Cambria" w:eastAsia="Cambria" w:hAnsi="Cambria"/>
      <w:b/>
      <w:bCs/>
      <w:color w:val="0D1B2A"/>
      <w:sz w:val="30"/>
      <w:szCs w:val="30"/>
    </w:rPr>
  </w:style>
  <w:style w:type="paragraph" w:styleId="Heading2">
    <w:name w:val="Heading 2"/>
    <w:basedOn w:val="Normal"/>
    <w:next w:val="Normal"/>
    <w:qFormat/>
    <w:pPr>
      <w:spacing w:before="240" w:after="120"/>
      <w:outlineLvl w:val="1"/>
    </w:pPr>
    <w:rPr>
      <w:rFonts w:ascii="Cambria" w:cs="Cambria" w:eastAsia="Cambria" w:hAnsi="Cambria"/>
      <w:b/>
      <w:bCs/>
      <w:color w:val="0A7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2026-02-17T15:20:07.134Z</dcterms:created>
  <dcterms:modified xsi:type="dcterms:W3CDTF">2026-02-17T15:20:07.135Z</dcterms:modified>
</cp:coreProperties>
</file>

<file path=docProps/custom.xml><?xml version="1.0" encoding="utf-8"?>
<Properties xmlns="http://schemas.openxmlformats.org/officeDocument/2006/custom-properties" xmlns:vt="http://schemas.openxmlformats.org/officeDocument/2006/docPropsVTypes"/>
</file>