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29 October 2026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manuscript "Validation-first EEG pipelines: how synthetic benchmarks mislead, and how pre-registration catches it" for publication as a research article in the Journal of Neuroscience Methods.</w:t>
      </w:r>
    </w:p>
    <w:p>
      <w:pPr>
        <w:pStyle w:val="BodyText"/>
      </w:pPr>
      <w:r>
        <w:t xml:space="preserve">The manuscript reports what happened when an open scalp-EEG pipeline was built and evaluated under a validation-first protocol: hypotheses with numeric thresholds committed to version control before the code and data they concern, synthetic ground truth for every method, a held-out subject of the CHB-MIT database named before download, and mutation testing of both the test suite and the rule-based checker that verifies language-model summaries. Four of the first six hypotheses were rejected, and we report them as such. The paper's methodological contribution is to show, with dated evidence, how a synthetic benchmark hid four detector failures, how the estimator rather than only the measure needs pre-registering, and how the error model behind an automated checker is a researcher degree of freedom in the same way as a benchmark. A pre-registered evaluation of a cloud and a small local language model writing under the citation contract is included; its blinded audit rejected the hypothesis that accepted text is also right in meaning, and the paper reports why.</w:t>
      </w:r>
    </w:p>
    <w:p>
      <w:pPr>
        <w:pStyle w:val="BodyText"/>
      </w:pPr>
      <w:r>
        <w:t xml:space="preserve">We believe the work fits the journal's interest in the validation and reproducibility of computational methods for neural data. Although part of the evaluation reanalyses a public dataset and the pipeline is released as software, the contribution is methodological: a pre-registered benchmarking and comparison of methods (band power against aperiodic parameterisation, wPLI against its debiased form, synthetic against held-out real data), with every negative result reported. All code, synthetic generators, result files with provenance and checksums, and the build journal are openly available (release v0.1.2: https://doi.org/10.5281/zenodo.23716723). A preprint is available at https://doi.org/10.5281/zenodo.23448015.</w:t>
      </w:r>
    </w:p>
    <w:p>
      <w:pPr>
        <w:pStyle w:val="BodyText"/>
      </w:pPr>
      <w:r>
        <w:t xml:space="preserve">The manuscript is not under consideration elsewhere. The author declares no competing interests, and the work received no specific funding.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Samuel Ngigi Mbote</w:t>
      </w:r>
      <w:r>
        <w:br/>
      </w:r>
      <w:r>
        <w:t xml:space="preserve">Independent Researcher, Nairobi, Kenya</w:t>
      </w:r>
      <w:r>
        <w:br/>
      </w:r>
      <w:r>
        <w:t xml:space="preserve">ORCID 0009-0003-2319-8873 · mbotesamuel9@gmail.com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2026-10-29T22:09:09Z</dcterms:created>
  <dcterms:modified xsi:type="dcterms:W3CDTF">2026-10-29T22:09:09Z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