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A36" w:rsidRPr="00131A36" w:rsidRDefault="00131A36" w:rsidP="00131A36">
      <w:pPr>
        <w:spacing w:line="240" w:lineRule="auto"/>
        <w:jc w:val="both"/>
        <w:rPr>
          <w:rFonts w:ascii="Cambria" w:hAnsi="Cambria" w:cs="Arial"/>
          <w:sz w:val="20"/>
          <w:szCs w:val="20"/>
        </w:rPr>
      </w:pPr>
      <w:r w:rsidRPr="00131A36">
        <w:rPr>
          <w:b/>
          <w:sz w:val="20"/>
          <w:szCs w:val="20"/>
        </w:rPr>
        <w:t xml:space="preserve">Supplemental Table 1. </w:t>
      </w:r>
      <w:r w:rsidRPr="00131A36">
        <w:rPr>
          <w:sz w:val="20"/>
          <w:szCs w:val="20"/>
        </w:rPr>
        <w:t>R</w:t>
      </w:r>
      <w:r w:rsidRPr="00131A36">
        <w:rPr>
          <w:rFonts w:ascii="Cambria" w:hAnsi="Cambria" w:cs="Arial"/>
          <w:sz w:val="20"/>
          <w:szCs w:val="20"/>
        </w:rPr>
        <w:t>atio of expression in conidia with that of liquid shaken cultures.</w:t>
      </w:r>
      <w:r w:rsidR="00BB330F">
        <w:rPr>
          <w:rFonts w:ascii="Cambria" w:hAnsi="Cambria" w:cs="Arial"/>
          <w:sz w:val="20"/>
          <w:szCs w:val="20"/>
        </w:rPr>
        <w:t xml:space="preserve"> For absolute expression levels of conidia we refer to </w:t>
      </w:r>
      <w:r w:rsidR="00BB330F" w:rsidRPr="00BB330F">
        <w:rPr>
          <w:rFonts w:ascii="Cambria" w:hAnsi="Cambria" w:cs="Arial"/>
          <w:sz w:val="20"/>
          <w:szCs w:val="20"/>
        </w:rPr>
        <w:t>NCBI accession GSE83819</w:t>
      </w:r>
      <w:r w:rsidR="00BB330F">
        <w:rPr>
          <w:rFonts w:ascii="Cambria" w:hAnsi="Cambria" w:cs="Arial"/>
          <w:sz w:val="20"/>
          <w:szCs w:val="20"/>
        </w:rPr>
        <w:t>, while for the vegetative culture we refer to Supplemental Table 4</w:t>
      </w:r>
      <w:bookmarkStart w:id="0" w:name="_GoBack"/>
      <w:bookmarkEnd w:id="0"/>
      <w:r w:rsidR="00BB330F" w:rsidRPr="00BB330F">
        <w:rPr>
          <w:rFonts w:ascii="Cambria" w:hAnsi="Cambria" w:cs="Arial"/>
          <w:sz w:val="20"/>
          <w:szCs w:val="20"/>
        </w:rPr>
        <w:t>.</w:t>
      </w:r>
      <w:r w:rsidRPr="00131A36">
        <w:rPr>
          <w:rFonts w:ascii="Cambria" w:hAnsi="Cambria" w:cs="Arial"/>
          <w:sz w:val="20"/>
          <w:szCs w:val="20"/>
        </w:rPr>
        <w:t xml:space="preserve"> </w:t>
      </w:r>
    </w:p>
    <w:p w:rsidR="00131A36" w:rsidRPr="00131A36" w:rsidRDefault="00131A36" w:rsidP="00131A36">
      <w:pPr>
        <w:pStyle w:val="ListParagraph"/>
        <w:ind w:left="0"/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5"/>
        <w:gridCol w:w="1635"/>
        <w:gridCol w:w="1543"/>
        <w:gridCol w:w="1543"/>
        <w:gridCol w:w="3230"/>
      </w:tblGrid>
      <w:tr w:rsidR="00131A36" w:rsidRPr="00131A36" w:rsidTr="008B7ED4">
        <w:tc>
          <w:tcPr>
            <w:tcW w:w="675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i/>
                <w:sz w:val="20"/>
                <w:szCs w:val="20"/>
              </w:rPr>
            </w:pPr>
          </w:p>
        </w:tc>
        <w:tc>
          <w:tcPr>
            <w:tcW w:w="899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proofErr w:type="spellStart"/>
            <w:r w:rsidRPr="00131A36">
              <w:rPr>
                <w:i/>
                <w:sz w:val="20"/>
                <w:szCs w:val="20"/>
              </w:rPr>
              <w:t>proteinID</w:t>
            </w:r>
            <w:proofErr w:type="spellEnd"/>
          </w:p>
        </w:tc>
        <w:tc>
          <w:tcPr>
            <w:tcW w:w="1653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r w:rsidRPr="00131A36">
              <w:rPr>
                <w:i/>
                <w:sz w:val="20"/>
                <w:szCs w:val="20"/>
              </w:rPr>
              <w:t>2-day-old conidia/ liquid cultures</w:t>
            </w:r>
          </w:p>
          <w:p w:rsidR="00131A36" w:rsidRPr="00131A36" w:rsidRDefault="00131A36" w:rsidP="008B7ED4">
            <w:pPr>
              <w:pStyle w:val="ListParagraph"/>
              <w:ind w:left="0"/>
              <w:rPr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r w:rsidRPr="00131A36">
              <w:rPr>
                <w:i/>
                <w:sz w:val="20"/>
                <w:szCs w:val="20"/>
              </w:rPr>
              <w:t>5-day-old conidia/ liquid cultures</w:t>
            </w:r>
          </w:p>
          <w:p w:rsidR="00131A36" w:rsidRPr="00131A36" w:rsidRDefault="00131A36" w:rsidP="008B7ED4">
            <w:pPr>
              <w:pStyle w:val="ListParagraph"/>
              <w:ind w:left="0"/>
              <w:rPr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r w:rsidRPr="00131A36">
              <w:rPr>
                <w:i/>
                <w:sz w:val="20"/>
                <w:szCs w:val="20"/>
              </w:rPr>
              <w:t>8-day-old conidia/ liquid cultures</w:t>
            </w:r>
          </w:p>
          <w:p w:rsidR="00131A36" w:rsidRPr="00131A36" w:rsidRDefault="00131A36" w:rsidP="008B7ED4">
            <w:pPr>
              <w:pStyle w:val="ListParagraph"/>
              <w:ind w:left="0"/>
              <w:rPr>
                <w:i/>
                <w:sz w:val="20"/>
                <w:szCs w:val="20"/>
              </w:rPr>
            </w:pPr>
          </w:p>
        </w:tc>
        <w:tc>
          <w:tcPr>
            <w:tcW w:w="3277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i/>
                <w:sz w:val="20"/>
                <w:szCs w:val="20"/>
              </w:rPr>
            </w:pPr>
          </w:p>
        </w:tc>
      </w:tr>
      <w:tr w:rsidR="00131A36" w:rsidRPr="00131A36" w:rsidTr="008B7ED4">
        <w:tc>
          <w:tcPr>
            <w:tcW w:w="9622" w:type="dxa"/>
            <w:gridSpan w:val="6"/>
          </w:tcPr>
          <w:p w:rsidR="00131A36" w:rsidRPr="00131A36" w:rsidRDefault="00131A36" w:rsidP="008B7ED4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nl-NL"/>
              </w:rPr>
            </w:pPr>
            <w:r w:rsidRPr="00131A36">
              <w:rPr>
                <w:b/>
                <w:sz w:val="20"/>
                <w:szCs w:val="20"/>
              </w:rPr>
              <w:t>Sporulation specific</w:t>
            </w:r>
          </w:p>
        </w:tc>
      </w:tr>
      <w:tr w:rsidR="00131A36" w:rsidRPr="00131A36" w:rsidTr="008B7ED4">
        <w:tc>
          <w:tcPr>
            <w:tcW w:w="675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proofErr w:type="spellStart"/>
            <w:r w:rsidRPr="00131A36">
              <w:rPr>
                <w:i/>
                <w:sz w:val="20"/>
                <w:szCs w:val="20"/>
              </w:rPr>
              <w:t>mtdA</w:t>
            </w:r>
            <w:proofErr w:type="spellEnd"/>
          </w:p>
        </w:tc>
        <w:tc>
          <w:tcPr>
            <w:tcW w:w="899" w:type="dxa"/>
          </w:tcPr>
          <w:p w:rsidR="00131A36" w:rsidRPr="00131A36" w:rsidRDefault="00131A36" w:rsidP="008B7ED4">
            <w:pPr>
              <w:rPr>
                <w:color w:val="000000"/>
                <w:sz w:val="20"/>
                <w:szCs w:val="20"/>
              </w:rPr>
            </w:pPr>
            <w:r w:rsidRPr="00131A36">
              <w:rPr>
                <w:color w:val="000000"/>
                <w:sz w:val="20"/>
                <w:szCs w:val="20"/>
              </w:rPr>
              <w:t>1143632</w:t>
            </w:r>
          </w:p>
        </w:tc>
        <w:tc>
          <w:tcPr>
            <w:tcW w:w="1653" w:type="dxa"/>
          </w:tcPr>
          <w:p w:rsidR="00131A36" w:rsidRPr="00131A36" w:rsidRDefault="0046341E" w:rsidP="008B7ED4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29,41</w:t>
            </w:r>
          </w:p>
        </w:tc>
        <w:tc>
          <w:tcPr>
            <w:tcW w:w="1559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r w:rsidRPr="00131A36">
              <w:rPr>
                <w:i/>
                <w:sz w:val="20"/>
                <w:szCs w:val="20"/>
              </w:rPr>
              <w:t>7,1</w:t>
            </w:r>
            <w:r w:rsidR="0046341E">
              <w:rPr>
                <w:i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:rsidR="00131A36" w:rsidRPr="00131A36" w:rsidRDefault="00131A36" w:rsidP="0046341E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r w:rsidRPr="00131A36">
              <w:rPr>
                <w:i/>
                <w:sz w:val="20"/>
                <w:szCs w:val="20"/>
              </w:rPr>
              <w:t>8,</w:t>
            </w:r>
            <w:r w:rsidR="0046341E">
              <w:rPr>
                <w:i/>
                <w:sz w:val="20"/>
                <w:szCs w:val="20"/>
              </w:rPr>
              <w:t>29</w:t>
            </w:r>
          </w:p>
        </w:tc>
        <w:tc>
          <w:tcPr>
            <w:tcW w:w="3277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sz w:val="20"/>
                <w:szCs w:val="20"/>
                <w:lang w:val="nl-NL"/>
              </w:rPr>
            </w:pPr>
            <w:proofErr w:type="spellStart"/>
            <w:r w:rsidRPr="00131A36">
              <w:rPr>
                <w:sz w:val="20"/>
                <w:szCs w:val="20"/>
                <w:lang w:val="nl-NL"/>
              </w:rPr>
              <w:t>Aguilar-Osorio</w:t>
            </w:r>
            <w:proofErr w:type="spellEnd"/>
            <w:r w:rsidRPr="00131A36">
              <w:rPr>
                <w:sz w:val="20"/>
                <w:szCs w:val="20"/>
                <w:lang w:val="nl-NL"/>
              </w:rPr>
              <w:t xml:space="preserve"> et al. (2010)</w:t>
            </w:r>
          </w:p>
        </w:tc>
      </w:tr>
      <w:tr w:rsidR="00131A36" w:rsidRPr="00131A36" w:rsidTr="008B7ED4">
        <w:tc>
          <w:tcPr>
            <w:tcW w:w="675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i/>
                <w:sz w:val="20"/>
                <w:szCs w:val="20"/>
                <w:lang w:val="nl-NL"/>
              </w:rPr>
            </w:pPr>
            <w:proofErr w:type="spellStart"/>
            <w:r w:rsidRPr="00131A36">
              <w:rPr>
                <w:i/>
                <w:sz w:val="20"/>
                <w:szCs w:val="20"/>
                <w:lang w:val="nl-NL"/>
              </w:rPr>
              <w:t>ctcB</w:t>
            </w:r>
            <w:proofErr w:type="spellEnd"/>
            <w:r w:rsidRPr="00131A36">
              <w:rPr>
                <w:i/>
                <w:sz w:val="20"/>
                <w:szCs w:val="20"/>
                <w:lang w:val="nl-NL"/>
              </w:rPr>
              <w:t xml:space="preserve"> </w:t>
            </w:r>
          </w:p>
        </w:tc>
        <w:tc>
          <w:tcPr>
            <w:tcW w:w="899" w:type="dxa"/>
          </w:tcPr>
          <w:p w:rsidR="00131A36" w:rsidRPr="00131A36" w:rsidRDefault="00131A36" w:rsidP="008B7ED4">
            <w:pPr>
              <w:rPr>
                <w:color w:val="000000"/>
                <w:sz w:val="20"/>
                <w:szCs w:val="20"/>
              </w:rPr>
            </w:pPr>
            <w:r w:rsidRPr="00131A36">
              <w:rPr>
                <w:color w:val="000000"/>
                <w:sz w:val="20"/>
                <w:szCs w:val="20"/>
              </w:rPr>
              <w:t>1180887</w:t>
            </w:r>
          </w:p>
        </w:tc>
        <w:tc>
          <w:tcPr>
            <w:tcW w:w="1653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i/>
                <w:sz w:val="20"/>
                <w:szCs w:val="20"/>
                <w:lang w:val="nl-NL"/>
              </w:rPr>
            </w:pPr>
            <w:r w:rsidRPr="00131A36">
              <w:rPr>
                <w:i/>
                <w:sz w:val="20"/>
                <w:szCs w:val="20"/>
                <w:lang w:val="nl-NL"/>
              </w:rPr>
              <w:t>3,7</w:t>
            </w:r>
            <w:r w:rsidR="0046341E">
              <w:rPr>
                <w:i/>
                <w:sz w:val="20"/>
                <w:szCs w:val="20"/>
                <w:lang w:val="nl-NL"/>
              </w:rPr>
              <w:t>0</w:t>
            </w:r>
          </w:p>
        </w:tc>
        <w:tc>
          <w:tcPr>
            <w:tcW w:w="1559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i/>
                <w:sz w:val="20"/>
                <w:szCs w:val="20"/>
                <w:lang w:val="nl-NL"/>
              </w:rPr>
            </w:pPr>
            <w:r w:rsidRPr="00131A36">
              <w:rPr>
                <w:i/>
                <w:sz w:val="20"/>
                <w:szCs w:val="20"/>
                <w:lang w:val="nl-NL"/>
              </w:rPr>
              <w:t>3,3</w:t>
            </w:r>
            <w:r w:rsidR="0046341E">
              <w:rPr>
                <w:i/>
                <w:sz w:val="20"/>
                <w:szCs w:val="20"/>
                <w:lang w:val="nl-NL"/>
              </w:rPr>
              <w:t>2</w:t>
            </w:r>
          </w:p>
        </w:tc>
        <w:tc>
          <w:tcPr>
            <w:tcW w:w="1559" w:type="dxa"/>
          </w:tcPr>
          <w:p w:rsidR="00131A36" w:rsidRPr="00131A36" w:rsidRDefault="0046341E" w:rsidP="008B7ED4">
            <w:pPr>
              <w:pStyle w:val="ListParagraph"/>
              <w:ind w:left="0"/>
              <w:rPr>
                <w:i/>
                <w:sz w:val="20"/>
                <w:szCs w:val="20"/>
                <w:lang w:val="nl-NL"/>
              </w:rPr>
            </w:pPr>
            <w:r>
              <w:rPr>
                <w:i/>
                <w:sz w:val="20"/>
                <w:szCs w:val="20"/>
                <w:lang w:val="nl-NL"/>
              </w:rPr>
              <w:t>3,66</w:t>
            </w:r>
          </w:p>
        </w:tc>
        <w:tc>
          <w:tcPr>
            <w:tcW w:w="3277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sz w:val="20"/>
                <w:szCs w:val="20"/>
                <w:lang w:val="nl-NL"/>
              </w:rPr>
            </w:pPr>
            <w:r w:rsidRPr="00131A36">
              <w:rPr>
                <w:sz w:val="20"/>
                <w:szCs w:val="20"/>
                <w:lang w:val="nl-NL"/>
              </w:rPr>
              <w:t>Van Munster et al. (2013)</w:t>
            </w:r>
          </w:p>
        </w:tc>
      </w:tr>
      <w:tr w:rsidR="00131A36" w:rsidRPr="00131A36" w:rsidTr="008B7ED4">
        <w:tc>
          <w:tcPr>
            <w:tcW w:w="675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i/>
                <w:sz w:val="20"/>
                <w:szCs w:val="20"/>
                <w:lang w:val="nl-NL"/>
              </w:rPr>
            </w:pPr>
            <w:r w:rsidRPr="00131A36">
              <w:rPr>
                <w:i/>
                <w:sz w:val="20"/>
                <w:szCs w:val="20"/>
                <w:lang w:val="nl-NL"/>
              </w:rPr>
              <w:t>cfc1</w:t>
            </w:r>
          </w:p>
        </w:tc>
        <w:tc>
          <w:tcPr>
            <w:tcW w:w="899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sz w:val="20"/>
                <w:szCs w:val="20"/>
                <w:lang w:val="nl-NL"/>
              </w:rPr>
            </w:pPr>
            <w:r w:rsidRPr="00131A36">
              <w:rPr>
                <w:sz w:val="20"/>
                <w:szCs w:val="20"/>
                <w:lang w:val="nl-NL"/>
              </w:rPr>
              <w:t>1152313</w:t>
            </w:r>
          </w:p>
        </w:tc>
        <w:tc>
          <w:tcPr>
            <w:tcW w:w="1653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i/>
                <w:sz w:val="20"/>
                <w:szCs w:val="20"/>
                <w:lang w:val="nl-NL"/>
              </w:rPr>
            </w:pPr>
            <w:r w:rsidRPr="00131A36">
              <w:rPr>
                <w:i/>
                <w:sz w:val="20"/>
                <w:szCs w:val="20"/>
                <w:lang w:val="nl-NL"/>
              </w:rPr>
              <w:t>9,3</w:t>
            </w:r>
            <w:r w:rsidR="0046341E">
              <w:rPr>
                <w:i/>
                <w:sz w:val="20"/>
                <w:szCs w:val="20"/>
                <w:lang w:val="nl-NL"/>
              </w:rPr>
              <w:t>3</w:t>
            </w:r>
          </w:p>
        </w:tc>
        <w:tc>
          <w:tcPr>
            <w:tcW w:w="1559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i/>
                <w:sz w:val="20"/>
                <w:szCs w:val="20"/>
                <w:lang w:val="nl-NL"/>
              </w:rPr>
            </w:pPr>
            <w:r w:rsidRPr="00131A36">
              <w:rPr>
                <w:i/>
                <w:sz w:val="20"/>
                <w:szCs w:val="20"/>
                <w:lang w:val="nl-NL"/>
              </w:rPr>
              <w:t>10,0</w:t>
            </w:r>
            <w:r w:rsidR="0046341E">
              <w:rPr>
                <w:i/>
                <w:sz w:val="20"/>
                <w:szCs w:val="20"/>
                <w:lang w:val="nl-NL"/>
              </w:rPr>
              <w:t>4</w:t>
            </w:r>
          </w:p>
        </w:tc>
        <w:tc>
          <w:tcPr>
            <w:tcW w:w="1559" w:type="dxa"/>
          </w:tcPr>
          <w:p w:rsidR="00131A36" w:rsidRPr="00131A36" w:rsidRDefault="0046341E" w:rsidP="008B7ED4">
            <w:pPr>
              <w:pStyle w:val="ListParagraph"/>
              <w:ind w:left="0"/>
              <w:rPr>
                <w:i/>
                <w:sz w:val="20"/>
                <w:szCs w:val="20"/>
                <w:lang w:val="nl-NL"/>
              </w:rPr>
            </w:pPr>
            <w:r>
              <w:rPr>
                <w:i/>
                <w:sz w:val="20"/>
                <w:szCs w:val="20"/>
                <w:lang w:val="nl-NL"/>
              </w:rPr>
              <w:t>9,96</w:t>
            </w:r>
          </w:p>
        </w:tc>
        <w:tc>
          <w:tcPr>
            <w:tcW w:w="3277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i/>
                <w:sz w:val="20"/>
                <w:szCs w:val="20"/>
                <w:lang w:val="nl-NL"/>
              </w:rPr>
            </w:pPr>
            <w:r w:rsidRPr="00131A36">
              <w:rPr>
                <w:sz w:val="20"/>
                <w:szCs w:val="20"/>
                <w:lang w:val="nl-NL"/>
              </w:rPr>
              <w:t>Van Munster et al. (2013)</w:t>
            </w:r>
          </w:p>
        </w:tc>
      </w:tr>
      <w:tr w:rsidR="00131A36" w:rsidRPr="00131A36" w:rsidTr="008B7ED4">
        <w:tc>
          <w:tcPr>
            <w:tcW w:w="675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i/>
                <w:sz w:val="20"/>
                <w:szCs w:val="20"/>
                <w:lang w:val="es-ES"/>
              </w:rPr>
            </w:pPr>
            <w:proofErr w:type="spellStart"/>
            <w:r w:rsidRPr="00131A36">
              <w:rPr>
                <w:i/>
                <w:sz w:val="20"/>
                <w:szCs w:val="20"/>
                <w:lang w:val="es-ES"/>
              </w:rPr>
              <w:t>conJ</w:t>
            </w:r>
            <w:proofErr w:type="spellEnd"/>
          </w:p>
        </w:tc>
        <w:tc>
          <w:tcPr>
            <w:tcW w:w="899" w:type="dxa"/>
          </w:tcPr>
          <w:p w:rsidR="00131A36" w:rsidRPr="00131A36" w:rsidRDefault="00131A36" w:rsidP="008B7ED4">
            <w:pPr>
              <w:rPr>
                <w:rFonts w:cs="FtqsdyAdvTTb5929f4c"/>
                <w:sz w:val="20"/>
                <w:szCs w:val="20"/>
              </w:rPr>
            </w:pPr>
            <w:r w:rsidRPr="00131A36">
              <w:rPr>
                <w:rFonts w:cs="FtqsdyAdvTTb5929f4c"/>
                <w:sz w:val="20"/>
                <w:szCs w:val="20"/>
              </w:rPr>
              <w:t>1209349</w:t>
            </w:r>
          </w:p>
        </w:tc>
        <w:tc>
          <w:tcPr>
            <w:tcW w:w="1653" w:type="dxa"/>
          </w:tcPr>
          <w:p w:rsidR="00131A36" w:rsidRPr="00131A36" w:rsidRDefault="0046341E" w:rsidP="008B7ED4">
            <w:pPr>
              <w:pStyle w:val="ListParagraph"/>
              <w:ind w:left="0"/>
              <w:rPr>
                <w:i/>
                <w:sz w:val="20"/>
                <w:szCs w:val="20"/>
                <w:lang w:val="es-ES"/>
              </w:rPr>
            </w:pPr>
            <w:r>
              <w:rPr>
                <w:i/>
                <w:sz w:val="20"/>
                <w:szCs w:val="20"/>
                <w:lang w:val="es-ES"/>
              </w:rPr>
              <w:t>29,62</w:t>
            </w:r>
          </w:p>
        </w:tc>
        <w:tc>
          <w:tcPr>
            <w:tcW w:w="1559" w:type="dxa"/>
          </w:tcPr>
          <w:p w:rsidR="00131A36" w:rsidRPr="00131A36" w:rsidRDefault="0046341E" w:rsidP="008B7ED4">
            <w:pPr>
              <w:pStyle w:val="ListParagraph"/>
              <w:ind w:left="0"/>
              <w:rPr>
                <w:i/>
                <w:sz w:val="20"/>
                <w:szCs w:val="20"/>
                <w:lang w:val="es-ES"/>
              </w:rPr>
            </w:pPr>
            <w:r>
              <w:rPr>
                <w:i/>
                <w:sz w:val="20"/>
                <w:szCs w:val="20"/>
                <w:lang w:val="es-ES"/>
              </w:rPr>
              <w:t>9,92</w:t>
            </w:r>
          </w:p>
        </w:tc>
        <w:tc>
          <w:tcPr>
            <w:tcW w:w="1559" w:type="dxa"/>
          </w:tcPr>
          <w:p w:rsidR="00131A36" w:rsidRPr="00131A36" w:rsidRDefault="0046341E" w:rsidP="008B7ED4">
            <w:pPr>
              <w:pStyle w:val="ListParagraph"/>
              <w:ind w:left="0"/>
              <w:rPr>
                <w:i/>
                <w:sz w:val="20"/>
                <w:szCs w:val="20"/>
                <w:lang w:val="es-ES"/>
              </w:rPr>
            </w:pPr>
            <w:r>
              <w:rPr>
                <w:i/>
                <w:sz w:val="20"/>
                <w:szCs w:val="20"/>
                <w:lang w:val="es-ES"/>
              </w:rPr>
              <w:t>10,57</w:t>
            </w:r>
          </w:p>
        </w:tc>
        <w:tc>
          <w:tcPr>
            <w:tcW w:w="3277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sz w:val="20"/>
                <w:szCs w:val="20"/>
                <w:lang w:val="es-ES"/>
              </w:rPr>
            </w:pPr>
            <w:r w:rsidRPr="00131A36">
              <w:rPr>
                <w:rFonts w:cs="BxlkvjAdvTTe45e47d2"/>
                <w:sz w:val="20"/>
                <w:szCs w:val="20"/>
              </w:rPr>
              <w:t xml:space="preserve">Hagiwara </w:t>
            </w:r>
            <w:r w:rsidRPr="00131A36">
              <w:rPr>
                <w:rFonts w:cs="XgxktyAdvTT7329fd89.I"/>
                <w:sz w:val="20"/>
                <w:szCs w:val="20"/>
              </w:rPr>
              <w:t xml:space="preserve">et al. </w:t>
            </w:r>
            <w:r w:rsidRPr="00131A36">
              <w:rPr>
                <w:rFonts w:cs="MyriadPro-Regular"/>
                <w:sz w:val="20"/>
                <w:szCs w:val="20"/>
              </w:rPr>
              <w:t>(2016)</w:t>
            </w:r>
          </w:p>
        </w:tc>
      </w:tr>
      <w:tr w:rsidR="00131A36" w:rsidRPr="00131A36" w:rsidTr="008B7ED4">
        <w:tc>
          <w:tcPr>
            <w:tcW w:w="675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i/>
                <w:sz w:val="20"/>
                <w:szCs w:val="20"/>
                <w:lang w:val="es-ES"/>
              </w:rPr>
            </w:pPr>
            <w:r w:rsidRPr="00131A36">
              <w:rPr>
                <w:i/>
                <w:sz w:val="20"/>
                <w:szCs w:val="20"/>
                <w:lang w:val="es-ES"/>
              </w:rPr>
              <w:t>fhk1</w:t>
            </w:r>
          </w:p>
        </w:tc>
        <w:tc>
          <w:tcPr>
            <w:tcW w:w="899" w:type="dxa"/>
          </w:tcPr>
          <w:p w:rsidR="00131A36" w:rsidRPr="00131A36" w:rsidRDefault="00131A36" w:rsidP="008B7ED4">
            <w:pPr>
              <w:rPr>
                <w:color w:val="000000"/>
                <w:sz w:val="20"/>
                <w:szCs w:val="20"/>
              </w:rPr>
            </w:pPr>
            <w:r w:rsidRPr="00131A36">
              <w:rPr>
                <w:color w:val="000000"/>
                <w:sz w:val="20"/>
                <w:szCs w:val="20"/>
              </w:rPr>
              <w:t>1128422</w:t>
            </w:r>
          </w:p>
        </w:tc>
        <w:tc>
          <w:tcPr>
            <w:tcW w:w="1653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i/>
                <w:sz w:val="20"/>
                <w:szCs w:val="20"/>
                <w:lang w:val="es-ES"/>
              </w:rPr>
            </w:pPr>
            <w:r w:rsidRPr="00131A36">
              <w:rPr>
                <w:i/>
                <w:sz w:val="20"/>
                <w:szCs w:val="20"/>
                <w:lang w:val="es-ES"/>
              </w:rPr>
              <w:t>9</w:t>
            </w:r>
            <w:r w:rsidR="0046341E">
              <w:rPr>
                <w:i/>
                <w:sz w:val="20"/>
                <w:szCs w:val="20"/>
                <w:lang w:val="es-ES"/>
              </w:rPr>
              <w:t>,45</w:t>
            </w:r>
          </w:p>
        </w:tc>
        <w:tc>
          <w:tcPr>
            <w:tcW w:w="1559" w:type="dxa"/>
          </w:tcPr>
          <w:p w:rsidR="00131A36" w:rsidRPr="00131A36" w:rsidRDefault="0046341E" w:rsidP="008B7ED4">
            <w:pPr>
              <w:pStyle w:val="ListParagraph"/>
              <w:ind w:left="0"/>
              <w:rPr>
                <w:i/>
                <w:sz w:val="20"/>
                <w:szCs w:val="20"/>
                <w:lang w:val="es-ES"/>
              </w:rPr>
            </w:pPr>
            <w:r>
              <w:rPr>
                <w:i/>
                <w:sz w:val="20"/>
                <w:szCs w:val="20"/>
                <w:lang w:val="es-ES"/>
              </w:rPr>
              <w:t>9,98</w:t>
            </w:r>
          </w:p>
        </w:tc>
        <w:tc>
          <w:tcPr>
            <w:tcW w:w="1559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i/>
                <w:sz w:val="20"/>
                <w:szCs w:val="20"/>
                <w:lang w:val="es-ES"/>
              </w:rPr>
            </w:pPr>
            <w:r w:rsidRPr="00131A36">
              <w:rPr>
                <w:i/>
                <w:sz w:val="20"/>
                <w:szCs w:val="20"/>
                <w:lang w:val="es-ES"/>
              </w:rPr>
              <w:t>30</w:t>
            </w:r>
            <w:r w:rsidR="0046341E">
              <w:rPr>
                <w:i/>
                <w:sz w:val="20"/>
                <w:szCs w:val="20"/>
                <w:lang w:val="es-ES"/>
              </w:rPr>
              <w:t>,12</w:t>
            </w:r>
          </w:p>
        </w:tc>
        <w:tc>
          <w:tcPr>
            <w:tcW w:w="3277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rFonts w:cs="BxlkvjAdvTTe45e47d2"/>
                <w:sz w:val="20"/>
                <w:szCs w:val="20"/>
              </w:rPr>
            </w:pPr>
            <w:r w:rsidRPr="00131A36">
              <w:rPr>
                <w:rFonts w:cs="BxlkvjAdvTTe45e47d2"/>
                <w:sz w:val="20"/>
                <w:szCs w:val="20"/>
              </w:rPr>
              <w:t xml:space="preserve">Hagiwara </w:t>
            </w:r>
            <w:r w:rsidRPr="00131A36">
              <w:rPr>
                <w:rFonts w:cs="XgxktyAdvTT7329fd89.I"/>
                <w:sz w:val="20"/>
                <w:szCs w:val="20"/>
              </w:rPr>
              <w:t xml:space="preserve">et al. </w:t>
            </w:r>
            <w:r w:rsidRPr="00131A36">
              <w:rPr>
                <w:rFonts w:cs="MyriadPro-Regular"/>
                <w:sz w:val="20"/>
                <w:szCs w:val="20"/>
              </w:rPr>
              <w:t>(2016)</w:t>
            </w:r>
          </w:p>
        </w:tc>
      </w:tr>
      <w:tr w:rsidR="00131A36" w:rsidRPr="00131A36" w:rsidTr="008B7ED4">
        <w:tc>
          <w:tcPr>
            <w:tcW w:w="675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i/>
                <w:sz w:val="20"/>
                <w:szCs w:val="20"/>
                <w:lang w:val="es-ES"/>
              </w:rPr>
            </w:pPr>
            <w:proofErr w:type="spellStart"/>
            <w:r w:rsidRPr="00131A36">
              <w:rPr>
                <w:i/>
                <w:sz w:val="20"/>
                <w:szCs w:val="20"/>
                <w:lang w:val="es-ES"/>
              </w:rPr>
              <w:t>catA</w:t>
            </w:r>
            <w:proofErr w:type="spellEnd"/>
          </w:p>
        </w:tc>
        <w:tc>
          <w:tcPr>
            <w:tcW w:w="899" w:type="dxa"/>
          </w:tcPr>
          <w:p w:rsidR="00131A36" w:rsidRPr="00131A36" w:rsidRDefault="00131A36" w:rsidP="008B7ED4">
            <w:pPr>
              <w:rPr>
                <w:color w:val="000000"/>
                <w:sz w:val="20"/>
                <w:szCs w:val="20"/>
              </w:rPr>
            </w:pPr>
            <w:r w:rsidRPr="00131A36">
              <w:rPr>
                <w:color w:val="000000"/>
                <w:sz w:val="20"/>
                <w:szCs w:val="20"/>
              </w:rPr>
              <w:t>1155727</w:t>
            </w:r>
          </w:p>
        </w:tc>
        <w:tc>
          <w:tcPr>
            <w:tcW w:w="1653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i/>
                <w:sz w:val="20"/>
                <w:szCs w:val="20"/>
                <w:lang w:val="es-ES"/>
              </w:rPr>
            </w:pPr>
            <w:r w:rsidRPr="00131A36">
              <w:rPr>
                <w:i/>
                <w:sz w:val="20"/>
                <w:szCs w:val="20"/>
                <w:lang w:val="es-ES"/>
              </w:rPr>
              <w:t>188</w:t>
            </w:r>
            <w:r w:rsidR="0046341E">
              <w:rPr>
                <w:i/>
                <w:sz w:val="20"/>
                <w:szCs w:val="20"/>
                <w:lang w:val="es-ES"/>
              </w:rPr>
              <w:t>,38</w:t>
            </w:r>
          </w:p>
        </w:tc>
        <w:tc>
          <w:tcPr>
            <w:tcW w:w="1559" w:type="dxa"/>
          </w:tcPr>
          <w:p w:rsidR="00131A36" w:rsidRPr="00131A36" w:rsidRDefault="0046341E" w:rsidP="008B7ED4">
            <w:pPr>
              <w:pStyle w:val="ListParagraph"/>
              <w:ind w:left="0"/>
              <w:rPr>
                <w:i/>
                <w:sz w:val="20"/>
                <w:szCs w:val="20"/>
                <w:lang w:val="es-ES"/>
              </w:rPr>
            </w:pPr>
            <w:r>
              <w:rPr>
                <w:i/>
                <w:sz w:val="20"/>
                <w:szCs w:val="20"/>
                <w:lang w:val="es-ES"/>
              </w:rPr>
              <w:t>78,76</w:t>
            </w:r>
          </w:p>
        </w:tc>
        <w:tc>
          <w:tcPr>
            <w:tcW w:w="1559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i/>
                <w:sz w:val="20"/>
                <w:szCs w:val="20"/>
                <w:lang w:val="es-ES"/>
              </w:rPr>
            </w:pPr>
            <w:r w:rsidRPr="00131A36">
              <w:rPr>
                <w:i/>
                <w:sz w:val="20"/>
                <w:szCs w:val="20"/>
                <w:lang w:val="es-ES"/>
              </w:rPr>
              <w:t>77</w:t>
            </w:r>
            <w:r w:rsidR="0046341E">
              <w:rPr>
                <w:i/>
                <w:sz w:val="20"/>
                <w:szCs w:val="20"/>
                <w:lang w:val="es-ES"/>
              </w:rPr>
              <w:t>,15</w:t>
            </w:r>
          </w:p>
        </w:tc>
        <w:tc>
          <w:tcPr>
            <w:tcW w:w="3277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rFonts w:cs="BxlkvjAdvTTe45e47d2"/>
                <w:sz w:val="20"/>
                <w:szCs w:val="20"/>
              </w:rPr>
            </w:pPr>
            <w:r w:rsidRPr="00131A36">
              <w:rPr>
                <w:rFonts w:cs="BxlkvjAdvTTe45e47d2"/>
                <w:sz w:val="20"/>
                <w:szCs w:val="20"/>
              </w:rPr>
              <w:t xml:space="preserve">Hagiwara </w:t>
            </w:r>
            <w:r w:rsidRPr="00131A36">
              <w:rPr>
                <w:rFonts w:cs="XgxktyAdvTT7329fd89.I"/>
                <w:sz w:val="20"/>
                <w:szCs w:val="20"/>
              </w:rPr>
              <w:t xml:space="preserve">et al. </w:t>
            </w:r>
            <w:r w:rsidRPr="00131A36">
              <w:rPr>
                <w:rFonts w:cs="MyriadPro-Regular"/>
                <w:sz w:val="20"/>
                <w:szCs w:val="20"/>
              </w:rPr>
              <w:t>(2016)</w:t>
            </w:r>
          </w:p>
        </w:tc>
      </w:tr>
      <w:tr w:rsidR="00131A36" w:rsidRPr="00131A36" w:rsidTr="008B7ED4">
        <w:tc>
          <w:tcPr>
            <w:tcW w:w="9622" w:type="dxa"/>
            <w:gridSpan w:val="6"/>
          </w:tcPr>
          <w:p w:rsidR="00131A36" w:rsidRPr="00131A36" w:rsidRDefault="00131A36" w:rsidP="008B7ED4">
            <w:pPr>
              <w:pStyle w:val="ListParagraph"/>
              <w:ind w:left="0"/>
              <w:jc w:val="center"/>
              <w:rPr>
                <w:rFonts w:cs="BxlkvjAdvTTe45e47d2"/>
                <w:b/>
                <w:sz w:val="20"/>
                <w:szCs w:val="20"/>
              </w:rPr>
            </w:pPr>
            <w:r w:rsidRPr="00131A36">
              <w:rPr>
                <w:b/>
                <w:sz w:val="20"/>
                <w:szCs w:val="20"/>
              </w:rPr>
              <w:t xml:space="preserve">Constitutive </w:t>
            </w:r>
          </w:p>
        </w:tc>
      </w:tr>
      <w:tr w:rsidR="00131A36" w:rsidRPr="00131A36" w:rsidTr="008B7ED4">
        <w:tc>
          <w:tcPr>
            <w:tcW w:w="675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proofErr w:type="spellStart"/>
            <w:r w:rsidRPr="00131A36">
              <w:rPr>
                <w:i/>
                <w:sz w:val="20"/>
                <w:szCs w:val="20"/>
              </w:rPr>
              <w:t>gpdA</w:t>
            </w:r>
            <w:proofErr w:type="spellEnd"/>
          </w:p>
        </w:tc>
        <w:tc>
          <w:tcPr>
            <w:tcW w:w="899" w:type="dxa"/>
          </w:tcPr>
          <w:p w:rsidR="00131A36" w:rsidRPr="00131A36" w:rsidRDefault="00131A36" w:rsidP="008B7ED4">
            <w:pPr>
              <w:rPr>
                <w:color w:val="000000"/>
                <w:sz w:val="20"/>
                <w:szCs w:val="20"/>
              </w:rPr>
            </w:pPr>
            <w:r w:rsidRPr="00131A36">
              <w:rPr>
                <w:color w:val="000000"/>
                <w:sz w:val="20"/>
                <w:szCs w:val="20"/>
              </w:rPr>
              <w:t>1145517</w:t>
            </w:r>
          </w:p>
        </w:tc>
        <w:tc>
          <w:tcPr>
            <w:tcW w:w="1653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r w:rsidRPr="00131A36">
              <w:rPr>
                <w:i/>
                <w:sz w:val="20"/>
                <w:szCs w:val="20"/>
              </w:rPr>
              <w:t>0,7</w:t>
            </w:r>
            <w:r w:rsidR="0046341E">
              <w:rPr>
                <w:i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r w:rsidRPr="00131A36">
              <w:rPr>
                <w:i/>
                <w:sz w:val="20"/>
                <w:szCs w:val="20"/>
              </w:rPr>
              <w:t>0,3</w:t>
            </w:r>
            <w:r w:rsidR="0046341E">
              <w:rPr>
                <w:i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r w:rsidRPr="00131A36">
              <w:rPr>
                <w:i/>
                <w:sz w:val="20"/>
                <w:szCs w:val="20"/>
              </w:rPr>
              <w:t>0,2</w:t>
            </w:r>
            <w:r w:rsidR="0046341E">
              <w:rPr>
                <w:i/>
                <w:sz w:val="20"/>
                <w:szCs w:val="20"/>
              </w:rPr>
              <w:t>0</w:t>
            </w:r>
          </w:p>
        </w:tc>
        <w:tc>
          <w:tcPr>
            <w:tcW w:w="3277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rFonts w:cs="BxlkvjAdvTTe45e47d2"/>
                <w:sz w:val="20"/>
                <w:szCs w:val="20"/>
              </w:rPr>
            </w:pPr>
            <w:r w:rsidRPr="00131A36">
              <w:rPr>
                <w:rFonts w:cs="BxlkvjAdvTTe45e47d2"/>
                <w:sz w:val="20"/>
                <w:szCs w:val="20"/>
              </w:rPr>
              <w:t>Bleichrodt et al. (2013)</w:t>
            </w:r>
          </w:p>
        </w:tc>
      </w:tr>
      <w:tr w:rsidR="00131A36" w:rsidRPr="00131A36" w:rsidTr="008B7ED4">
        <w:tc>
          <w:tcPr>
            <w:tcW w:w="675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proofErr w:type="spellStart"/>
            <w:r w:rsidRPr="00131A36">
              <w:rPr>
                <w:i/>
                <w:sz w:val="20"/>
                <w:szCs w:val="20"/>
              </w:rPr>
              <w:t>cpcC</w:t>
            </w:r>
            <w:proofErr w:type="spellEnd"/>
          </w:p>
        </w:tc>
        <w:tc>
          <w:tcPr>
            <w:tcW w:w="899" w:type="dxa"/>
          </w:tcPr>
          <w:p w:rsidR="00131A36" w:rsidRPr="00131A36" w:rsidRDefault="00131A36" w:rsidP="008B7ED4">
            <w:pPr>
              <w:rPr>
                <w:color w:val="000000"/>
                <w:sz w:val="20"/>
                <w:szCs w:val="20"/>
              </w:rPr>
            </w:pPr>
            <w:r w:rsidRPr="00131A36">
              <w:rPr>
                <w:color w:val="000000"/>
                <w:sz w:val="20"/>
                <w:szCs w:val="20"/>
              </w:rPr>
              <w:t>1123425</w:t>
            </w:r>
          </w:p>
        </w:tc>
        <w:tc>
          <w:tcPr>
            <w:tcW w:w="1653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r w:rsidRPr="00131A36">
              <w:rPr>
                <w:i/>
                <w:sz w:val="20"/>
                <w:szCs w:val="20"/>
              </w:rPr>
              <w:t>1,7</w:t>
            </w:r>
            <w:r w:rsidR="0046341E">
              <w:rPr>
                <w:i/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:rsidR="00131A36" w:rsidRPr="00131A36" w:rsidRDefault="0046341E" w:rsidP="008B7ED4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2,08</w:t>
            </w:r>
          </w:p>
        </w:tc>
        <w:tc>
          <w:tcPr>
            <w:tcW w:w="1559" w:type="dxa"/>
          </w:tcPr>
          <w:p w:rsidR="00131A36" w:rsidRPr="00131A36" w:rsidRDefault="0046341E" w:rsidP="008B7ED4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1,96</w:t>
            </w:r>
          </w:p>
        </w:tc>
        <w:tc>
          <w:tcPr>
            <w:tcW w:w="3277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rFonts w:cs="BxlkvjAdvTTe45e47d2"/>
                <w:sz w:val="20"/>
                <w:szCs w:val="20"/>
              </w:rPr>
            </w:pPr>
            <w:proofErr w:type="spellStart"/>
            <w:r w:rsidRPr="00131A36">
              <w:rPr>
                <w:rFonts w:cs="BxlkvjAdvTTe45e47d2"/>
                <w:sz w:val="20"/>
                <w:szCs w:val="20"/>
              </w:rPr>
              <w:t>Novodvorska</w:t>
            </w:r>
            <w:proofErr w:type="spellEnd"/>
            <w:r w:rsidRPr="00131A36">
              <w:rPr>
                <w:rFonts w:cs="BxlkvjAdvTTe45e47d2"/>
                <w:sz w:val="20"/>
                <w:szCs w:val="20"/>
              </w:rPr>
              <w:t xml:space="preserve"> et al. (2013)</w:t>
            </w:r>
          </w:p>
        </w:tc>
      </w:tr>
      <w:tr w:rsidR="00131A36" w:rsidRPr="00131A36" w:rsidTr="008B7ED4">
        <w:tc>
          <w:tcPr>
            <w:tcW w:w="9622" w:type="dxa"/>
            <w:gridSpan w:val="6"/>
          </w:tcPr>
          <w:p w:rsidR="00131A36" w:rsidRPr="00131A36" w:rsidRDefault="00131A36" w:rsidP="008B7ED4">
            <w:pPr>
              <w:pStyle w:val="ListParagraph"/>
              <w:ind w:left="0"/>
              <w:jc w:val="center"/>
              <w:rPr>
                <w:rFonts w:cs="BxlkvjAdvTTe45e47d2"/>
                <w:b/>
                <w:sz w:val="20"/>
                <w:szCs w:val="20"/>
              </w:rPr>
            </w:pPr>
            <w:r w:rsidRPr="00131A36">
              <w:rPr>
                <w:b/>
                <w:i/>
                <w:sz w:val="20"/>
                <w:szCs w:val="20"/>
              </w:rPr>
              <w:t>Vegetative mycelium specific</w:t>
            </w:r>
          </w:p>
        </w:tc>
      </w:tr>
      <w:tr w:rsidR="00131A36" w:rsidRPr="00131A36" w:rsidTr="008B7ED4">
        <w:tc>
          <w:tcPr>
            <w:tcW w:w="675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proofErr w:type="spellStart"/>
            <w:r w:rsidRPr="00131A36">
              <w:rPr>
                <w:i/>
                <w:sz w:val="20"/>
                <w:szCs w:val="20"/>
              </w:rPr>
              <w:t>mpdA</w:t>
            </w:r>
            <w:proofErr w:type="spellEnd"/>
          </w:p>
        </w:tc>
        <w:tc>
          <w:tcPr>
            <w:tcW w:w="899" w:type="dxa"/>
          </w:tcPr>
          <w:p w:rsidR="00131A36" w:rsidRPr="00131A36" w:rsidRDefault="00131A36" w:rsidP="008B7ED4">
            <w:pPr>
              <w:rPr>
                <w:color w:val="000000"/>
                <w:sz w:val="20"/>
                <w:szCs w:val="20"/>
              </w:rPr>
            </w:pPr>
            <w:r w:rsidRPr="00131A36">
              <w:rPr>
                <w:color w:val="000000"/>
                <w:sz w:val="20"/>
                <w:szCs w:val="20"/>
              </w:rPr>
              <w:t>1144666</w:t>
            </w:r>
          </w:p>
        </w:tc>
        <w:tc>
          <w:tcPr>
            <w:tcW w:w="1653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r w:rsidRPr="00131A36">
              <w:rPr>
                <w:sz w:val="20"/>
                <w:szCs w:val="20"/>
              </w:rPr>
              <w:t>0,1</w:t>
            </w:r>
            <w:r w:rsidR="00B62D1E">
              <w:rPr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r w:rsidRPr="00131A36">
              <w:rPr>
                <w:i/>
                <w:sz w:val="20"/>
                <w:szCs w:val="20"/>
              </w:rPr>
              <w:t>0,0</w:t>
            </w:r>
            <w:r w:rsidR="0046341E">
              <w:rPr>
                <w:i/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r w:rsidRPr="00131A36">
              <w:rPr>
                <w:i/>
                <w:sz w:val="20"/>
                <w:szCs w:val="20"/>
              </w:rPr>
              <w:t>0,</w:t>
            </w:r>
            <w:r w:rsidR="0046341E">
              <w:rPr>
                <w:i/>
                <w:sz w:val="20"/>
                <w:szCs w:val="20"/>
              </w:rPr>
              <w:t>06</w:t>
            </w:r>
          </w:p>
        </w:tc>
        <w:tc>
          <w:tcPr>
            <w:tcW w:w="3277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rFonts w:cs="BxlkvjAdvTTe45e47d2"/>
                <w:sz w:val="20"/>
                <w:szCs w:val="20"/>
              </w:rPr>
            </w:pPr>
            <w:proofErr w:type="spellStart"/>
            <w:r w:rsidRPr="00131A36">
              <w:rPr>
                <w:sz w:val="20"/>
                <w:szCs w:val="20"/>
                <w:lang w:val="nl-NL"/>
              </w:rPr>
              <w:t>Aguilar-Osorio</w:t>
            </w:r>
            <w:proofErr w:type="spellEnd"/>
            <w:r w:rsidRPr="00131A36">
              <w:rPr>
                <w:sz w:val="20"/>
                <w:szCs w:val="20"/>
                <w:lang w:val="nl-NL"/>
              </w:rPr>
              <w:t xml:space="preserve"> et al. (2010)</w:t>
            </w:r>
          </w:p>
        </w:tc>
      </w:tr>
      <w:tr w:rsidR="00131A36" w:rsidRPr="00131A36" w:rsidTr="008B7ED4">
        <w:tc>
          <w:tcPr>
            <w:tcW w:w="675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proofErr w:type="spellStart"/>
            <w:r w:rsidRPr="00131A36">
              <w:rPr>
                <w:i/>
                <w:sz w:val="20"/>
                <w:szCs w:val="20"/>
              </w:rPr>
              <w:t>glaA</w:t>
            </w:r>
            <w:proofErr w:type="spellEnd"/>
          </w:p>
        </w:tc>
        <w:tc>
          <w:tcPr>
            <w:tcW w:w="899" w:type="dxa"/>
          </w:tcPr>
          <w:p w:rsidR="00131A36" w:rsidRPr="00131A36" w:rsidRDefault="00131A36" w:rsidP="008B7ED4">
            <w:pPr>
              <w:rPr>
                <w:color w:val="000000"/>
                <w:sz w:val="20"/>
                <w:szCs w:val="20"/>
              </w:rPr>
            </w:pPr>
            <w:r w:rsidRPr="00131A36">
              <w:rPr>
                <w:color w:val="000000"/>
                <w:sz w:val="20"/>
                <w:szCs w:val="20"/>
              </w:rPr>
              <w:t>1166799</w:t>
            </w:r>
          </w:p>
        </w:tc>
        <w:tc>
          <w:tcPr>
            <w:tcW w:w="1653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r w:rsidRPr="00131A36">
              <w:rPr>
                <w:i/>
                <w:sz w:val="20"/>
                <w:szCs w:val="20"/>
              </w:rPr>
              <w:t>0,001</w:t>
            </w:r>
          </w:p>
        </w:tc>
        <w:tc>
          <w:tcPr>
            <w:tcW w:w="1559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r w:rsidRPr="00131A36">
              <w:rPr>
                <w:i/>
                <w:sz w:val="20"/>
                <w:szCs w:val="20"/>
              </w:rPr>
              <w:t>0,001</w:t>
            </w:r>
          </w:p>
        </w:tc>
        <w:tc>
          <w:tcPr>
            <w:tcW w:w="1559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r w:rsidRPr="00131A36">
              <w:rPr>
                <w:i/>
                <w:sz w:val="20"/>
                <w:szCs w:val="20"/>
              </w:rPr>
              <w:t>0,001</w:t>
            </w:r>
          </w:p>
        </w:tc>
        <w:tc>
          <w:tcPr>
            <w:tcW w:w="3277" w:type="dxa"/>
          </w:tcPr>
          <w:p w:rsidR="00131A36" w:rsidRPr="00131A36" w:rsidRDefault="00131A36" w:rsidP="008B7ED4">
            <w:pPr>
              <w:pStyle w:val="ListParagraph"/>
              <w:ind w:left="0"/>
              <w:rPr>
                <w:sz w:val="20"/>
                <w:szCs w:val="20"/>
                <w:lang w:val="nl-NL"/>
              </w:rPr>
            </w:pPr>
            <w:r w:rsidRPr="00131A36">
              <w:rPr>
                <w:rFonts w:cs="BxlkvjAdvTTe45e47d2"/>
                <w:sz w:val="20"/>
                <w:szCs w:val="20"/>
              </w:rPr>
              <w:t>Bleichrodt et al. (2013)</w:t>
            </w:r>
          </w:p>
        </w:tc>
      </w:tr>
    </w:tbl>
    <w:p w:rsidR="00131A36" w:rsidRPr="00131A36" w:rsidRDefault="00131A36" w:rsidP="00131A36">
      <w:pPr>
        <w:pStyle w:val="ListParagraph"/>
        <w:ind w:left="0"/>
        <w:rPr>
          <w:b/>
          <w:i/>
          <w:sz w:val="20"/>
          <w:szCs w:val="20"/>
        </w:rPr>
      </w:pPr>
    </w:p>
    <w:p w:rsidR="00131A36" w:rsidRPr="00131A36" w:rsidRDefault="00131A36" w:rsidP="00131A36">
      <w:pPr>
        <w:pStyle w:val="ListParagraph"/>
        <w:ind w:left="0"/>
        <w:rPr>
          <w:b/>
          <w:i/>
          <w:sz w:val="20"/>
          <w:szCs w:val="20"/>
        </w:rPr>
      </w:pPr>
      <w:r w:rsidRPr="00131A36">
        <w:rPr>
          <w:b/>
          <w:i/>
          <w:sz w:val="20"/>
          <w:szCs w:val="20"/>
        </w:rPr>
        <w:t>References</w:t>
      </w:r>
    </w:p>
    <w:p w:rsidR="00131A36" w:rsidRPr="00131A36" w:rsidRDefault="00131A36" w:rsidP="00131A36">
      <w:pPr>
        <w:pStyle w:val="ListParagraph"/>
        <w:ind w:left="0"/>
        <w:rPr>
          <w:sz w:val="20"/>
          <w:szCs w:val="20"/>
          <w:lang w:val="nl-NL"/>
        </w:rPr>
      </w:pPr>
      <w:r w:rsidRPr="00131A36">
        <w:rPr>
          <w:sz w:val="20"/>
          <w:szCs w:val="20"/>
        </w:rPr>
        <w:t xml:space="preserve">Aguilar-Osorio, G., </w:t>
      </w:r>
      <w:proofErr w:type="spellStart"/>
      <w:r w:rsidRPr="00131A36">
        <w:rPr>
          <w:sz w:val="20"/>
          <w:szCs w:val="20"/>
        </w:rPr>
        <w:t>Vankuyk</w:t>
      </w:r>
      <w:proofErr w:type="spellEnd"/>
      <w:r w:rsidRPr="00131A36">
        <w:rPr>
          <w:sz w:val="20"/>
          <w:szCs w:val="20"/>
        </w:rPr>
        <w:t xml:space="preserve">, P.A., </w:t>
      </w:r>
      <w:proofErr w:type="spellStart"/>
      <w:r w:rsidRPr="00131A36">
        <w:rPr>
          <w:sz w:val="20"/>
          <w:szCs w:val="20"/>
        </w:rPr>
        <w:t>Seiboth</w:t>
      </w:r>
      <w:proofErr w:type="spellEnd"/>
      <w:r w:rsidRPr="00131A36">
        <w:rPr>
          <w:sz w:val="20"/>
          <w:szCs w:val="20"/>
        </w:rPr>
        <w:t xml:space="preserve">, B., </w:t>
      </w:r>
      <w:proofErr w:type="spellStart"/>
      <w:r w:rsidRPr="00131A36">
        <w:rPr>
          <w:sz w:val="20"/>
          <w:szCs w:val="20"/>
        </w:rPr>
        <w:t>Blom</w:t>
      </w:r>
      <w:proofErr w:type="spellEnd"/>
      <w:r w:rsidRPr="00131A36">
        <w:rPr>
          <w:sz w:val="20"/>
          <w:szCs w:val="20"/>
        </w:rPr>
        <w:t xml:space="preserve">, D., Solomon, P.S., Vinck, A., Kindt, F., Wösten, H.A.B., de Vries, R.P., 2010. Spatial and developmental differentiation of mannitol dehydrogenase and mannitol-1-phosphate dehydrogenase in </w:t>
      </w:r>
      <w:r w:rsidRPr="00131A36">
        <w:rPr>
          <w:i/>
          <w:sz w:val="20"/>
          <w:szCs w:val="20"/>
        </w:rPr>
        <w:t xml:space="preserve">Aspergillus </w:t>
      </w:r>
      <w:proofErr w:type="spellStart"/>
      <w:r w:rsidRPr="00131A36">
        <w:rPr>
          <w:i/>
          <w:sz w:val="20"/>
          <w:szCs w:val="20"/>
        </w:rPr>
        <w:t>niger</w:t>
      </w:r>
      <w:proofErr w:type="spellEnd"/>
      <w:r w:rsidRPr="00131A36">
        <w:rPr>
          <w:sz w:val="20"/>
          <w:szCs w:val="20"/>
        </w:rPr>
        <w:t>.</w:t>
      </w:r>
      <w:r w:rsidRPr="00131A36">
        <w:rPr>
          <w:i/>
          <w:sz w:val="20"/>
          <w:szCs w:val="20"/>
        </w:rPr>
        <w:t xml:space="preserve"> </w:t>
      </w:r>
      <w:proofErr w:type="spellStart"/>
      <w:r w:rsidRPr="00131A36">
        <w:rPr>
          <w:sz w:val="20"/>
          <w:szCs w:val="20"/>
          <w:lang w:val="nl-NL"/>
        </w:rPr>
        <w:t>Eukaryot</w:t>
      </w:r>
      <w:proofErr w:type="spellEnd"/>
      <w:r w:rsidRPr="00131A36">
        <w:rPr>
          <w:sz w:val="20"/>
          <w:szCs w:val="20"/>
          <w:lang w:val="nl-NL"/>
        </w:rPr>
        <w:t xml:space="preserve"> </w:t>
      </w:r>
      <w:proofErr w:type="spellStart"/>
      <w:r w:rsidRPr="00131A36">
        <w:rPr>
          <w:sz w:val="20"/>
          <w:szCs w:val="20"/>
          <w:lang w:val="nl-NL"/>
        </w:rPr>
        <w:t>Cell</w:t>
      </w:r>
      <w:proofErr w:type="spellEnd"/>
      <w:r w:rsidRPr="00131A36">
        <w:rPr>
          <w:sz w:val="20"/>
          <w:szCs w:val="20"/>
          <w:lang w:val="nl-NL"/>
        </w:rPr>
        <w:t xml:space="preserve"> 9, 1398-1402.</w:t>
      </w:r>
    </w:p>
    <w:p w:rsidR="00131A36" w:rsidRPr="00131A36" w:rsidRDefault="00131A36" w:rsidP="00131A36">
      <w:pPr>
        <w:rPr>
          <w:sz w:val="20"/>
          <w:szCs w:val="20"/>
        </w:rPr>
      </w:pPr>
      <w:r w:rsidRPr="00131A36">
        <w:rPr>
          <w:sz w:val="20"/>
          <w:szCs w:val="20"/>
          <w:lang w:val="nl-NL"/>
        </w:rPr>
        <w:t xml:space="preserve">Bleichrodt, R., Vinck, A., Krijgsheld, P., van Leeuwen, M.R., Dijksterhuis, J., Wösten, H.A.B., 2013. </w:t>
      </w:r>
      <w:r w:rsidRPr="00131A36">
        <w:rPr>
          <w:sz w:val="20"/>
          <w:szCs w:val="20"/>
        </w:rPr>
        <w:t xml:space="preserve">Cytosolic streaming in vegetative mycelium and aerial structures of </w:t>
      </w:r>
      <w:r w:rsidRPr="00131A36">
        <w:rPr>
          <w:i/>
          <w:sz w:val="20"/>
          <w:szCs w:val="20"/>
        </w:rPr>
        <w:t xml:space="preserve">Aspergillus </w:t>
      </w:r>
      <w:proofErr w:type="spellStart"/>
      <w:r w:rsidRPr="00131A36">
        <w:rPr>
          <w:i/>
          <w:sz w:val="20"/>
          <w:szCs w:val="20"/>
        </w:rPr>
        <w:t>niger</w:t>
      </w:r>
      <w:proofErr w:type="spellEnd"/>
      <w:r w:rsidRPr="00131A36">
        <w:rPr>
          <w:sz w:val="20"/>
          <w:szCs w:val="20"/>
        </w:rPr>
        <w:t>. Stud. Mycol. 74, 31-46.</w:t>
      </w:r>
    </w:p>
    <w:p w:rsidR="00131A36" w:rsidRPr="00131A36" w:rsidRDefault="00131A36" w:rsidP="00131A36">
      <w:pPr>
        <w:rPr>
          <w:sz w:val="20"/>
          <w:szCs w:val="20"/>
        </w:rPr>
      </w:pPr>
      <w:r w:rsidRPr="00131A36">
        <w:rPr>
          <w:sz w:val="20"/>
          <w:szCs w:val="20"/>
        </w:rPr>
        <w:t xml:space="preserve">Hagiwara, D., Takahashi, H., </w:t>
      </w:r>
      <w:proofErr w:type="spellStart"/>
      <w:r w:rsidRPr="00131A36">
        <w:rPr>
          <w:sz w:val="20"/>
          <w:szCs w:val="20"/>
        </w:rPr>
        <w:t>Kusuya</w:t>
      </w:r>
      <w:proofErr w:type="spellEnd"/>
      <w:r w:rsidRPr="00131A36">
        <w:rPr>
          <w:sz w:val="20"/>
          <w:szCs w:val="20"/>
        </w:rPr>
        <w:t xml:space="preserve">, Y., Kawamoto, S., Kamei, K., </w:t>
      </w:r>
      <w:proofErr w:type="spellStart"/>
      <w:r w:rsidRPr="00131A36">
        <w:rPr>
          <w:sz w:val="20"/>
          <w:szCs w:val="20"/>
        </w:rPr>
        <w:t>Gonoi</w:t>
      </w:r>
      <w:proofErr w:type="spellEnd"/>
      <w:r w:rsidRPr="00131A36">
        <w:rPr>
          <w:sz w:val="20"/>
          <w:szCs w:val="20"/>
        </w:rPr>
        <w:t xml:space="preserve">, T., 2016. Comparative transcriptome analysis revealing dormant conidia and germination associated genes in </w:t>
      </w:r>
      <w:r w:rsidRPr="00131A36">
        <w:rPr>
          <w:i/>
          <w:sz w:val="20"/>
          <w:szCs w:val="20"/>
        </w:rPr>
        <w:t>Aspergillus</w:t>
      </w:r>
      <w:r w:rsidRPr="00131A36">
        <w:rPr>
          <w:sz w:val="20"/>
          <w:szCs w:val="20"/>
        </w:rPr>
        <w:t xml:space="preserve"> species: an essential role for </w:t>
      </w:r>
      <w:proofErr w:type="spellStart"/>
      <w:r w:rsidRPr="00131A36">
        <w:rPr>
          <w:sz w:val="20"/>
          <w:szCs w:val="20"/>
        </w:rPr>
        <w:t>AtfA</w:t>
      </w:r>
      <w:proofErr w:type="spellEnd"/>
      <w:r w:rsidRPr="00131A36">
        <w:rPr>
          <w:sz w:val="20"/>
          <w:szCs w:val="20"/>
        </w:rPr>
        <w:t xml:space="preserve"> in conidial dormancy. BMC Genomics17, 358. </w:t>
      </w:r>
    </w:p>
    <w:p w:rsidR="00131A36" w:rsidRPr="00131A36" w:rsidRDefault="00131A36" w:rsidP="00131A36">
      <w:pPr>
        <w:rPr>
          <w:sz w:val="20"/>
          <w:szCs w:val="20"/>
          <w:lang w:val="nl-NL"/>
        </w:rPr>
      </w:pPr>
      <w:proofErr w:type="spellStart"/>
      <w:r w:rsidRPr="00131A36">
        <w:rPr>
          <w:sz w:val="20"/>
          <w:szCs w:val="20"/>
        </w:rPr>
        <w:t>Novodvorska</w:t>
      </w:r>
      <w:proofErr w:type="spellEnd"/>
      <w:r w:rsidRPr="00131A36">
        <w:rPr>
          <w:sz w:val="20"/>
          <w:szCs w:val="20"/>
        </w:rPr>
        <w:t xml:space="preserve">, M., </w:t>
      </w:r>
      <w:proofErr w:type="spellStart"/>
      <w:r w:rsidRPr="00131A36">
        <w:rPr>
          <w:sz w:val="20"/>
          <w:szCs w:val="20"/>
        </w:rPr>
        <w:t>Hayer</w:t>
      </w:r>
      <w:proofErr w:type="spellEnd"/>
      <w:r w:rsidRPr="00131A36">
        <w:rPr>
          <w:sz w:val="20"/>
          <w:szCs w:val="20"/>
        </w:rPr>
        <w:t xml:space="preserve">, K., </w:t>
      </w:r>
      <w:proofErr w:type="spellStart"/>
      <w:r w:rsidRPr="00131A36">
        <w:rPr>
          <w:sz w:val="20"/>
          <w:szCs w:val="20"/>
        </w:rPr>
        <w:t>Pullan</w:t>
      </w:r>
      <w:proofErr w:type="spellEnd"/>
      <w:r w:rsidRPr="00131A36">
        <w:rPr>
          <w:sz w:val="20"/>
          <w:szCs w:val="20"/>
        </w:rPr>
        <w:t xml:space="preserve">, S.T., Wilson, R., Blythe, M.J., Stam, H., Stratford, M., Archer, D.B., 2013. </w:t>
      </w:r>
      <w:proofErr w:type="spellStart"/>
      <w:r w:rsidRPr="00131A36">
        <w:rPr>
          <w:sz w:val="20"/>
          <w:szCs w:val="20"/>
        </w:rPr>
        <w:t>Trancriptional</w:t>
      </w:r>
      <w:proofErr w:type="spellEnd"/>
      <w:r w:rsidRPr="00131A36">
        <w:rPr>
          <w:sz w:val="20"/>
          <w:szCs w:val="20"/>
        </w:rPr>
        <w:t xml:space="preserve"> landscape of </w:t>
      </w:r>
      <w:r w:rsidRPr="00131A36">
        <w:rPr>
          <w:i/>
          <w:sz w:val="20"/>
          <w:szCs w:val="20"/>
        </w:rPr>
        <w:t xml:space="preserve">Aspergillus </w:t>
      </w:r>
      <w:proofErr w:type="spellStart"/>
      <w:r w:rsidRPr="00131A36">
        <w:rPr>
          <w:i/>
          <w:sz w:val="20"/>
          <w:szCs w:val="20"/>
        </w:rPr>
        <w:t>niger</w:t>
      </w:r>
      <w:proofErr w:type="spellEnd"/>
      <w:r w:rsidRPr="00131A36">
        <w:rPr>
          <w:sz w:val="20"/>
          <w:szCs w:val="20"/>
        </w:rPr>
        <w:t xml:space="preserve"> at breaking of conidial dormancy revealed by RNA-sequencing. </w:t>
      </w:r>
      <w:r w:rsidRPr="00131A36">
        <w:rPr>
          <w:sz w:val="20"/>
          <w:szCs w:val="20"/>
          <w:lang w:val="nl-NL"/>
        </w:rPr>
        <w:t>BMC Genomics 14, 246.</w:t>
      </w:r>
    </w:p>
    <w:p w:rsidR="00131A36" w:rsidRPr="00131A36" w:rsidRDefault="00131A36" w:rsidP="00131A36">
      <w:pPr>
        <w:rPr>
          <w:sz w:val="20"/>
          <w:szCs w:val="20"/>
        </w:rPr>
      </w:pPr>
      <w:r w:rsidRPr="00131A36">
        <w:rPr>
          <w:sz w:val="20"/>
          <w:szCs w:val="20"/>
          <w:lang w:val="nl-NL"/>
        </w:rPr>
        <w:t xml:space="preserve">van Munster, J.M., Nitsche, B.M., Krijgsheld, P., van Wijk, A., Dijkhuizen, L., Wösten, H.A.B, Ram, A.F., van der Maarel, M.J., 2013. </w:t>
      </w:r>
      <w:proofErr w:type="spellStart"/>
      <w:r w:rsidRPr="00131A36">
        <w:rPr>
          <w:sz w:val="20"/>
          <w:szCs w:val="20"/>
        </w:rPr>
        <w:t>Chitinases</w:t>
      </w:r>
      <w:proofErr w:type="spellEnd"/>
      <w:r w:rsidRPr="00131A36">
        <w:rPr>
          <w:sz w:val="20"/>
          <w:szCs w:val="20"/>
        </w:rPr>
        <w:t xml:space="preserve"> </w:t>
      </w:r>
      <w:proofErr w:type="spellStart"/>
      <w:r w:rsidRPr="00131A36">
        <w:rPr>
          <w:sz w:val="20"/>
          <w:szCs w:val="20"/>
        </w:rPr>
        <w:t>CtcB</w:t>
      </w:r>
      <w:proofErr w:type="spellEnd"/>
      <w:r w:rsidRPr="00131A36">
        <w:rPr>
          <w:sz w:val="20"/>
          <w:szCs w:val="20"/>
        </w:rPr>
        <w:t xml:space="preserve"> and </w:t>
      </w:r>
      <w:proofErr w:type="spellStart"/>
      <w:r w:rsidRPr="00131A36">
        <w:rPr>
          <w:sz w:val="20"/>
          <w:szCs w:val="20"/>
        </w:rPr>
        <w:t>CfcI</w:t>
      </w:r>
      <w:proofErr w:type="spellEnd"/>
      <w:r w:rsidRPr="00131A36">
        <w:rPr>
          <w:sz w:val="20"/>
          <w:szCs w:val="20"/>
        </w:rPr>
        <w:t xml:space="preserve"> modify the cell wall in </w:t>
      </w:r>
      <w:proofErr w:type="spellStart"/>
      <w:r w:rsidRPr="00131A36">
        <w:rPr>
          <w:sz w:val="20"/>
          <w:szCs w:val="20"/>
        </w:rPr>
        <w:t>sporulating</w:t>
      </w:r>
      <w:proofErr w:type="spellEnd"/>
      <w:r w:rsidRPr="00131A36">
        <w:rPr>
          <w:sz w:val="20"/>
          <w:szCs w:val="20"/>
        </w:rPr>
        <w:t xml:space="preserve"> aerial mycelium of </w:t>
      </w:r>
      <w:r w:rsidRPr="00131A36">
        <w:rPr>
          <w:i/>
          <w:sz w:val="20"/>
          <w:szCs w:val="20"/>
        </w:rPr>
        <w:t xml:space="preserve">Aspergillus </w:t>
      </w:r>
      <w:proofErr w:type="spellStart"/>
      <w:r w:rsidRPr="00131A36">
        <w:rPr>
          <w:i/>
          <w:sz w:val="20"/>
          <w:szCs w:val="20"/>
        </w:rPr>
        <w:t>niger</w:t>
      </w:r>
      <w:proofErr w:type="spellEnd"/>
      <w:r w:rsidRPr="00131A36">
        <w:rPr>
          <w:sz w:val="20"/>
          <w:szCs w:val="20"/>
        </w:rPr>
        <w:t xml:space="preserve">. Microbiology 159, 1853-1867. </w:t>
      </w:r>
    </w:p>
    <w:p w:rsidR="008924B3" w:rsidRPr="00131A36" w:rsidRDefault="00BB330F">
      <w:pPr>
        <w:rPr>
          <w:sz w:val="20"/>
          <w:szCs w:val="20"/>
        </w:rPr>
      </w:pPr>
    </w:p>
    <w:sectPr w:rsidR="008924B3" w:rsidRPr="00131A3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tqsdyAdvTTb5929f4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xlkvjAdvTTe45e47d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XgxktyAdvTT7329fd89.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A36"/>
    <w:rsid w:val="00131A36"/>
    <w:rsid w:val="0046341E"/>
    <w:rsid w:val="00A35A84"/>
    <w:rsid w:val="00B62D1E"/>
    <w:rsid w:val="00BB330F"/>
    <w:rsid w:val="00BB3712"/>
    <w:rsid w:val="00F5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A36"/>
    <w:pPr>
      <w:ind w:left="720"/>
      <w:contextualSpacing/>
    </w:pPr>
  </w:style>
  <w:style w:type="table" w:styleId="TableGrid">
    <w:name w:val="Table Grid"/>
    <w:basedOn w:val="TableNormal"/>
    <w:uiPriority w:val="59"/>
    <w:rsid w:val="00131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A36"/>
    <w:pPr>
      <w:ind w:left="720"/>
      <w:contextualSpacing/>
    </w:pPr>
  </w:style>
  <w:style w:type="table" w:styleId="TableGrid">
    <w:name w:val="Table Grid"/>
    <w:basedOn w:val="TableNormal"/>
    <w:uiPriority w:val="59"/>
    <w:rsid w:val="00131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B3855002.dotm</Template>
  <TotalTime>0</TotalTime>
  <Pages>1</Pages>
  <Words>339</Words>
  <Characters>1938</Characters>
  <Application>Microsoft Office Word</Application>
  <DocSecurity>0</DocSecurity>
  <Lines>16</Lines>
  <Paragraphs>4</Paragraphs>
  <ScaleCrop>false</ScaleCrop>
  <Company>Utrecht University</Company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woste101</dc:creator>
  <cp:lastModifiedBy>woste101</cp:lastModifiedBy>
  <cp:revision>5</cp:revision>
  <dcterms:created xsi:type="dcterms:W3CDTF">2016-11-08T15:23:00Z</dcterms:created>
  <dcterms:modified xsi:type="dcterms:W3CDTF">2016-11-23T15:55:00Z</dcterms:modified>
</cp:coreProperties>
</file>