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6541" w14:textId="77777777" w:rsidR="00395F3C" w:rsidRPr="00660E77" w:rsidRDefault="00395F3C" w:rsidP="00395F3C">
      <w:pPr>
        <w:pStyle w:val="MET"/>
      </w:pPr>
      <w:r>
        <w:rPr>
          <w:noProof/>
        </w:rPr>
        <w:drawing>
          <wp:inline distT="0" distB="0" distL="0" distR="0" wp14:anchorId="799F6322" wp14:editId="72AB098F">
            <wp:extent cx="2219325" cy="447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l="-308" r="-308"/>
                    <a:stretch>
                      <a:fillRect/>
                    </a:stretch>
                  </pic:blipFill>
                  <pic:spPr bwMode="auto">
                    <a:xfrm>
                      <a:off x="0" y="0"/>
                      <a:ext cx="2219325" cy="447675"/>
                    </a:xfrm>
                    <a:prstGeom prst="rect">
                      <a:avLst/>
                    </a:prstGeom>
                    <a:noFill/>
                    <a:ln>
                      <a:noFill/>
                    </a:ln>
                  </pic:spPr>
                </pic:pic>
              </a:graphicData>
            </a:graphic>
          </wp:inline>
        </w:drawing>
      </w:r>
    </w:p>
    <w:p w14:paraId="7CC475B5" w14:textId="77777777" w:rsidR="00395F3C" w:rsidRPr="006177FF" w:rsidRDefault="00395F3C" w:rsidP="00395F3C">
      <w:pPr>
        <w:pStyle w:val="MET"/>
      </w:pPr>
      <w:r>
        <w:t xml:space="preserve">                 Institute for Manufacturing</w:t>
      </w:r>
    </w:p>
    <w:p w14:paraId="17E48DC7" w14:textId="77777777" w:rsidR="00395F3C" w:rsidRPr="006177FF" w:rsidRDefault="00395F3C" w:rsidP="00395F3C">
      <w:pPr>
        <w:pStyle w:val="MET"/>
      </w:pPr>
    </w:p>
    <w:p w14:paraId="361FC9DC" w14:textId="77777777" w:rsidR="00395F3C" w:rsidRPr="006177FF" w:rsidRDefault="00395F3C" w:rsidP="00395F3C">
      <w:pPr>
        <w:pStyle w:val="MET"/>
      </w:pPr>
    </w:p>
    <w:p w14:paraId="7C8FCA18" w14:textId="77777777" w:rsidR="00395F3C" w:rsidRPr="006177FF" w:rsidRDefault="00395F3C" w:rsidP="00395F3C">
      <w:pPr>
        <w:pStyle w:val="MET"/>
      </w:pPr>
    </w:p>
    <w:p w14:paraId="3348FE5E" w14:textId="77777777" w:rsidR="00395F3C" w:rsidRPr="006177FF" w:rsidRDefault="00395F3C" w:rsidP="00395F3C">
      <w:pPr>
        <w:pStyle w:val="MET"/>
      </w:pPr>
    </w:p>
    <w:p w14:paraId="12533B89" w14:textId="77777777" w:rsidR="00395F3C" w:rsidRPr="006177FF" w:rsidRDefault="00395F3C" w:rsidP="00395F3C">
      <w:pPr>
        <w:pStyle w:val="MET"/>
      </w:pPr>
    </w:p>
    <w:p w14:paraId="1E1FB304" w14:textId="77777777" w:rsidR="00395F3C" w:rsidRPr="006177FF" w:rsidRDefault="00395F3C" w:rsidP="00395F3C">
      <w:pPr>
        <w:pStyle w:val="MET"/>
      </w:pPr>
    </w:p>
    <w:p w14:paraId="4123556D" w14:textId="77777777" w:rsidR="00395F3C" w:rsidRPr="00660E77" w:rsidRDefault="00395F3C" w:rsidP="00395F3C">
      <w:pPr>
        <w:pStyle w:val="MET"/>
      </w:pPr>
      <w:r>
        <w:rPr>
          <w:noProof/>
        </w:rPr>
        <mc:AlternateContent>
          <mc:Choice Requires="wps">
            <w:drawing>
              <wp:anchor distT="0" distB="0" distL="114300" distR="114300" simplePos="0" relativeHeight="251659264" behindDoc="0" locked="0" layoutInCell="1" allowOverlap="1" wp14:anchorId="269A96AE" wp14:editId="13936210">
                <wp:simplePos x="0" y="0"/>
                <wp:positionH relativeFrom="column">
                  <wp:posOffset>1727200</wp:posOffset>
                </wp:positionH>
                <wp:positionV relativeFrom="page">
                  <wp:posOffset>3398520</wp:posOffset>
                </wp:positionV>
                <wp:extent cx="4305300" cy="1896110"/>
                <wp:effectExtent l="0" t="0" r="19050" b="27940"/>
                <wp:wrapNone/>
                <wp:docPr id="23" name="Rounded 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0" cy="1896110"/>
                        </a:xfrm>
                        <a:prstGeom prst="roundRect">
                          <a:avLst>
                            <a:gd name="adj" fmla="val 8639"/>
                          </a:avLst>
                        </a:prstGeom>
                        <a:solidFill>
                          <a:srgbClr val="FFFFFF"/>
                        </a:solidFill>
                        <a:ln w="9525" cap="rnd">
                          <a:solidFill>
                            <a:srgbClr val="000000"/>
                          </a:solidFill>
                          <a:prstDash val="sysDot"/>
                          <a:round/>
                          <a:headEnd/>
                          <a:tailEnd/>
                        </a:ln>
                      </wps:spPr>
                      <wps:txbx>
                        <w:txbxContent>
                          <w:p w14:paraId="3830764A" w14:textId="77777777" w:rsidR="00395F3C" w:rsidRPr="003B259E" w:rsidRDefault="00395F3C" w:rsidP="00395F3C">
                            <w:pPr>
                              <w:pStyle w:val="Title"/>
                            </w:pPr>
                            <w:r>
                              <w:t>Report Title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9A96AE" id="Rounded Rectangle 23" o:spid="_x0000_s1026" style="position:absolute;margin-left:136pt;margin-top:267.6pt;width:339pt;height:14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5661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KcGOQIAAGkEAAAOAAAAZHJzL2Uyb0RvYy54bWysVNuO0zAQfUfiHyy/s0l6Wdqo6WrVsghp&#13;&#10;uYiFD5jaThNwPMZ2m3a/nrHTLV3gCZEHa8Yzc+bMxVncHDrN9sr5Fk3Fi6ucM2UEytZsK/71y92r&#13;&#10;GWc+gJGg0aiKH5XnN8uXLxa9LdUIG9RSOUYgxpe9rXgTgi2zzItGdeCv0CpDxhpdB4FUt82kg57Q&#13;&#10;O52N8vw669FJ61Ao7+l2PRj5MuHXtRLhY117FZiuOHEL6XTp3MQzWy6g3DqwTStONOAfWHTQGkp6&#13;&#10;hlpDALZz7R9QXSsceqzDlcAuw7puhUo1UDVF/ls1Dw1YlWqh5nh7bpP/f7Diw/7BfnKRurf3KL57&#13;&#10;ZnDVgNmqW+ewbxRISlfERmW99eU5ICqeQtmmf4+SRgu7gKkHh9p1EZCqY4fU6uO51eoQmKDLyTif&#13;&#10;jnOaiCBbMZtfF0UaRgblU7h1PrxV2LEoVNzhzsjPNNCUA/b3PqSGS2agi+nlN87qTtP49qDZ7Ho8&#13;&#10;T6ShPPkS9BNkKhd1K+9arZPitpuVdowiK36XvlOwv3TThvUVn09HUyIOtK7OyETnmZe/BMvT9zew&#13;&#10;SGYNvhmS+qNfY4h+UKZSkxTb/8bIJAdo9SBTJdqc5hFHELfdl+GwOZBjFDcojzQZh8O+0/skoUH3&#13;&#10;yFlPu15x/2MHTnGm3xma7ryYTOLjSMpk+npEiru0bC4tYARBVTxwNoirMDyonXXttqFMReqJwVva&#13;&#10;iLoNRCqtzsDqpNA+k/TswVzqyevXH2L5EwAA//8DAFBLAwQUAAYACAAAACEAUCfpoeMAAAAQAQAA&#13;&#10;DwAAAGRycy9kb3ducmV2LnhtbEyPTU7DMBCF90jcwRokdtQmIZCmcSpKxQ5VInAAJ3adlHgcxW4T&#13;&#10;bs+wgs1I8/fe+8rt4gZ2MVPoPUq4XwlgBluve7QSPj9e73JgISrUavBoJHybANvq+qpUhfYzvptL&#13;&#10;HS0jEQyFktDFOBach7YzToWVHw3S7ugnpyK1k+V6UjOJu4EnQjxyp3okh06N5qUz7Vd9dhKEfhP2&#13;&#10;oZ3truaH024dT9mx2Ut5e7PsN1SeN8CiWeLfB/wyUH6oKFjjz6gDGyQkTwkBRQlZmiXA6GKdCZo0&#13;&#10;EvI0zYFXJf8PUv0AAAD//wMAUEsBAi0AFAAGAAgAAAAhALaDOJL+AAAA4QEAABMAAAAAAAAAAAAA&#13;&#10;AAAAAAAAAFtDb250ZW50X1R5cGVzXS54bWxQSwECLQAUAAYACAAAACEAOP0h/9YAAACUAQAACwAA&#13;&#10;AAAAAAAAAAAAAAAvAQAAX3JlbHMvLnJlbHNQSwECLQAUAAYACAAAACEAiHynBjkCAABpBAAADgAA&#13;&#10;AAAAAAAAAAAAAAAuAgAAZHJzL2Uyb0RvYy54bWxQSwECLQAUAAYACAAAACEAUCfpoeMAAAAQAQAA&#13;&#10;DwAAAAAAAAAAAAAAAACTBAAAZHJzL2Rvd25yZXYueG1sUEsFBgAAAAAEAAQA8wAAAKMFAAAAAA==&#13;&#10;">
                <v:stroke dashstyle="1 1" endcap="round"/>
                <v:textbox>
                  <w:txbxContent>
                    <w:p w14:paraId="3830764A" w14:textId="77777777" w:rsidR="00395F3C" w:rsidRPr="003B259E" w:rsidRDefault="00395F3C" w:rsidP="00395F3C">
                      <w:pPr>
                        <w:pStyle w:val="Title"/>
                      </w:pPr>
                      <w:r>
                        <w:t>Report Title in this box</w:t>
                      </w:r>
                    </w:p>
                  </w:txbxContent>
                </v:textbox>
                <w10:wrap anchory="page"/>
              </v:roundrect>
            </w:pict>
          </mc:Fallback>
        </mc:AlternateContent>
      </w:r>
    </w:p>
    <w:p w14:paraId="0391208D" w14:textId="77777777" w:rsidR="00395F3C" w:rsidRPr="006177FF" w:rsidRDefault="00395F3C" w:rsidP="00395F3C">
      <w:pPr>
        <w:pStyle w:val="MET"/>
      </w:pPr>
    </w:p>
    <w:p w14:paraId="719A6E8D" w14:textId="77777777" w:rsidR="00395F3C" w:rsidRPr="006177FF" w:rsidRDefault="00395F3C" w:rsidP="00395F3C">
      <w:pPr>
        <w:pStyle w:val="MET"/>
      </w:pPr>
    </w:p>
    <w:p w14:paraId="4C90134E" w14:textId="77777777" w:rsidR="00395F3C" w:rsidRPr="006177FF" w:rsidRDefault="00395F3C" w:rsidP="00395F3C">
      <w:pPr>
        <w:pStyle w:val="MET"/>
      </w:pPr>
    </w:p>
    <w:p w14:paraId="4E416962" w14:textId="77777777" w:rsidR="00395F3C" w:rsidRPr="006177FF" w:rsidRDefault="00395F3C" w:rsidP="00395F3C">
      <w:pPr>
        <w:pStyle w:val="MET"/>
      </w:pPr>
    </w:p>
    <w:p w14:paraId="3E74AA78" w14:textId="77777777" w:rsidR="00395F3C" w:rsidRPr="006177FF" w:rsidRDefault="00395F3C" w:rsidP="00395F3C">
      <w:pPr>
        <w:pStyle w:val="MET"/>
      </w:pPr>
    </w:p>
    <w:p w14:paraId="1CBC9D94" w14:textId="77777777" w:rsidR="00395F3C" w:rsidRPr="006177FF" w:rsidRDefault="00395F3C" w:rsidP="00395F3C">
      <w:pPr>
        <w:pStyle w:val="MET"/>
      </w:pPr>
    </w:p>
    <w:p w14:paraId="0AF60465" w14:textId="77777777" w:rsidR="00395F3C" w:rsidRPr="006177FF" w:rsidRDefault="00395F3C" w:rsidP="00395F3C">
      <w:pPr>
        <w:pStyle w:val="MET"/>
      </w:pPr>
    </w:p>
    <w:p w14:paraId="1B135110" w14:textId="77777777" w:rsidR="00395F3C" w:rsidRPr="006177FF" w:rsidRDefault="00395F3C" w:rsidP="00395F3C">
      <w:pPr>
        <w:pStyle w:val="MET"/>
      </w:pPr>
    </w:p>
    <w:p w14:paraId="4F199965" w14:textId="77777777" w:rsidR="00395F3C" w:rsidRPr="006177FF" w:rsidRDefault="00395F3C" w:rsidP="00395F3C">
      <w:pPr>
        <w:pStyle w:val="MET"/>
        <w:jc w:val="right"/>
      </w:pPr>
      <w:r>
        <w:t>Report Number: MET/## - ## - ##</w:t>
      </w:r>
    </w:p>
    <w:p w14:paraId="241E9594" w14:textId="77777777" w:rsidR="00395F3C" w:rsidRPr="006177FF" w:rsidRDefault="00395F3C" w:rsidP="00395F3C">
      <w:pPr>
        <w:pStyle w:val="MET"/>
        <w:jc w:val="right"/>
      </w:pPr>
    </w:p>
    <w:p w14:paraId="445D1918" w14:textId="77777777" w:rsidR="00395F3C" w:rsidRPr="006177FF" w:rsidRDefault="00395F3C" w:rsidP="00395F3C">
      <w:pPr>
        <w:pStyle w:val="MET"/>
        <w:jc w:val="right"/>
      </w:pPr>
      <w:r>
        <w:t>Company Name</w:t>
      </w:r>
    </w:p>
    <w:p w14:paraId="42988EC0" w14:textId="77777777" w:rsidR="00395F3C" w:rsidRPr="006177FF" w:rsidRDefault="00395F3C" w:rsidP="00395F3C">
      <w:pPr>
        <w:pStyle w:val="MET"/>
        <w:jc w:val="right"/>
      </w:pPr>
      <w:r>
        <w:t>Supervisor: Supervisor’s name</w:t>
      </w:r>
    </w:p>
    <w:p w14:paraId="71A93E34" w14:textId="77777777" w:rsidR="00395F3C" w:rsidRPr="006177FF" w:rsidRDefault="00395F3C" w:rsidP="00395F3C">
      <w:pPr>
        <w:pStyle w:val="MET"/>
        <w:jc w:val="right"/>
      </w:pPr>
      <w:r>
        <w:t>Author Name</w:t>
      </w:r>
    </w:p>
    <w:p w14:paraId="04C444A9" w14:textId="77777777" w:rsidR="00395F3C" w:rsidRPr="006177FF" w:rsidRDefault="00395F3C" w:rsidP="00395F3C">
      <w:pPr>
        <w:pStyle w:val="MET"/>
        <w:jc w:val="right"/>
      </w:pPr>
    </w:p>
    <w:p w14:paraId="788AACEE" w14:textId="77777777" w:rsidR="00395F3C" w:rsidRPr="006177FF" w:rsidRDefault="00395F3C" w:rsidP="00395F3C">
      <w:pPr>
        <w:pStyle w:val="MET"/>
        <w:jc w:val="right"/>
      </w:pPr>
      <w:r>
        <w:t>Date</w:t>
      </w:r>
    </w:p>
    <w:p w14:paraId="7B1926BC" w14:textId="77777777" w:rsidR="00395F3C" w:rsidRPr="006177FF" w:rsidRDefault="00395F3C" w:rsidP="00395F3C">
      <w:pPr>
        <w:pStyle w:val="MET"/>
      </w:pPr>
    </w:p>
    <w:p w14:paraId="0EEFF94E" w14:textId="77777777" w:rsidR="00395F3C" w:rsidRPr="006177FF" w:rsidRDefault="00395F3C" w:rsidP="00395F3C">
      <w:pPr>
        <w:pStyle w:val="MET"/>
      </w:pPr>
    </w:p>
    <w:p w14:paraId="273BD451" w14:textId="77777777" w:rsidR="009A44D2" w:rsidRPr="009A44D2" w:rsidRDefault="009A44D2" w:rsidP="009A44D2">
      <w:pPr>
        <w:pStyle w:val="1Auteur"/>
        <w:spacing w:before="0" w:after="0" w:line="240" w:lineRule="auto"/>
        <w:jc w:val="left"/>
        <w:rPr>
          <w:rFonts w:asciiTheme="minorHAnsi" w:hAnsiTheme="minorHAnsi"/>
          <w:b/>
          <w:bCs/>
          <w:sz w:val="24"/>
          <w:szCs w:val="24"/>
        </w:rPr>
      </w:pPr>
      <w:r>
        <w:rPr>
          <w:rFonts w:asciiTheme="minorHAnsi" w:eastAsiaTheme="minorHAnsi" w:hAnsiTheme="minorHAnsi"/>
          <w:sz w:val="24"/>
          <w:szCs w:val="24"/>
          <w:lang w:eastAsia="en-US"/>
        </w:rPr>
        <w:t xml:space="preserve">The content of this report is confidential between the IfM and </w:t>
      </w:r>
      <w:r>
        <w:rPr>
          <w:rFonts w:asciiTheme="minorHAnsi" w:eastAsiaTheme="minorHAnsi" w:hAnsiTheme="minorHAnsi"/>
          <w:i/>
          <w:sz w:val="24"/>
          <w:szCs w:val="24"/>
          <w:lang w:eastAsia="en-US"/>
        </w:rPr>
        <w:t>“</w:t>
      </w:r>
      <w:r>
        <w:rPr>
          <w:rFonts w:asciiTheme="minorHAnsi" w:hAnsiTheme="minorHAnsi"/>
          <w:i/>
          <w:sz w:val="24"/>
          <w:szCs w:val="24"/>
        </w:rPr>
        <w:t>Company Name”,</w:t>
      </w:r>
      <w:r>
        <w:rPr>
          <w:rFonts w:asciiTheme="minorHAnsi" w:hAnsiTheme="minorHAnsi"/>
          <w:b/>
          <w:bCs/>
          <w:sz w:val="24"/>
          <w:szCs w:val="24"/>
        </w:rPr>
        <w:t xml:space="preserve"> </w:t>
      </w:r>
      <w:r>
        <w:rPr>
          <w:rFonts w:asciiTheme="minorHAnsi" w:eastAsiaTheme="minorHAnsi" w:hAnsiTheme="minorHAnsi"/>
          <w:sz w:val="24"/>
          <w:szCs w:val="24"/>
          <w:lang w:eastAsia="en-US"/>
        </w:rPr>
        <w:t>and its contents cannot be disclosed without the permission of the METIIB Project Coordinator and/or METIIB Course Director.</w:t>
      </w:r>
    </w:p>
    <w:p w14:paraId="3D4CFCFF" w14:textId="77777777" w:rsidR="00395F3C" w:rsidRPr="00647F3B" w:rsidRDefault="00395F3C" w:rsidP="00395F3C">
      <w:pPr>
        <w:pStyle w:val="NoSpacing"/>
        <w:rPr>
          <w:lang w:val="en-GB"/>
        </w:rPr>
      </w:pPr>
    </w:p>
    <w:p w14:paraId="4D9286BF" w14:textId="77777777" w:rsidR="00395F3C" w:rsidRPr="00647F3B" w:rsidRDefault="00395F3C" w:rsidP="00395F3C">
      <w:pPr>
        <w:pStyle w:val="NoSpacing"/>
        <w:rPr>
          <w:lang w:val="en-GB"/>
        </w:rPr>
      </w:pPr>
      <w:r>
        <w:rPr>
          <w:lang w:val="en-GB"/>
        </w:rPr>
        <w:br/>
      </w:r>
    </w:p>
    <w:p w14:paraId="09482B80" w14:textId="77777777" w:rsidR="00395F3C" w:rsidRPr="00647F3B" w:rsidRDefault="00395F3C" w:rsidP="00395F3C">
      <w:pPr>
        <w:pStyle w:val="NoSpacing"/>
        <w:rPr>
          <w:lang w:val="en-GB"/>
        </w:rPr>
      </w:pPr>
    </w:p>
    <w:p w14:paraId="30B9865F" w14:textId="77777777" w:rsidR="00395F3C" w:rsidRPr="00647F3B" w:rsidRDefault="00395F3C" w:rsidP="00395F3C">
      <w:pPr>
        <w:pStyle w:val="NoSpacing"/>
        <w:rPr>
          <w:lang w:val="en-GB"/>
        </w:rPr>
      </w:pPr>
    </w:p>
    <w:p w14:paraId="5864BF2E" w14:textId="77777777" w:rsidR="00183FC8" w:rsidRDefault="00B50197">
      <w:pPr>
        <w:pStyle w:val="Heading1"/>
      </w:pPr>
      <w:bookmarkStart w:id="0" w:name="_Toc149000000"/>
      <w:r>
        <w:br w:type="page"/>
      </w:r>
      <w:bookmarkStart w:id="1" w:name="_Toc231372501"/>
      <w:r>
        <w:lastRenderedPageBreak/>
        <w:t>Contents</w:t>
      </w:r>
      <w:bookmarkEnd w:id="0"/>
      <w:bookmarkEnd w:id="1"/>
    </w:p>
    <w:p w14:paraId="2C072B4B" w14:textId="77777777" w:rsidR="00183FC8" w:rsidRDefault="00183FC8">
      <w:pPr>
        <w:rPr>
          <w:lang w:val="en-GB"/>
        </w:rPr>
      </w:pPr>
    </w:p>
    <w:p w14:paraId="535EE123" w14:textId="7DA28C5C" w:rsidR="005715FC" w:rsidRDefault="00B50197">
      <w:pPr>
        <w:pStyle w:val="TOC1"/>
        <w:rPr>
          <w:rFonts w:asciiTheme="minorHAnsi" w:eastAsiaTheme="minorEastAsia" w:hAnsiTheme="minorHAnsi" w:cstheme="minorBidi"/>
          <w:noProof/>
          <w:kern w:val="2"/>
          <w:lang w:val="en-IT"/>
          <w14:ligatures w14:val="standardContextual"/>
        </w:rPr>
      </w:pPr>
      <w:r>
        <w:fldChar w:fldCharType="begin"/>
      </w:r>
      <w:r>
        <w:instrText xml:space="preserve"> TOC \o "1-3" \h \z \u </w:instrText>
      </w:r>
      <w:r>
        <w:fldChar w:fldCharType="separate"/>
      </w:r>
      <w:hyperlink w:anchor="_Toc231372501" w:history="1">
        <w:r w:rsidR="005715FC" w:rsidRPr="004F278F">
          <w:rPr>
            <w:rStyle w:val="Hyperlink"/>
            <w:noProof/>
          </w:rPr>
          <w:t>Contents</w:t>
        </w:r>
        <w:r w:rsidR="005715FC">
          <w:rPr>
            <w:noProof/>
            <w:webHidden/>
          </w:rPr>
          <w:tab/>
        </w:r>
        <w:r w:rsidR="005715FC">
          <w:rPr>
            <w:noProof/>
            <w:webHidden/>
          </w:rPr>
          <w:fldChar w:fldCharType="begin"/>
        </w:r>
        <w:r w:rsidR="005715FC">
          <w:rPr>
            <w:noProof/>
            <w:webHidden/>
          </w:rPr>
          <w:instrText xml:space="preserve"> PAGEREF _Toc231372501 \h </w:instrText>
        </w:r>
        <w:r w:rsidR="005715FC">
          <w:rPr>
            <w:noProof/>
            <w:webHidden/>
          </w:rPr>
        </w:r>
        <w:r w:rsidR="005715FC">
          <w:rPr>
            <w:noProof/>
            <w:webHidden/>
          </w:rPr>
          <w:fldChar w:fldCharType="separate"/>
        </w:r>
        <w:r w:rsidR="005715FC">
          <w:rPr>
            <w:noProof/>
            <w:webHidden/>
          </w:rPr>
          <w:t>3</w:t>
        </w:r>
        <w:r w:rsidR="005715FC">
          <w:rPr>
            <w:noProof/>
            <w:webHidden/>
          </w:rPr>
          <w:fldChar w:fldCharType="end"/>
        </w:r>
      </w:hyperlink>
    </w:p>
    <w:p w14:paraId="79EFE715" w14:textId="06A0A916" w:rsidR="005715FC" w:rsidRDefault="005715FC">
      <w:pPr>
        <w:pStyle w:val="TOC1"/>
        <w:rPr>
          <w:rFonts w:asciiTheme="minorHAnsi" w:eastAsiaTheme="minorEastAsia" w:hAnsiTheme="minorHAnsi" w:cstheme="minorBidi"/>
          <w:noProof/>
          <w:kern w:val="2"/>
          <w:lang w:val="en-IT"/>
          <w14:ligatures w14:val="standardContextual"/>
        </w:rPr>
      </w:pPr>
      <w:hyperlink w:anchor="_Toc231372502" w:history="1">
        <w:r w:rsidRPr="004F278F">
          <w:rPr>
            <w:rStyle w:val="Hyperlink"/>
            <w:noProof/>
          </w:rPr>
          <w:t>Executive Summary</w:t>
        </w:r>
        <w:r>
          <w:rPr>
            <w:noProof/>
            <w:webHidden/>
          </w:rPr>
          <w:tab/>
        </w:r>
        <w:r>
          <w:rPr>
            <w:noProof/>
            <w:webHidden/>
          </w:rPr>
          <w:fldChar w:fldCharType="begin"/>
        </w:r>
        <w:r>
          <w:rPr>
            <w:noProof/>
            <w:webHidden/>
          </w:rPr>
          <w:instrText xml:space="preserve"> PAGEREF _Toc231372502 \h </w:instrText>
        </w:r>
        <w:r>
          <w:rPr>
            <w:noProof/>
            <w:webHidden/>
          </w:rPr>
        </w:r>
        <w:r>
          <w:rPr>
            <w:noProof/>
            <w:webHidden/>
          </w:rPr>
          <w:fldChar w:fldCharType="separate"/>
        </w:r>
        <w:r>
          <w:rPr>
            <w:noProof/>
            <w:webHidden/>
          </w:rPr>
          <w:t>7</w:t>
        </w:r>
        <w:r>
          <w:rPr>
            <w:noProof/>
            <w:webHidden/>
          </w:rPr>
          <w:fldChar w:fldCharType="end"/>
        </w:r>
      </w:hyperlink>
    </w:p>
    <w:p w14:paraId="03811C00" w14:textId="38CEB477" w:rsidR="005715FC" w:rsidRDefault="005715FC">
      <w:pPr>
        <w:pStyle w:val="TOC1"/>
        <w:rPr>
          <w:rFonts w:asciiTheme="minorHAnsi" w:eastAsiaTheme="minorEastAsia" w:hAnsiTheme="minorHAnsi" w:cstheme="minorBidi"/>
          <w:noProof/>
          <w:kern w:val="2"/>
          <w:lang w:val="en-IT"/>
          <w14:ligatures w14:val="standardContextual"/>
        </w:rPr>
      </w:pPr>
      <w:hyperlink w:anchor="_Toc231372503" w:history="1">
        <w:r w:rsidRPr="004F278F">
          <w:rPr>
            <w:rStyle w:val="Hyperlink"/>
            <w:noProof/>
          </w:rPr>
          <w:t>1.0</w:t>
        </w:r>
        <w:r>
          <w:rPr>
            <w:rFonts w:asciiTheme="minorHAnsi" w:eastAsiaTheme="minorEastAsia" w:hAnsiTheme="minorHAnsi" w:cstheme="minorBidi"/>
            <w:noProof/>
            <w:kern w:val="2"/>
            <w:lang w:val="en-IT"/>
            <w14:ligatures w14:val="standardContextual"/>
          </w:rPr>
          <w:tab/>
        </w:r>
        <w:r w:rsidRPr="004F278F">
          <w:rPr>
            <w:rStyle w:val="Hyperlink"/>
            <w:noProof/>
          </w:rPr>
          <w:t>Introduction</w:t>
        </w:r>
        <w:r>
          <w:rPr>
            <w:noProof/>
            <w:webHidden/>
          </w:rPr>
          <w:tab/>
        </w:r>
        <w:r>
          <w:rPr>
            <w:noProof/>
            <w:webHidden/>
          </w:rPr>
          <w:fldChar w:fldCharType="begin"/>
        </w:r>
        <w:r>
          <w:rPr>
            <w:noProof/>
            <w:webHidden/>
          </w:rPr>
          <w:instrText xml:space="preserve"> PAGEREF _Toc231372503 \h </w:instrText>
        </w:r>
        <w:r>
          <w:rPr>
            <w:noProof/>
            <w:webHidden/>
          </w:rPr>
        </w:r>
        <w:r>
          <w:rPr>
            <w:noProof/>
            <w:webHidden/>
          </w:rPr>
          <w:fldChar w:fldCharType="separate"/>
        </w:r>
        <w:r>
          <w:rPr>
            <w:noProof/>
            <w:webHidden/>
          </w:rPr>
          <w:t>8</w:t>
        </w:r>
        <w:r>
          <w:rPr>
            <w:noProof/>
            <w:webHidden/>
          </w:rPr>
          <w:fldChar w:fldCharType="end"/>
        </w:r>
      </w:hyperlink>
    </w:p>
    <w:p w14:paraId="0B1BD9C9" w14:textId="00A6F6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4" w:history="1">
        <w:r w:rsidRPr="004F278F">
          <w:rPr>
            <w:rStyle w:val="Hyperlink"/>
            <w:noProof/>
          </w:rPr>
          <w:t>1.1</w:t>
        </w:r>
        <w:r>
          <w:rPr>
            <w:rFonts w:asciiTheme="minorHAnsi" w:eastAsiaTheme="minorEastAsia" w:hAnsiTheme="minorHAnsi" w:cstheme="minorBidi"/>
            <w:noProof/>
            <w:kern w:val="2"/>
            <w:lang w:val="en-IT"/>
            <w14:ligatures w14:val="standardContextual"/>
          </w:rPr>
          <w:tab/>
        </w:r>
        <w:r w:rsidRPr="004F278F">
          <w:rPr>
            <w:rStyle w:val="Hyperlink"/>
            <w:noProof/>
          </w:rPr>
          <w:t>Project context and the Global Supply Chain Observatory</w:t>
        </w:r>
        <w:r>
          <w:rPr>
            <w:noProof/>
            <w:webHidden/>
          </w:rPr>
          <w:tab/>
        </w:r>
        <w:r>
          <w:rPr>
            <w:noProof/>
            <w:webHidden/>
          </w:rPr>
          <w:fldChar w:fldCharType="begin"/>
        </w:r>
        <w:r>
          <w:rPr>
            <w:noProof/>
            <w:webHidden/>
          </w:rPr>
          <w:instrText xml:space="preserve"> PAGEREF _Toc231372504 \h </w:instrText>
        </w:r>
        <w:r>
          <w:rPr>
            <w:noProof/>
            <w:webHidden/>
          </w:rPr>
        </w:r>
        <w:r>
          <w:rPr>
            <w:noProof/>
            <w:webHidden/>
          </w:rPr>
          <w:fldChar w:fldCharType="separate"/>
        </w:r>
        <w:r>
          <w:rPr>
            <w:noProof/>
            <w:webHidden/>
          </w:rPr>
          <w:t>8</w:t>
        </w:r>
        <w:r>
          <w:rPr>
            <w:noProof/>
            <w:webHidden/>
          </w:rPr>
          <w:fldChar w:fldCharType="end"/>
        </w:r>
      </w:hyperlink>
    </w:p>
    <w:p w14:paraId="467EA6D2" w14:textId="41E6D7B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5" w:history="1">
        <w:r w:rsidRPr="004F278F">
          <w:rPr>
            <w:rStyle w:val="Hyperlink"/>
            <w:noProof/>
          </w:rPr>
          <w:t>1.2</w:t>
        </w:r>
        <w:r>
          <w:rPr>
            <w:rFonts w:asciiTheme="minorHAnsi" w:eastAsiaTheme="minorEastAsia" w:hAnsiTheme="minorHAnsi" w:cstheme="minorBidi"/>
            <w:noProof/>
            <w:kern w:val="2"/>
            <w:lang w:val="en-IT"/>
            <w14:ligatures w14:val="standardContextual"/>
          </w:rPr>
          <w:tab/>
        </w:r>
        <w:r w:rsidRPr="004F278F">
          <w:rPr>
            <w:rStyle w:val="Hyperlink"/>
            <w:noProof/>
          </w:rPr>
          <w:t>Problem statement</w:t>
        </w:r>
        <w:r>
          <w:rPr>
            <w:noProof/>
            <w:webHidden/>
          </w:rPr>
          <w:tab/>
        </w:r>
        <w:r>
          <w:rPr>
            <w:noProof/>
            <w:webHidden/>
          </w:rPr>
          <w:fldChar w:fldCharType="begin"/>
        </w:r>
        <w:r>
          <w:rPr>
            <w:noProof/>
            <w:webHidden/>
          </w:rPr>
          <w:instrText xml:space="preserve"> PAGEREF _Toc231372505 \h </w:instrText>
        </w:r>
        <w:r>
          <w:rPr>
            <w:noProof/>
            <w:webHidden/>
          </w:rPr>
        </w:r>
        <w:r>
          <w:rPr>
            <w:noProof/>
            <w:webHidden/>
          </w:rPr>
          <w:fldChar w:fldCharType="separate"/>
        </w:r>
        <w:r>
          <w:rPr>
            <w:noProof/>
            <w:webHidden/>
          </w:rPr>
          <w:t>8</w:t>
        </w:r>
        <w:r>
          <w:rPr>
            <w:noProof/>
            <w:webHidden/>
          </w:rPr>
          <w:fldChar w:fldCharType="end"/>
        </w:r>
      </w:hyperlink>
    </w:p>
    <w:p w14:paraId="03D2A5FA" w14:textId="7CCDDF0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6" w:history="1">
        <w:r w:rsidRPr="004F278F">
          <w:rPr>
            <w:rStyle w:val="Hyperlink"/>
            <w:noProof/>
          </w:rPr>
          <w:t>1.3</w:t>
        </w:r>
        <w:r>
          <w:rPr>
            <w:rFonts w:asciiTheme="minorHAnsi" w:eastAsiaTheme="minorEastAsia" w:hAnsiTheme="minorHAnsi" w:cstheme="minorBidi"/>
            <w:noProof/>
            <w:kern w:val="2"/>
            <w:lang w:val="en-IT"/>
            <w14:ligatures w14:val="standardContextual"/>
          </w:rPr>
          <w:tab/>
        </w:r>
        <w:r w:rsidRPr="004F278F">
          <w:rPr>
            <w:rStyle w:val="Hyperlink"/>
            <w:noProof/>
          </w:rPr>
          <w:t>Aims and objectives</w:t>
        </w:r>
        <w:r>
          <w:rPr>
            <w:noProof/>
            <w:webHidden/>
          </w:rPr>
          <w:tab/>
        </w:r>
        <w:r>
          <w:rPr>
            <w:noProof/>
            <w:webHidden/>
          </w:rPr>
          <w:fldChar w:fldCharType="begin"/>
        </w:r>
        <w:r>
          <w:rPr>
            <w:noProof/>
            <w:webHidden/>
          </w:rPr>
          <w:instrText xml:space="preserve"> PAGEREF _Toc231372506 \h </w:instrText>
        </w:r>
        <w:r>
          <w:rPr>
            <w:noProof/>
            <w:webHidden/>
          </w:rPr>
        </w:r>
        <w:r>
          <w:rPr>
            <w:noProof/>
            <w:webHidden/>
          </w:rPr>
          <w:fldChar w:fldCharType="separate"/>
        </w:r>
        <w:r>
          <w:rPr>
            <w:noProof/>
            <w:webHidden/>
          </w:rPr>
          <w:t>8</w:t>
        </w:r>
        <w:r>
          <w:rPr>
            <w:noProof/>
            <w:webHidden/>
          </w:rPr>
          <w:fldChar w:fldCharType="end"/>
        </w:r>
      </w:hyperlink>
    </w:p>
    <w:p w14:paraId="43361993" w14:textId="58E1456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7" w:history="1">
        <w:r w:rsidRPr="004F278F">
          <w:rPr>
            <w:rStyle w:val="Hyperlink"/>
            <w:noProof/>
          </w:rPr>
          <w:t>1.4</w:t>
        </w:r>
        <w:r>
          <w:rPr>
            <w:rFonts w:asciiTheme="minorHAnsi" w:eastAsiaTheme="minorEastAsia" w:hAnsiTheme="minorHAnsi" w:cstheme="minorBidi"/>
            <w:noProof/>
            <w:kern w:val="2"/>
            <w:lang w:val="en-IT"/>
            <w14:ligatures w14:val="standardContextual"/>
          </w:rPr>
          <w:tab/>
        </w:r>
        <w:r w:rsidRPr="004F278F">
          <w:rPr>
            <w:rStyle w:val="Hyperlink"/>
            <w:noProof/>
          </w:rPr>
          <w:t>Report structure</w:t>
        </w:r>
        <w:r>
          <w:rPr>
            <w:noProof/>
            <w:webHidden/>
          </w:rPr>
          <w:tab/>
        </w:r>
        <w:r>
          <w:rPr>
            <w:noProof/>
            <w:webHidden/>
          </w:rPr>
          <w:fldChar w:fldCharType="begin"/>
        </w:r>
        <w:r>
          <w:rPr>
            <w:noProof/>
            <w:webHidden/>
          </w:rPr>
          <w:instrText xml:space="preserve"> PAGEREF _Toc231372507 \h </w:instrText>
        </w:r>
        <w:r>
          <w:rPr>
            <w:noProof/>
            <w:webHidden/>
          </w:rPr>
        </w:r>
        <w:r>
          <w:rPr>
            <w:noProof/>
            <w:webHidden/>
          </w:rPr>
          <w:fldChar w:fldCharType="separate"/>
        </w:r>
        <w:r>
          <w:rPr>
            <w:noProof/>
            <w:webHidden/>
          </w:rPr>
          <w:t>8</w:t>
        </w:r>
        <w:r>
          <w:rPr>
            <w:noProof/>
            <w:webHidden/>
          </w:rPr>
          <w:fldChar w:fldCharType="end"/>
        </w:r>
      </w:hyperlink>
    </w:p>
    <w:p w14:paraId="0D7FE742" w14:textId="23BC9F35" w:rsidR="005715FC" w:rsidRDefault="005715FC">
      <w:pPr>
        <w:pStyle w:val="TOC1"/>
        <w:rPr>
          <w:rFonts w:asciiTheme="minorHAnsi" w:eastAsiaTheme="minorEastAsia" w:hAnsiTheme="minorHAnsi" w:cstheme="minorBidi"/>
          <w:noProof/>
          <w:kern w:val="2"/>
          <w:lang w:val="en-IT"/>
          <w14:ligatures w14:val="standardContextual"/>
        </w:rPr>
      </w:pPr>
      <w:hyperlink w:anchor="_Toc231372508" w:history="1">
        <w:r w:rsidRPr="004F278F">
          <w:rPr>
            <w:rStyle w:val="Hyperlink"/>
            <w:noProof/>
          </w:rPr>
          <w:t>2.0</w:t>
        </w:r>
        <w:r>
          <w:rPr>
            <w:rFonts w:asciiTheme="minorHAnsi" w:eastAsiaTheme="minorEastAsia" w:hAnsiTheme="minorHAnsi" w:cstheme="minorBidi"/>
            <w:noProof/>
            <w:kern w:val="2"/>
            <w:lang w:val="en-IT"/>
            <w14:ligatures w14:val="standardContextual"/>
          </w:rPr>
          <w:tab/>
        </w:r>
        <w:r w:rsidRPr="004F278F">
          <w:rPr>
            <w:rStyle w:val="Hyperlink"/>
            <w:noProof/>
          </w:rPr>
          <w:t>Background and Literature Review</w:t>
        </w:r>
        <w:r>
          <w:rPr>
            <w:noProof/>
            <w:webHidden/>
          </w:rPr>
          <w:tab/>
        </w:r>
        <w:r>
          <w:rPr>
            <w:noProof/>
            <w:webHidden/>
          </w:rPr>
          <w:fldChar w:fldCharType="begin"/>
        </w:r>
        <w:r>
          <w:rPr>
            <w:noProof/>
            <w:webHidden/>
          </w:rPr>
          <w:instrText xml:space="preserve"> PAGEREF _Toc231372508 \h </w:instrText>
        </w:r>
        <w:r>
          <w:rPr>
            <w:noProof/>
            <w:webHidden/>
          </w:rPr>
        </w:r>
        <w:r>
          <w:rPr>
            <w:noProof/>
            <w:webHidden/>
          </w:rPr>
          <w:fldChar w:fldCharType="separate"/>
        </w:r>
        <w:r>
          <w:rPr>
            <w:noProof/>
            <w:webHidden/>
          </w:rPr>
          <w:t>9</w:t>
        </w:r>
        <w:r>
          <w:rPr>
            <w:noProof/>
            <w:webHidden/>
          </w:rPr>
          <w:fldChar w:fldCharType="end"/>
        </w:r>
      </w:hyperlink>
    </w:p>
    <w:p w14:paraId="7ED7940F" w14:textId="762863D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09" w:history="1">
        <w:r w:rsidRPr="004F278F">
          <w:rPr>
            <w:rStyle w:val="Hyperlink"/>
            <w:noProof/>
          </w:rPr>
          <w:t>2.1</w:t>
        </w:r>
        <w:r>
          <w:rPr>
            <w:rFonts w:asciiTheme="minorHAnsi" w:eastAsiaTheme="minorEastAsia" w:hAnsiTheme="minorHAnsi" w:cstheme="minorBidi"/>
            <w:noProof/>
            <w:kern w:val="2"/>
            <w:lang w:val="en-IT"/>
            <w14:ligatures w14:val="standardContextual"/>
          </w:rPr>
          <w:tab/>
        </w:r>
        <w:r w:rsidRPr="004F278F">
          <w:rPr>
            <w:rStyle w:val="Hyperlink"/>
            <w:noProof/>
          </w:rPr>
          <w:t>Supply-chain environmental monitoring</w:t>
        </w:r>
        <w:r>
          <w:rPr>
            <w:noProof/>
            <w:webHidden/>
          </w:rPr>
          <w:tab/>
        </w:r>
        <w:r>
          <w:rPr>
            <w:noProof/>
            <w:webHidden/>
          </w:rPr>
          <w:fldChar w:fldCharType="begin"/>
        </w:r>
        <w:r>
          <w:rPr>
            <w:noProof/>
            <w:webHidden/>
          </w:rPr>
          <w:instrText xml:space="preserve"> PAGEREF _Toc231372509 \h </w:instrText>
        </w:r>
        <w:r>
          <w:rPr>
            <w:noProof/>
            <w:webHidden/>
          </w:rPr>
        </w:r>
        <w:r>
          <w:rPr>
            <w:noProof/>
            <w:webHidden/>
          </w:rPr>
          <w:fldChar w:fldCharType="separate"/>
        </w:r>
        <w:r>
          <w:rPr>
            <w:noProof/>
            <w:webHidden/>
          </w:rPr>
          <w:t>9</w:t>
        </w:r>
        <w:r>
          <w:rPr>
            <w:noProof/>
            <w:webHidden/>
          </w:rPr>
          <w:fldChar w:fldCharType="end"/>
        </w:r>
      </w:hyperlink>
    </w:p>
    <w:p w14:paraId="2F57EF6C" w14:textId="0A50EA9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0" w:history="1">
        <w:r w:rsidRPr="004F278F">
          <w:rPr>
            <w:rStyle w:val="Hyperlink"/>
            <w:noProof/>
          </w:rPr>
          <w:t>2.2</w:t>
        </w:r>
        <w:r>
          <w:rPr>
            <w:rFonts w:asciiTheme="minorHAnsi" w:eastAsiaTheme="minorEastAsia" w:hAnsiTheme="minorHAnsi" w:cstheme="minorBidi"/>
            <w:noProof/>
            <w:kern w:val="2"/>
            <w:lang w:val="en-IT"/>
            <w14:ligatures w14:val="standardContextual"/>
          </w:rPr>
          <w:tab/>
        </w:r>
        <w:r w:rsidRPr="004F278F">
          <w:rPr>
            <w:rStyle w:val="Hyperlink"/>
            <w:noProof/>
          </w:rPr>
          <w:t>Satellite earth observation for environmental screening</w:t>
        </w:r>
        <w:r>
          <w:rPr>
            <w:noProof/>
            <w:webHidden/>
          </w:rPr>
          <w:tab/>
        </w:r>
        <w:r>
          <w:rPr>
            <w:noProof/>
            <w:webHidden/>
          </w:rPr>
          <w:fldChar w:fldCharType="begin"/>
        </w:r>
        <w:r>
          <w:rPr>
            <w:noProof/>
            <w:webHidden/>
          </w:rPr>
          <w:instrText xml:space="preserve"> PAGEREF _Toc231372510 \h </w:instrText>
        </w:r>
        <w:r>
          <w:rPr>
            <w:noProof/>
            <w:webHidden/>
          </w:rPr>
        </w:r>
        <w:r>
          <w:rPr>
            <w:noProof/>
            <w:webHidden/>
          </w:rPr>
          <w:fldChar w:fldCharType="separate"/>
        </w:r>
        <w:r>
          <w:rPr>
            <w:noProof/>
            <w:webHidden/>
          </w:rPr>
          <w:t>10</w:t>
        </w:r>
        <w:r>
          <w:rPr>
            <w:noProof/>
            <w:webHidden/>
          </w:rPr>
          <w:fldChar w:fldCharType="end"/>
        </w:r>
      </w:hyperlink>
    </w:p>
    <w:p w14:paraId="5B88D255" w14:textId="217FEEC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1" w:history="1">
        <w:r w:rsidRPr="004F278F">
          <w:rPr>
            <w:rStyle w:val="Hyperlink"/>
            <w:noProof/>
          </w:rPr>
          <w:t>2.3</w:t>
        </w:r>
        <w:r>
          <w:rPr>
            <w:rFonts w:asciiTheme="minorHAnsi" w:eastAsiaTheme="minorEastAsia" w:hAnsiTheme="minorHAnsi" w:cstheme="minorBidi"/>
            <w:noProof/>
            <w:kern w:val="2"/>
            <w:lang w:val="en-IT"/>
            <w14:ligatures w14:val="standardContextual"/>
          </w:rPr>
          <w:tab/>
        </w:r>
        <w:r w:rsidRPr="004F278F">
          <w:rPr>
            <w:rStyle w:val="Hyperlink"/>
            <w:noProof/>
          </w:rPr>
          <w:t>Existing tools and platforms</w:t>
        </w:r>
        <w:r>
          <w:rPr>
            <w:noProof/>
            <w:webHidden/>
          </w:rPr>
          <w:tab/>
        </w:r>
        <w:r>
          <w:rPr>
            <w:noProof/>
            <w:webHidden/>
          </w:rPr>
          <w:fldChar w:fldCharType="begin"/>
        </w:r>
        <w:r>
          <w:rPr>
            <w:noProof/>
            <w:webHidden/>
          </w:rPr>
          <w:instrText xml:space="preserve"> PAGEREF _Toc231372511 \h </w:instrText>
        </w:r>
        <w:r>
          <w:rPr>
            <w:noProof/>
            <w:webHidden/>
          </w:rPr>
        </w:r>
        <w:r>
          <w:rPr>
            <w:noProof/>
            <w:webHidden/>
          </w:rPr>
          <w:fldChar w:fldCharType="separate"/>
        </w:r>
        <w:r>
          <w:rPr>
            <w:noProof/>
            <w:webHidden/>
          </w:rPr>
          <w:t>10</w:t>
        </w:r>
        <w:r>
          <w:rPr>
            <w:noProof/>
            <w:webHidden/>
          </w:rPr>
          <w:fldChar w:fldCharType="end"/>
        </w:r>
      </w:hyperlink>
    </w:p>
    <w:p w14:paraId="2AF9E763" w14:textId="77F2FFCF" w:rsidR="005715FC" w:rsidRDefault="005715FC">
      <w:pPr>
        <w:pStyle w:val="TOC1"/>
        <w:rPr>
          <w:rFonts w:asciiTheme="minorHAnsi" w:eastAsiaTheme="minorEastAsia" w:hAnsiTheme="minorHAnsi" w:cstheme="minorBidi"/>
          <w:noProof/>
          <w:kern w:val="2"/>
          <w:lang w:val="en-IT"/>
          <w14:ligatures w14:val="standardContextual"/>
        </w:rPr>
      </w:pPr>
      <w:hyperlink w:anchor="_Toc231372512" w:history="1">
        <w:r w:rsidRPr="004F278F">
          <w:rPr>
            <w:rStyle w:val="Hyperlink"/>
            <w:noProof/>
          </w:rPr>
          <w:t>3.0</w:t>
        </w:r>
        <w:r>
          <w:rPr>
            <w:rFonts w:asciiTheme="minorHAnsi" w:eastAsiaTheme="minorEastAsia" w:hAnsiTheme="minorHAnsi" w:cstheme="minorBidi"/>
            <w:noProof/>
            <w:kern w:val="2"/>
            <w:lang w:val="en-IT"/>
            <w14:ligatures w14:val="standardContextual"/>
          </w:rPr>
          <w:tab/>
        </w:r>
        <w:r w:rsidRPr="004F278F">
          <w:rPr>
            <w:rStyle w:val="Hyperlink"/>
            <w:noProof/>
          </w:rPr>
          <w:t>Research Gap and Scope</w:t>
        </w:r>
        <w:r>
          <w:rPr>
            <w:noProof/>
            <w:webHidden/>
          </w:rPr>
          <w:tab/>
        </w:r>
        <w:r>
          <w:rPr>
            <w:noProof/>
            <w:webHidden/>
          </w:rPr>
          <w:fldChar w:fldCharType="begin"/>
        </w:r>
        <w:r>
          <w:rPr>
            <w:noProof/>
            <w:webHidden/>
          </w:rPr>
          <w:instrText xml:space="preserve"> PAGEREF _Toc231372512 \h </w:instrText>
        </w:r>
        <w:r>
          <w:rPr>
            <w:noProof/>
            <w:webHidden/>
          </w:rPr>
        </w:r>
        <w:r>
          <w:rPr>
            <w:noProof/>
            <w:webHidden/>
          </w:rPr>
          <w:fldChar w:fldCharType="separate"/>
        </w:r>
        <w:r>
          <w:rPr>
            <w:noProof/>
            <w:webHidden/>
          </w:rPr>
          <w:t>13</w:t>
        </w:r>
        <w:r>
          <w:rPr>
            <w:noProof/>
            <w:webHidden/>
          </w:rPr>
          <w:fldChar w:fldCharType="end"/>
        </w:r>
      </w:hyperlink>
    </w:p>
    <w:p w14:paraId="502E9901" w14:textId="5901DC6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3" w:history="1">
        <w:r w:rsidRPr="004F278F">
          <w:rPr>
            <w:rStyle w:val="Hyperlink"/>
            <w:noProof/>
          </w:rPr>
          <w:t>3.1</w:t>
        </w:r>
        <w:r>
          <w:rPr>
            <w:rFonts w:asciiTheme="minorHAnsi" w:eastAsiaTheme="minorEastAsia" w:hAnsiTheme="minorHAnsi" w:cstheme="minorBidi"/>
            <w:noProof/>
            <w:kern w:val="2"/>
            <w:lang w:val="en-IT"/>
            <w14:ligatures w14:val="standardContextual"/>
          </w:rPr>
          <w:tab/>
        </w:r>
        <w:r w:rsidRPr="004F278F">
          <w:rPr>
            <w:rStyle w:val="Hyperlink"/>
            <w:noProof/>
          </w:rPr>
          <w:t>Limitations of the existing approach</w:t>
        </w:r>
        <w:r>
          <w:rPr>
            <w:noProof/>
            <w:webHidden/>
          </w:rPr>
          <w:tab/>
        </w:r>
        <w:r>
          <w:rPr>
            <w:noProof/>
            <w:webHidden/>
          </w:rPr>
          <w:fldChar w:fldCharType="begin"/>
        </w:r>
        <w:r>
          <w:rPr>
            <w:noProof/>
            <w:webHidden/>
          </w:rPr>
          <w:instrText xml:space="preserve"> PAGEREF _Toc231372513 \h </w:instrText>
        </w:r>
        <w:r>
          <w:rPr>
            <w:noProof/>
            <w:webHidden/>
          </w:rPr>
        </w:r>
        <w:r>
          <w:rPr>
            <w:noProof/>
            <w:webHidden/>
          </w:rPr>
          <w:fldChar w:fldCharType="separate"/>
        </w:r>
        <w:r>
          <w:rPr>
            <w:noProof/>
            <w:webHidden/>
          </w:rPr>
          <w:t>13</w:t>
        </w:r>
        <w:r>
          <w:rPr>
            <w:noProof/>
            <w:webHidden/>
          </w:rPr>
          <w:fldChar w:fldCharType="end"/>
        </w:r>
      </w:hyperlink>
    </w:p>
    <w:p w14:paraId="26B0A59D" w14:textId="3F31D57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4" w:history="1">
        <w:r w:rsidRPr="004F278F">
          <w:rPr>
            <w:rStyle w:val="Hyperlink"/>
            <w:noProof/>
          </w:rPr>
          <w:t>3.2</w:t>
        </w:r>
        <w:r>
          <w:rPr>
            <w:rFonts w:asciiTheme="minorHAnsi" w:eastAsiaTheme="minorEastAsia" w:hAnsiTheme="minorHAnsi" w:cstheme="minorBidi"/>
            <w:noProof/>
            <w:kern w:val="2"/>
            <w:lang w:val="en-IT"/>
            <w14:ligatures w14:val="standardContextual"/>
          </w:rPr>
          <w:tab/>
        </w:r>
        <w:r w:rsidRPr="004F278F">
          <w:rPr>
            <w:rStyle w:val="Hyperlink"/>
            <w:noProof/>
          </w:rPr>
          <w:t>Identified gaps</w:t>
        </w:r>
        <w:r>
          <w:rPr>
            <w:noProof/>
            <w:webHidden/>
          </w:rPr>
          <w:tab/>
        </w:r>
        <w:r>
          <w:rPr>
            <w:noProof/>
            <w:webHidden/>
          </w:rPr>
          <w:fldChar w:fldCharType="begin"/>
        </w:r>
        <w:r>
          <w:rPr>
            <w:noProof/>
            <w:webHidden/>
          </w:rPr>
          <w:instrText xml:space="preserve"> PAGEREF _Toc231372514 \h </w:instrText>
        </w:r>
        <w:r>
          <w:rPr>
            <w:noProof/>
            <w:webHidden/>
          </w:rPr>
        </w:r>
        <w:r>
          <w:rPr>
            <w:noProof/>
            <w:webHidden/>
          </w:rPr>
          <w:fldChar w:fldCharType="separate"/>
        </w:r>
        <w:r>
          <w:rPr>
            <w:noProof/>
            <w:webHidden/>
          </w:rPr>
          <w:t>14</w:t>
        </w:r>
        <w:r>
          <w:rPr>
            <w:noProof/>
            <w:webHidden/>
          </w:rPr>
          <w:fldChar w:fldCharType="end"/>
        </w:r>
      </w:hyperlink>
    </w:p>
    <w:p w14:paraId="61CE413D" w14:textId="59CF0ED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5" w:history="1">
        <w:r w:rsidRPr="004F278F">
          <w:rPr>
            <w:rStyle w:val="Hyperlink"/>
            <w:noProof/>
          </w:rPr>
          <w:t>3.3</w:t>
        </w:r>
        <w:r>
          <w:rPr>
            <w:rFonts w:asciiTheme="minorHAnsi" w:eastAsiaTheme="minorEastAsia" w:hAnsiTheme="minorHAnsi" w:cstheme="minorBidi"/>
            <w:noProof/>
            <w:kern w:val="2"/>
            <w:lang w:val="en-IT"/>
            <w14:ligatures w14:val="standardContextual"/>
          </w:rPr>
          <w:tab/>
        </w:r>
        <w:r w:rsidRPr="004F278F">
          <w:rPr>
            <w:rStyle w:val="Hyperlink"/>
            <w:noProof/>
          </w:rPr>
          <w:t>Project scope and boundaries</w:t>
        </w:r>
        <w:r>
          <w:rPr>
            <w:noProof/>
            <w:webHidden/>
          </w:rPr>
          <w:tab/>
        </w:r>
        <w:r>
          <w:rPr>
            <w:noProof/>
            <w:webHidden/>
          </w:rPr>
          <w:fldChar w:fldCharType="begin"/>
        </w:r>
        <w:r>
          <w:rPr>
            <w:noProof/>
            <w:webHidden/>
          </w:rPr>
          <w:instrText xml:space="preserve"> PAGEREF _Toc231372515 \h </w:instrText>
        </w:r>
        <w:r>
          <w:rPr>
            <w:noProof/>
            <w:webHidden/>
          </w:rPr>
        </w:r>
        <w:r>
          <w:rPr>
            <w:noProof/>
            <w:webHidden/>
          </w:rPr>
          <w:fldChar w:fldCharType="separate"/>
        </w:r>
        <w:r>
          <w:rPr>
            <w:noProof/>
            <w:webHidden/>
          </w:rPr>
          <w:t>15</w:t>
        </w:r>
        <w:r>
          <w:rPr>
            <w:noProof/>
            <w:webHidden/>
          </w:rPr>
          <w:fldChar w:fldCharType="end"/>
        </w:r>
      </w:hyperlink>
    </w:p>
    <w:p w14:paraId="40A9ACC2" w14:textId="77EE066B"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6" w:history="1">
        <w:r w:rsidRPr="004F278F">
          <w:rPr>
            <w:rStyle w:val="Hyperlink"/>
            <w:noProof/>
          </w:rPr>
          <w:t>4.1</w:t>
        </w:r>
        <w:r>
          <w:rPr>
            <w:rFonts w:asciiTheme="minorHAnsi" w:eastAsiaTheme="minorEastAsia" w:hAnsiTheme="minorHAnsi" w:cstheme="minorBidi"/>
            <w:noProof/>
            <w:kern w:val="2"/>
            <w:lang w:val="en-IT"/>
            <w14:ligatures w14:val="standardContextual"/>
          </w:rPr>
          <w:tab/>
        </w:r>
        <w:r w:rsidRPr="004F278F">
          <w:rPr>
            <w:rStyle w:val="Hyperlink"/>
            <w:noProof/>
          </w:rPr>
          <w:t>Overall approach</w:t>
        </w:r>
        <w:r>
          <w:rPr>
            <w:noProof/>
            <w:webHidden/>
          </w:rPr>
          <w:tab/>
        </w:r>
        <w:r>
          <w:rPr>
            <w:noProof/>
            <w:webHidden/>
          </w:rPr>
          <w:fldChar w:fldCharType="begin"/>
        </w:r>
        <w:r>
          <w:rPr>
            <w:noProof/>
            <w:webHidden/>
          </w:rPr>
          <w:instrText xml:space="preserve"> PAGEREF _Toc231372516 \h </w:instrText>
        </w:r>
        <w:r>
          <w:rPr>
            <w:noProof/>
            <w:webHidden/>
          </w:rPr>
        </w:r>
        <w:r>
          <w:rPr>
            <w:noProof/>
            <w:webHidden/>
          </w:rPr>
          <w:fldChar w:fldCharType="separate"/>
        </w:r>
        <w:r>
          <w:rPr>
            <w:noProof/>
            <w:webHidden/>
          </w:rPr>
          <w:t>17</w:t>
        </w:r>
        <w:r>
          <w:rPr>
            <w:noProof/>
            <w:webHidden/>
          </w:rPr>
          <w:fldChar w:fldCharType="end"/>
        </w:r>
      </w:hyperlink>
    </w:p>
    <w:p w14:paraId="48556205" w14:textId="2242A5A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7" w:history="1">
        <w:r w:rsidRPr="004F278F">
          <w:rPr>
            <w:rStyle w:val="Hyperlink"/>
            <w:noProof/>
          </w:rPr>
          <w:t>4.2</w:t>
        </w:r>
        <w:r>
          <w:rPr>
            <w:rFonts w:asciiTheme="minorHAnsi" w:eastAsiaTheme="minorEastAsia" w:hAnsiTheme="minorHAnsi" w:cstheme="minorBidi"/>
            <w:noProof/>
            <w:kern w:val="2"/>
            <w:lang w:val="en-IT"/>
            <w14:ligatures w14:val="standardContextual"/>
          </w:rPr>
          <w:tab/>
        </w:r>
        <w:r w:rsidRPr="004F278F">
          <w:rPr>
            <w:rStyle w:val="Hyperlink"/>
            <w:noProof/>
          </w:rPr>
          <w:t>Stakeholder engagement</w:t>
        </w:r>
        <w:r>
          <w:rPr>
            <w:noProof/>
            <w:webHidden/>
          </w:rPr>
          <w:tab/>
        </w:r>
        <w:r>
          <w:rPr>
            <w:noProof/>
            <w:webHidden/>
          </w:rPr>
          <w:fldChar w:fldCharType="begin"/>
        </w:r>
        <w:r>
          <w:rPr>
            <w:noProof/>
            <w:webHidden/>
          </w:rPr>
          <w:instrText xml:space="preserve"> PAGEREF _Toc231372517 \h </w:instrText>
        </w:r>
        <w:r>
          <w:rPr>
            <w:noProof/>
            <w:webHidden/>
          </w:rPr>
        </w:r>
        <w:r>
          <w:rPr>
            <w:noProof/>
            <w:webHidden/>
          </w:rPr>
          <w:fldChar w:fldCharType="separate"/>
        </w:r>
        <w:r>
          <w:rPr>
            <w:noProof/>
            <w:webHidden/>
          </w:rPr>
          <w:t>17</w:t>
        </w:r>
        <w:r>
          <w:rPr>
            <w:noProof/>
            <w:webHidden/>
          </w:rPr>
          <w:fldChar w:fldCharType="end"/>
        </w:r>
      </w:hyperlink>
    </w:p>
    <w:p w14:paraId="0E9E47F7" w14:textId="47819C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8" w:history="1">
        <w:r w:rsidRPr="004F278F">
          <w:rPr>
            <w:rStyle w:val="Hyperlink"/>
            <w:noProof/>
          </w:rPr>
          <w:t>4.3</w:t>
        </w:r>
        <w:r>
          <w:rPr>
            <w:rFonts w:asciiTheme="minorHAnsi" w:eastAsiaTheme="minorEastAsia" w:hAnsiTheme="minorHAnsi" w:cstheme="minorBidi"/>
            <w:noProof/>
            <w:kern w:val="2"/>
            <w:lang w:val="en-IT"/>
            <w14:ligatures w14:val="standardContextual"/>
          </w:rPr>
          <w:tab/>
        </w:r>
        <w:r w:rsidRPr="004F278F">
          <w:rPr>
            <w:rStyle w:val="Hyperlink"/>
            <w:noProof/>
          </w:rPr>
          <w:t>Indicator and dataset review</w:t>
        </w:r>
        <w:r>
          <w:rPr>
            <w:noProof/>
            <w:webHidden/>
          </w:rPr>
          <w:tab/>
        </w:r>
        <w:r>
          <w:rPr>
            <w:noProof/>
            <w:webHidden/>
          </w:rPr>
          <w:fldChar w:fldCharType="begin"/>
        </w:r>
        <w:r>
          <w:rPr>
            <w:noProof/>
            <w:webHidden/>
          </w:rPr>
          <w:instrText xml:space="preserve"> PAGEREF _Toc231372518 \h </w:instrText>
        </w:r>
        <w:r>
          <w:rPr>
            <w:noProof/>
            <w:webHidden/>
          </w:rPr>
        </w:r>
        <w:r>
          <w:rPr>
            <w:noProof/>
            <w:webHidden/>
          </w:rPr>
          <w:fldChar w:fldCharType="separate"/>
        </w:r>
        <w:r>
          <w:rPr>
            <w:noProof/>
            <w:webHidden/>
          </w:rPr>
          <w:t>17</w:t>
        </w:r>
        <w:r>
          <w:rPr>
            <w:noProof/>
            <w:webHidden/>
          </w:rPr>
          <w:fldChar w:fldCharType="end"/>
        </w:r>
      </w:hyperlink>
    </w:p>
    <w:p w14:paraId="693B82A7" w14:textId="26CD8AF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19" w:history="1">
        <w:r w:rsidRPr="004F278F">
          <w:rPr>
            <w:rStyle w:val="Hyperlink"/>
            <w:noProof/>
          </w:rPr>
          <w:t>4.4</w:t>
        </w:r>
        <w:r>
          <w:rPr>
            <w:rFonts w:asciiTheme="minorHAnsi" w:eastAsiaTheme="minorEastAsia" w:hAnsiTheme="minorHAnsi" w:cstheme="minorBidi"/>
            <w:noProof/>
            <w:kern w:val="2"/>
            <w:lang w:val="en-IT"/>
            <w14:ligatures w14:val="standardContextual"/>
          </w:rPr>
          <w:tab/>
        </w:r>
        <w:r w:rsidRPr="004F278F">
          <w:rPr>
            <w:rStyle w:val="Hyperlink"/>
            <w:noProof/>
          </w:rPr>
          <w:t>Iterative design and implementation</w:t>
        </w:r>
        <w:r>
          <w:rPr>
            <w:noProof/>
            <w:webHidden/>
          </w:rPr>
          <w:tab/>
        </w:r>
        <w:r>
          <w:rPr>
            <w:noProof/>
            <w:webHidden/>
          </w:rPr>
          <w:fldChar w:fldCharType="begin"/>
        </w:r>
        <w:r>
          <w:rPr>
            <w:noProof/>
            <w:webHidden/>
          </w:rPr>
          <w:instrText xml:space="preserve"> PAGEREF _Toc231372519 \h </w:instrText>
        </w:r>
        <w:r>
          <w:rPr>
            <w:noProof/>
            <w:webHidden/>
          </w:rPr>
        </w:r>
        <w:r>
          <w:rPr>
            <w:noProof/>
            <w:webHidden/>
          </w:rPr>
          <w:fldChar w:fldCharType="separate"/>
        </w:r>
        <w:r>
          <w:rPr>
            <w:noProof/>
            <w:webHidden/>
          </w:rPr>
          <w:t>17</w:t>
        </w:r>
        <w:r>
          <w:rPr>
            <w:noProof/>
            <w:webHidden/>
          </w:rPr>
          <w:fldChar w:fldCharType="end"/>
        </w:r>
      </w:hyperlink>
    </w:p>
    <w:p w14:paraId="2B103C27" w14:textId="2ED8EA9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0" w:history="1">
        <w:r w:rsidRPr="004F278F">
          <w:rPr>
            <w:rStyle w:val="Hyperlink"/>
            <w:noProof/>
          </w:rPr>
          <w:t>4.5</w:t>
        </w:r>
        <w:r>
          <w:rPr>
            <w:rFonts w:asciiTheme="minorHAnsi" w:eastAsiaTheme="minorEastAsia" w:hAnsiTheme="minorHAnsi" w:cstheme="minorBidi"/>
            <w:noProof/>
            <w:kern w:val="2"/>
            <w:lang w:val="en-IT"/>
            <w14:ligatures w14:val="standardContextual"/>
          </w:rPr>
          <w:tab/>
        </w:r>
        <w:r w:rsidRPr="004F278F">
          <w:rPr>
            <w:rStyle w:val="Hyperlink"/>
            <w:noProof/>
          </w:rPr>
          <w:t>Verification and testing strategy</w:t>
        </w:r>
        <w:r>
          <w:rPr>
            <w:noProof/>
            <w:webHidden/>
          </w:rPr>
          <w:tab/>
        </w:r>
        <w:r>
          <w:rPr>
            <w:noProof/>
            <w:webHidden/>
          </w:rPr>
          <w:fldChar w:fldCharType="begin"/>
        </w:r>
        <w:r>
          <w:rPr>
            <w:noProof/>
            <w:webHidden/>
          </w:rPr>
          <w:instrText xml:space="preserve"> PAGEREF _Toc231372520 \h </w:instrText>
        </w:r>
        <w:r>
          <w:rPr>
            <w:noProof/>
            <w:webHidden/>
          </w:rPr>
        </w:r>
        <w:r>
          <w:rPr>
            <w:noProof/>
            <w:webHidden/>
          </w:rPr>
          <w:fldChar w:fldCharType="separate"/>
        </w:r>
        <w:r>
          <w:rPr>
            <w:noProof/>
            <w:webHidden/>
          </w:rPr>
          <w:t>17</w:t>
        </w:r>
        <w:r>
          <w:rPr>
            <w:noProof/>
            <w:webHidden/>
          </w:rPr>
          <w:fldChar w:fldCharType="end"/>
        </w:r>
      </w:hyperlink>
    </w:p>
    <w:p w14:paraId="28E064D5" w14:textId="17FA02D3" w:rsidR="005715FC" w:rsidRDefault="005715FC">
      <w:pPr>
        <w:pStyle w:val="TOC1"/>
        <w:rPr>
          <w:rFonts w:asciiTheme="minorHAnsi" w:eastAsiaTheme="minorEastAsia" w:hAnsiTheme="minorHAnsi" w:cstheme="minorBidi"/>
          <w:noProof/>
          <w:kern w:val="2"/>
          <w:lang w:val="en-IT"/>
          <w14:ligatures w14:val="standardContextual"/>
        </w:rPr>
      </w:pPr>
      <w:hyperlink w:anchor="_Toc231372521" w:history="1">
        <w:r w:rsidRPr="004F278F">
          <w:rPr>
            <w:rStyle w:val="Hyperlink"/>
            <w:noProof/>
          </w:rPr>
          <w:t>5.0</w:t>
        </w:r>
        <w:r>
          <w:rPr>
            <w:rFonts w:asciiTheme="minorHAnsi" w:eastAsiaTheme="minorEastAsia" w:hAnsiTheme="minorHAnsi" w:cstheme="minorBidi"/>
            <w:noProof/>
            <w:kern w:val="2"/>
            <w:lang w:val="en-IT"/>
            <w14:ligatures w14:val="standardContextual"/>
          </w:rPr>
          <w:tab/>
        </w:r>
        <w:r w:rsidRPr="004F278F">
          <w:rPr>
            <w:rStyle w:val="Hyperlink"/>
            <w:noProof/>
          </w:rPr>
          <w:t>Stakeholder Requirements</w:t>
        </w:r>
        <w:r>
          <w:rPr>
            <w:noProof/>
            <w:webHidden/>
          </w:rPr>
          <w:tab/>
        </w:r>
        <w:r>
          <w:rPr>
            <w:noProof/>
            <w:webHidden/>
          </w:rPr>
          <w:fldChar w:fldCharType="begin"/>
        </w:r>
        <w:r>
          <w:rPr>
            <w:noProof/>
            <w:webHidden/>
          </w:rPr>
          <w:instrText xml:space="preserve"> PAGEREF _Toc231372521 \h </w:instrText>
        </w:r>
        <w:r>
          <w:rPr>
            <w:noProof/>
            <w:webHidden/>
          </w:rPr>
        </w:r>
        <w:r>
          <w:rPr>
            <w:noProof/>
            <w:webHidden/>
          </w:rPr>
          <w:fldChar w:fldCharType="separate"/>
        </w:r>
        <w:r>
          <w:rPr>
            <w:noProof/>
            <w:webHidden/>
          </w:rPr>
          <w:t>18</w:t>
        </w:r>
        <w:r>
          <w:rPr>
            <w:noProof/>
            <w:webHidden/>
          </w:rPr>
          <w:fldChar w:fldCharType="end"/>
        </w:r>
      </w:hyperlink>
    </w:p>
    <w:p w14:paraId="43890FDA" w14:textId="7259A87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2" w:history="1">
        <w:r w:rsidRPr="004F278F">
          <w:rPr>
            <w:rStyle w:val="Hyperlink"/>
            <w:noProof/>
          </w:rPr>
          <w:t>5.1</w:t>
        </w:r>
        <w:r>
          <w:rPr>
            <w:rFonts w:asciiTheme="minorHAnsi" w:eastAsiaTheme="minorEastAsia" w:hAnsiTheme="minorHAnsi" w:cstheme="minorBidi"/>
            <w:noProof/>
            <w:kern w:val="2"/>
            <w:lang w:val="en-IT"/>
            <w14:ligatures w14:val="standardContextual"/>
          </w:rPr>
          <w:tab/>
        </w:r>
        <w:r w:rsidRPr="004F278F">
          <w:rPr>
            <w:rStyle w:val="Hyperlink"/>
            <w:noProof/>
          </w:rPr>
          <w:t>User types</w:t>
        </w:r>
        <w:r>
          <w:rPr>
            <w:noProof/>
            <w:webHidden/>
          </w:rPr>
          <w:tab/>
        </w:r>
        <w:r>
          <w:rPr>
            <w:noProof/>
            <w:webHidden/>
          </w:rPr>
          <w:fldChar w:fldCharType="begin"/>
        </w:r>
        <w:r>
          <w:rPr>
            <w:noProof/>
            <w:webHidden/>
          </w:rPr>
          <w:instrText xml:space="preserve"> PAGEREF _Toc231372522 \h </w:instrText>
        </w:r>
        <w:r>
          <w:rPr>
            <w:noProof/>
            <w:webHidden/>
          </w:rPr>
        </w:r>
        <w:r>
          <w:rPr>
            <w:noProof/>
            <w:webHidden/>
          </w:rPr>
          <w:fldChar w:fldCharType="separate"/>
        </w:r>
        <w:r>
          <w:rPr>
            <w:noProof/>
            <w:webHidden/>
          </w:rPr>
          <w:t>18</w:t>
        </w:r>
        <w:r>
          <w:rPr>
            <w:noProof/>
            <w:webHidden/>
          </w:rPr>
          <w:fldChar w:fldCharType="end"/>
        </w:r>
      </w:hyperlink>
    </w:p>
    <w:p w14:paraId="7C31FB2E" w14:textId="4511B24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3" w:history="1">
        <w:r w:rsidRPr="004F278F">
          <w:rPr>
            <w:rStyle w:val="Hyperlink"/>
            <w:noProof/>
          </w:rPr>
          <w:t>5.2</w:t>
        </w:r>
        <w:r>
          <w:rPr>
            <w:rFonts w:asciiTheme="minorHAnsi" w:eastAsiaTheme="minorEastAsia" w:hAnsiTheme="minorHAnsi" w:cstheme="minorBidi"/>
            <w:noProof/>
            <w:kern w:val="2"/>
            <w:lang w:val="en-IT"/>
            <w14:ligatures w14:val="standardContextual"/>
          </w:rPr>
          <w:tab/>
        </w:r>
        <w:r w:rsidRPr="004F278F">
          <w:rPr>
            <w:rStyle w:val="Hyperlink"/>
            <w:noProof/>
          </w:rPr>
          <w:t>Core decisions the tool must support</w:t>
        </w:r>
        <w:r>
          <w:rPr>
            <w:noProof/>
            <w:webHidden/>
          </w:rPr>
          <w:tab/>
        </w:r>
        <w:r>
          <w:rPr>
            <w:noProof/>
            <w:webHidden/>
          </w:rPr>
          <w:fldChar w:fldCharType="begin"/>
        </w:r>
        <w:r>
          <w:rPr>
            <w:noProof/>
            <w:webHidden/>
          </w:rPr>
          <w:instrText xml:space="preserve"> PAGEREF _Toc231372523 \h </w:instrText>
        </w:r>
        <w:r>
          <w:rPr>
            <w:noProof/>
            <w:webHidden/>
          </w:rPr>
        </w:r>
        <w:r>
          <w:rPr>
            <w:noProof/>
            <w:webHidden/>
          </w:rPr>
          <w:fldChar w:fldCharType="separate"/>
        </w:r>
        <w:r>
          <w:rPr>
            <w:noProof/>
            <w:webHidden/>
          </w:rPr>
          <w:t>18</w:t>
        </w:r>
        <w:r>
          <w:rPr>
            <w:noProof/>
            <w:webHidden/>
          </w:rPr>
          <w:fldChar w:fldCharType="end"/>
        </w:r>
      </w:hyperlink>
    </w:p>
    <w:p w14:paraId="247DFD83" w14:textId="01E4901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4" w:history="1">
        <w:r w:rsidRPr="004F278F">
          <w:rPr>
            <w:rStyle w:val="Hyperlink"/>
            <w:noProof/>
          </w:rPr>
          <w:t>5.3</w:t>
        </w:r>
        <w:r>
          <w:rPr>
            <w:rFonts w:asciiTheme="minorHAnsi" w:eastAsiaTheme="minorEastAsia" w:hAnsiTheme="minorHAnsi" w:cstheme="minorBidi"/>
            <w:noProof/>
            <w:kern w:val="2"/>
            <w:lang w:val="en-IT"/>
            <w14:ligatures w14:val="standardContextual"/>
          </w:rPr>
          <w:tab/>
        </w:r>
        <w:r w:rsidRPr="004F278F">
          <w:rPr>
            <w:rStyle w:val="Hyperlink"/>
            <w:noProof/>
          </w:rPr>
          <w:t>Requirements summary</w:t>
        </w:r>
        <w:r>
          <w:rPr>
            <w:noProof/>
            <w:webHidden/>
          </w:rPr>
          <w:tab/>
        </w:r>
        <w:r>
          <w:rPr>
            <w:noProof/>
            <w:webHidden/>
          </w:rPr>
          <w:fldChar w:fldCharType="begin"/>
        </w:r>
        <w:r>
          <w:rPr>
            <w:noProof/>
            <w:webHidden/>
          </w:rPr>
          <w:instrText xml:space="preserve"> PAGEREF _Toc231372524 \h </w:instrText>
        </w:r>
        <w:r>
          <w:rPr>
            <w:noProof/>
            <w:webHidden/>
          </w:rPr>
        </w:r>
        <w:r>
          <w:rPr>
            <w:noProof/>
            <w:webHidden/>
          </w:rPr>
          <w:fldChar w:fldCharType="separate"/>
        </w:r>
        <w:r>
          <w:rPr>
            <w:noProof/>
            <w:webHidden/>
          </w:rPr>
          <w:t>20</w:t>
        </w:r>
        <w:r>
          <w:rPr>
            <w:noProof/>
            <w:webHidden/>
          </w:rPr>
          <w:fldChar w:fldCharType="end"/>
        </w:r>
      </w:hyperlink>
    </w:p>
    <w:p w14:paraId="1073505A" w14:textId="7DE619BA" w:rsidR="005715FC" w:rsidRDefault="005715FC">
      <w:pPr>
        <w:pStyle w:val="TOC1"/>
        <w:rPr>
          <w:rFonts w:asciiTheme="minorHAnsi" w:eastAsiaTheme="minorEastAsia" w:hAnsiTheme="minorHAnsi" w:cstheme="minorBidi"/>
          <w:noProof/>
          <w:kern w:val="2"/>
          <w:lang w:val="en-IT"/>
          <w14:ligatures w14:val="standardContextual"/>
        </w:rPr>
      </w:pPr>
      <w:hyperlink w:anchor="_Toc231372525" w:history="1">
        <w:r w:rsidRPr="004F278F">
          <w:rPr>
            <w:rStyle w:val="Hyperlink"/>
            <w:noProof/>
          </w:rPr>
          <w:t>6.0</w:t>
        </w:r>
        <w:r>
          <w:rPr>
            <w:rFonts w:asciiTheme="minorHAnsi" w:eastAsiaTheme="minorEastAsia" w:hAnsiTheme="minorHAnsi" w:cstheme="minorBidi"/>
            <w:noProof/>
            <w:kern w:val="2"/>
            <w:lang w:val="en-IT"/>
            <w14:ligatures w14:val="standardContextual"/>
          </w:rPr>
          <w:tab/>
        </w:r>
        <w:r w:rsidRPr="004F278F">
          <w:rPr>
            <w:rStyle w:val="Hyperlink"/>
            <w:noProof/>
          </w:rPr>
          <w:t>Environmental Indicator Evaluation</w:t>
        </w:r>
        <w:r>
          <w:rPr>
            <w:noProof/>
            <w:webHidden/>
          </w:rPr>
          <w:tab/>
        </w:r>
        <w:r>
          <w:rPr>
            <w:noProof/>
            <w:webHidden/>
          </w:rPr>
          <w:fldChar w:fldCharType="begin"/>
        </w:r>
        <w:r>
          <w:rPr>
            <w:noProof/>
            <w:webHidden/>
          </w:rPr>
          <w:instrText xml:space="preserve"> PAGEREF _Toc231372525 \h </w:instrText>
        </w:r>
        <w:r>
          <w:rPr>
            <w:noProof/>
            <w:webHidden/>
          </w:rPr>
        </w:r>
        <w:r>
          <w:rPr>
            <w:noProof/>
            <w:webHidden/>
          </w:rPr>
          <w:fldChar w:fldCharType="separate"/>
        </w:r>
        <w:r>
          <w:rPr>
            <w:noProof/>
            <w:webHidden/>
          </w:rPr>
          <w:t>22</w:t>
        </w:r>
        <w:r>
          <w:rPr>
            <w:noProof/>
            <w:webHidden/>
          </w:rPr>
          <w:fldChar w:fldCharType="end"/>
        </w:r>
      </w:hyperlink>
    </w:p>
    <w:p w14:paraId="32DE444B" w14:textId="68CC5DD0"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6" w:history="1">
        <w:r w:rsidRPr="004F278F">
          <w:rPr>
            <w:rStyle w:val="Hyperlink"/>
            <w:noProof/>
          </w:rPr>
          <w:t>6.1</w:t>
        </w:r>
        <w:r>
          <w:rPr>
            <w:rFonts w:asciiTheme="minorHAnsi" w:eastAsiaTheme="minorEastAsia" w:hAnsiTheme="minorHAnsi" w:cstheme="minorBidi"/>
            <w:noProof/>
            <w:kern w:val="2"/>
            <w:lang w:val="en-IT"/>
            <w14:ligatures w14:val="standardContextual"/>
          </w:rPr>
          <w:tab/>
        </w:r>
        <w:r w:rsidRPr="004F278F">
          <w:rPr>
            <w:rStyle w:val="Hyperlink"/>
            <w:noProof/>
          </w:rPr>
          <w:t>Evaluation criteria</w:t>
        </w:r>
        <w:r>
          <w:rPr>
            <w:noProof/>
            <w:webHidden/>
          </w:rPr>
          <w:tab/>
        </w:r>
        <w:r>
          <w:rPr>
            <w:noProof/>
            <w:webHidden/>
          </w:rPr>
          <w:fldChar w:fldCharType="begin"/>
        </w:r>
        <w:r>
          <w:rPr>
            <w:noProof/>
            <w:webHidden/>
          </w:rPr>
          <w:instrText xml:space="preserve"> PAGEREF _Toc231372526 \h </w:instrText>
        </w:r>
        <w:r>
          <w:rPr>
            <w:noProof/>
            <w:webHidden/>
          </w:rPr>
        </w:r>
        <w:r>
          <w:rPr>
            <w:noProof/>
            <w:webHidden/>
          </w:rPr>
          <w:fldChar w:fldCharType="separate"/>
        </w:r>
        <w:r>
          <w:rPr>
            <w:noProof/>
            <w:webHidden/>
          </w:rPr>
          <w:t>22</w:t>
        </w:r>
        <w:r>
          <w:rPr>
            <w:noProof/>
            <w:webHidden/>
          </w:rPr>
          <w:fldChar w:fldCharType="end"/>
        </w:r>
      </w:hyperlink>
    </w:p>
    <w:p w14:paraId="13EEC28C" w14:textId="12C76B1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7" w:history="1">
        <w:r w:rsidRPr="004F278F">
          <w:rPr>
            <w:rStyle w:val="Hyperlink"/>
            <w:noProof/>
          </w:rPr>
          <w:t>6.2</w:t>
        </w:r>
        <w:r>
          <w:rPr>
            <w:rFonts w:asciiTheme="minorHAnsi" w:eastAsiaTheme="minorEastAsia" w:hAnsiTheme="minorHAnsi" w:cstheme="minorBidi"/>
            <w:noProof/>
            <w:kern w:val="2"/>
            <w:lang w:val="en-IT"/>
            <w14:ligatures w14:val="standardContextual"/>
          </w:rPr>
          <w:tab/>
        </w:r>
        <w:r w:rsidRPr="004F278F">
          <w:rPr>
            <w:rStyle w:val="Hyperlink"/>
            <w:noProof/>
          </w:rPr>
          <w:t>The three-pillar structure</w:t>
        </w:r>
        <w:r>
          <w:rPr>
            <w:noProof/>
            <w:webHidden/>
          </w:rPr>
          <w:tab/>
        </w:r>
        <w:r>
          <w:rPr>
            <w:noProof/>
            <w:webHidden/>
          </w:rPr>
          <w:fldChar w:fldCharType="begin"/>
        </w:r>
        <w:r>
          <w:rPr>
            <w:noProof/>
            <w:webHidden/>
          </w:rPr>
          <w:instrText xml:space="preserve"> PAGEREF _Toc231372527 \h </w:instrText>
        </w:r>
        <w:r>
          <w:rPr>
            <w:noProof/>
            <w:webHidden/>
          </w:rPr>
        </w:r>
        <w:r>
          <w:rPr>
            <w:noProof/>
            <w:webHidden/>
          </w:rPr>
          <w:fldChar w:fldCharType="separate"/>
        </w:r>
        <w:r>
          <w:rPr>
            <w:noProof/>
            <w:webHidden/>
          </w:rPr>
          <w:t>23</w:t>
        </w:r>
        <w:r>
          <w:rPr>
            <w:noProof/>
            <w:webHidden/>
          </w:rPr>
          <w:fldChar w:fldCharType="end"/>
        </w:r>
      </w:hyperlink>
    </w:p>
    <w:p w14:paraId="49AA2B68" w14:textId="53C4578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8" w:history="1">
        <w:r w:rsidRPr="004F278F">
          <w:rPr>
            <w:rStyle w:val="Hyperlink"/>
            <w:noProof/>
          </w:rPr>
          <w:t>6.3</w:t>
        </w:r>
        <w:r>
          <w:rPr>
            <w:rFonts w:asciiTheme="minorHAnsi" w:eastAsiaTheme="minorEastAsia" w:hAnsiTheme="minorHAnsi" w:cstheme="minorBidi"/>
            <w:noProof/>
            <w:kern w:val="2"/>
            <w:lang w:val="en-IT"/>
            <w14:ligatures w14:val="standardContextual"/>
          </w:rPr>
          <w:tab/>
        </w:r>
        <w:r w:rsidRPr="004F278F">
          <w:rPr>
            <w:rStyle w:val="Hyperlink"/>
            <w:noProof/>
          </w:rPr>
          <w:t>Air Pollution pillar</w:t>
        </w:r>
        <w:r>
          <w:rPr>
            <w:noProof/>
            <w:webHidden/>
          </w:rPr>
          <w:tab/>
        </w:r>
        <w:r>
          <w:rPr>
            <w:noProof/>
            <w:webHidden/>
          </w:rPr>
          <w:fldChar w:fldCharType="begin"/>
        </w:r>
        <w:r>
          <w:rPr>
            <w:noProof/>
            <w:webHidden/>
          </w:rPr>
          <w:instrText xml:space="preserve"> PAGEREF _Toc231372528 \h </w:instrText>
        </w:r>
        <w:r>
          <w:rPr>
            <w:noProof/>
            <w:webHidden/>
          </w:rPr>
        </w:r>
        <w:r>
          <w:rPr>
            <w:noProof/>
            <w:webHidden/>
          </w:rPr>
          <w:fldChar w:fldCharType="separate"/>
        </w:r>
        <w:r>
          <w:rPr>
            <w:noProof/>
            <w:webHidden/>
          </w:rPr>
          <w:t>23</w:t>
        </w:r>
        <w:r>
          <w:rPr>
            <w:noProof/>
            <w:webHidden/>
          </w:rPr>
          <w:fldChar w:fldCharType="end"/>
        </w:r>
      </w:hyperlink>
    </w:p>
    <w:p w14:paraId="2050179D" w14:textId="2ADD86F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29" w:history="1">
        <w:r w:rsidRPr="004F278F">
          <w:rPr>
            <w:rStyle w:val="Hyperlink"/>
            <w:noProof/>
          </w:rPr>
          <w:t>6.4</w:t>
        </w:r>
        <w:r>
          <w:rPr>
            <w:rFonts w:asciiTheme="minorHAnsi" w:eastAsiaTheme="minorEastAsia" w:hAnsiTheme="minorHAnsi" w:cstheme="minorBidi"/>
            <w:noProof/>
            <w:kern w:val="2"/>
            <w:lang w:val="en-IT"/>
            <w14:ligatures w14:val="standardContextual"/>
          </w:rPr>
          <w:tab/>
        </w:r>
        <w:r w:rsidRPr="004F278F">
          <w:rPr>
            <w:rStyle w:val="Hyperlink"/>
            <w:noProof/>
          </w:rPr>
          <w:t>Greenhouse Gas pillar</w:t>
        </w:r>
        <w:r>
          <w:rPr>
            <w:noProof/>
            <w:webHidden/>
          </w:rPr>
          <w:tab/>
        </w:r>
        <w:r>
          <w:rPr>
            <w:noProof/>
            <w:webHidden/>
          </w:rPr>
          <w:fldChar w:fldCharType="begin"/>
        </w:r>
        <w:r>
          <w:rPr>
            <w:noProof/>
            <w:webHidden/>
          </w:rPr>
          <w:instrText xml:space="preserve"> PAGEREF _Toc231372529 \h </w:instrText>
        </w:r>
        <w:r>
          <w:rPr>
            <w:noProof/>
            <w:webHidden/>
          </w:rPr>
        </w:r>
        <w:r>
          <w:rPr>
            <w:noProof/>
            <w:webHidden/>
          </w:rPr>
          <w:fldChar w:fldCharType="separate"/>
        </w:r>
        <w:r>
          <w:rPr>
            <w:noProof/>
            <w:webHidden/>
          </w:rPr>
          <w:t>25</w:t>
        </w:r>
        <w:r>
          <w:rPr>
            <w:noProof/>
            <w:webHidden/>
          </w:rPr>
          <w:fldChar w:fldCharType="end"/>
        </w:r>
      </w:hyperlink>
    </w:p>
    <w:p w14:paraId="3BA6ABEA" w14:textId="2C69D4F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0" w:history="1">
        <w:r w:rsidRPr="004F278F">
          <w:rPr>
            <w:rStyle w:val="Hyperlink"/>
            <w:noProof/>
          </w:rPr>
          <w:t>6.5</w:t>
        </w:r>
        <w:r>
          <w:rPr>
            <w:rFonts w:asciiTheme="minorHAnsi" w:eastAsiaTheme="minorEastAsia" w:hAnsiTheme="minorHAnsi" w:cstheme="minorBidi"/>
            <w:noProof/>
            <w:kern w:val="2"/>
            <w:lang w:val="en-IT"/>
            <w14:ligatures w14:val="standardContextual"/>
          </w:rPr>
          <w:tab/>
        </w:r>
        <w:r w:rsidRPr="004F278F">
          <w:rPr>
            <w:rStyle w:val="Hyperlink"/>
            <w:noProof/>
          </w:rPr>
          <w:t>Nature and Land pillar</w:t>
        </w:r>
        <w:r>
          <w:rPr>
            <w:noProof/>
            <w:webHidden/>
          </w:rPr>
          <w:tab/>
        </w:r>
        <w:r>
          <w:rPr>
            <w:noProof/>
            <w:webHidden/>
          </w:rPr>
          <w:fldChar w:fldCharType="begin"/>
        </w:r>
        <w:r>
          <w:rPr>
            <w:noProof/>
            <w:webHidden/>
          </w:rPr>
          <w:instrText xml:space="preserve"> PAGEREF _Toc231372530 \h </w:instrText>
        </w:r>
        <w:r>
          <w:rPr>
            <w:noProof/>
            <w:webHidden/>
          </w:rPr>
        </w:r>
        <w:r>
          <w:rPr>
            <w:noProof/>
            <w:webHidden/>
          </w:rPr>
          <w:fldChar w:fldCharType="separate"/>
        </w:r>
        <w:r>
          <w:rPr>
            <w:noProof/>
            <w:webHidden/>
          </w:rPr>
          <w:t>26</w:t>
        </w:r>
        <w:r>
          <w:rPr>
            <w:noProof/>
            <w:webHidden/>
          </w:rPr>
          <w:fldChar w:fldCharType="end"/>
        </w:r>
      </w:hyperlink>
    </w:p>
    <w:p w14:paraId="041E0D99" w14:textId="3766460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1" w:history="1">
        <w:r w:rsidRPr="004F278F">
          <w:rPr>
            <w:rStyle w:val="Hyperlink"/>
            <w:noProof/>
          </w:rPr>
          <w:t>6.6</w:t>
        </w:r>
        <w:r>
          <w:rPr>
            <w:rFonts w:asciiTheme="minorHAnsi" w:eastAsiaTheme="minorEastAsia" w:hAnsiTheme="minorHAnsi" w:cstheme="minorBidi"/>
            <w:noProof/>
            <w:kern w:val="2"/>
            <w:lang w:val="en-IT"/>
            <w14:ligatures w14:val="standardContextual"/>
          </w:rPr>
          <w:tab/>
        </w:r>
        <w:r w:rsidRPr="004F278F">
          <w:rPr>
            <w:rStyle w:val="Hyperlink"/>
            <w:noProof/>
          </w:rPr>
          <w:t>Indicators retained, demoted, and deferred</w:t>
        </w:r>
        <w:r>
          <w:rPr>
            <w:noProof/>
            <w:webHidden/>
          </w:rPr>
          <w:tab/>
        </w:r>
        <w:r>
          <w:rPr>
            <w:noProof/>
            <w:webHidden/>
          </w:rPr>
          <w:fldChar w:fldCharType="begin"/>
        </w:r>
        <w:r>
          <w:rPr>
            <w:noProof/>
            <w:webHidden/>
          </w:rPr>
          <w:instrText xml:space="preserve"> PAGEREF _Toc231372531 \h </w:instrText>
        </w:r>
        <w:r>
          <w:rPr>
            <w:noProof/>
            <w:webHidden/>
          </w:rPr>
        </w:r>
        <w:r>
          <w:rPr>
            <w:noProof/>
            <w:webHidden/>
          </w:rPr>
          <w:fldChar w:fldCharType="separate"/>
        </w:r>
        <w:r>
          <w:rPr>
            <w:noProof/>
            <w:webHidden/>
          </w:rPr>
          <w:t>27</w:t>
        </w:r>
        <w:r>
          <w:rPr>
            <w:noProof/>
            <w:webHidden/>
          </w:rPr>
          <w:fldChar w:fldCharType="end"/>
        </w:r>
      </w:hyperlink>
    </w:p>
    <w:p w14:paraId="0FFC550A" w14:textId="394450EA" w:rsidR="005715FC" w:rsidRDefault="005715FC">
      <w:pPr>
        <w:pStyle w:val="TOC1"/>
        <w:rPr>
          <w:rFonts w:asciiTheme="minorHAnsi" w:eastAsiaTheme="minorEastAsia" w:hAnsiTheme="minorHAnsi" w:cstheme="minorBidi"/>
          <w:noProof/>
          <w:kern w:val="2"/>
          <w:lang w:val="en-IT"/>
          <w14:ligatures w14:val="standardContextual"/>
        </w:rPr>
      </w:pPr>
      <w:hyperlink w:anchor="_Toc231372532" w:history="1">
        <w:r w:rsidRPr="004F278F">
          <w:rPr>
            <w:rStyle w:val="Hyperlink"/>
            <w:noProof/>
          </w:rPr>
          <w:t>7.0</w:t>
        </w:r>
        <w:r>
          <w:rPr>
            <w:rFonts w:asciiTheme="minorHAnsi" w:eastAsiaTheme="minorEastAsia" w:hAnsiTheme="minorHAnsi" w:cstheme="minorBidi"/>
            <w:noProof/>
            <w:kern w:val="2"/>
            <w:lang w:val="en-IT"/>
            <w14:ligatures w14:val="standardContextual"/>
          </w:rPr>
          <w:tab/>
        </w:r>
        <w:r w:rsidRPr="004F278F">
          <w:rPr>
            <w:rStyle w:val="Hyperlink"/>
            <w:noProof/>
          </w:rPr>
          <w:t>Metric and Indicator Design</w:t>
        </w:r>
        <w:r>
          <w:rPr>
            <w:noProof/>
            <w:webHidden/>
          </w:rPr>
          <w:tab/>
        </w:r>
        <w:r>
          <w:rPr>
            <w:noProof/>
            <w:webHidden/>
          </w:rPr>
          <w:fldChar w:fldCharType="begin"/>
        </w:r>
        <w:r>
          <w:rPr>
            <w:noProof/>
            <w:webHidden/>
          </w:rPr>
          <w:instrText xml:space="preserve"> PAGEREF _Toc231372532 \h </w:instrText>
        </w:r>
        <w:r>
          <w:rPr>
            <w:noProof/>
            <w:webHidden/>
          </w:rPr>
        </w:r>
        <w:r>
          <w:rPr>
            <w:noProof/>
            <w:webHidden/>
          </w:rPr>
          <w:fldChar w:fldCharType="separate"/>
        </w:r>
        <w:r>
          <w:rPr>
            <w:noProof/>
            <w:webHidden/>
          </w:rPr>
          <w:t>29</w:t>
        </w:r>
        <w:r>
          <w:rPr>
            <w:noProof/>
            <w:webHidden/>
          </w:rPr>
          <w:fldChar w:fldCharType="end"/>
        </w:r>
      </w:hyperlink>
    </w:p>
    <w:p w14:paraId="5E572BC9" w14:textId="2C0A3F4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3" w:history="1">
        <w:r w:rsidRPr="004F278F">
          <w:rPr>
            <w:rStyle w:val="Hyperlink"/>
            <w:noProof/>
          </w:rPr>
          <w:t>7.1</w:t>
        </w:r>
        <w:r>
          <w:rPr>
            <w:rFonts w:asciiTheme="minorHAnsi" w:eastAsiaTheme="minorEastAsia" w:hAnsiTheme="minorHAnsi" w:cstheme="minorBidi"/>
            <w:noProof/>
            <w:kern w:val="2"/>
            <w:lang w:val="en-IT"/>
            <w14:ligatures w14:val="standardContextual"/>
          </w:rPr>
          <w:tab/>
        </w:r>
        <w:r w:rsidRPr="004F278F">
          <w:rPr>
            <w:rStyle w:val="Hyperlink"/>
            <w:noProof/>
          </w:rPr>
          <w:t>From raw value to score: shared conventions</w:t>
        </w:r>
        <w:r>
          <w:rPr>
            <w:noProof/>
            <w:webHidden/>
          </w:rPr>
          <w:tab/>
        </w:r>
        <w:r>
          <w:rPr>
            <w:noProof/>
            <w:webHidden/>
          </w:rPr>
          <w:fldChar w:fldCharType="begin"/>
        </w:r>
        <w:r>
          <w:rPr>
            <w:noProof/>
            <w:webHidden/>
          </w:rPr>
          <w:instrText xml:space="preserve"> PAGEREF _Toc231372533 \h </w:instrText>
        </w:r>
        <w:r>
          <w:rPr>
            <w:noProof/>
            <w:webHidden/>
          </w:rPr>
        </w:r>
        <w:r>
          <w:rPr>
            <w:noProof/>
            <w:webHidden/>
          </w:rPr>
          <w:fldChar w:fldCharType="separate"/>
        </w:r>
        <w:r>
          <w:rPr>
            <w:noProof/>
            <w:webHidden/>
          </w:rPr>
          <w:t>29</w:t>
        </w:r>
        <w:r>
          <w:rPr>
            <w:noProof/>
            <w:webHidden/>
          </w:rPr>
          <w:fldChar w:fldCharType="end"/>
        </w:r>
      </w:hyperlink>
    </w:p>
    <w:p w14:paraId="51379EFA" w14:textId="02EF862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4" w:history="1">
        <w:r w:rsidRPr="004F278F">
          <w:rPr>
            <w:rStyle w:val="Hyperlink"/>
            <w:noProof/>
          </w:rPr>
          <w:t>7.2</w:t>
        </w:r>
        <w:r>
          <w:rPr>
            <w:rFonts w:asciiTheme="minorHAnsi" w:eastAsiaTheme="minorEastAsia" w:hAnsiTheme="minorHAnsi" w:cstheme="minorBidi"/>
            <w:noProof/>
            <w:kern w:val="2"/>
            <w:lang w:val="en-IT"/>
            <w14:ligatures w14:val="standardContextual"/>
          </w:rPr>
          <w:tab/>
        </w:r>
        <w:r w:rsidRPr="004F278F">
          <w:rPr>
            <w:rStyle w:val="Hyperlink"/>
            <w:noProof/>
          </w:rPr>
          <w:t>Air pillar - anomaly grammar</w:t>
        </w:r>
        <w:r>
          <w:rPr>
            <w:noProof/>
            <w:webHidden/>
          </w:rPr>
          <w:tab/>
        </w:r>
        <w:r>
          <w:rPr>
            <w:noProof/>
            <w:webHidden/>
          </w:rPr>
          <w:fldChar w:fldCharType="begin"/>
        </w:r>
        <w:r>
          <w:rPr>
            <w:noProof/>
            <w:webHidden/>
          </w:rPr>
          <w:instrText xml:space="preserve"> PAGEREF _Toc231372534 \h </w:instrText>
        </w:r>
        <w:r>
          <w:rPr>
            <w:noProof/>
            <w:webHidden/>
          </w:rPr>
        </w:r>
        <w:r>
          <w:rPr>
            <w:noProof/>
            <w:webHidden/>
          </w:rPr>
          <w:fldChar w:fldCharType="separate"/>
        </w:r>
        <w:r>
          <w:rPr>
            <w:noProof/>
            <w:webHidden/>
          </w:rPr>
          <w:t>32</w:t>
        </w:r>
        <w:r>
          <w:rPr>
            <w:noProof/>
            <w:webHidden/>
          </w:rPr>
          <w:fldChar w:fldCharType="end"/>
        </w:r>
      </w:hyperlink>
    </w:p>
    <w:p w14:paraId="5DDAB84E" w14:textId="540B8C5E"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5" w:history="1">
        <w:r w:rsidRPr="004F278F">
          <w:rPr>
            <w:rStyle w:val="Hyperlink"/>
            <w:noProof/>
          </w:rPr>
          <w:t>7.3</w:t>
        </w:r>
        <w:r>
          <w:rPr>
            <w:rFonts w:asciiTheme="minorHAnsi" w:eastAsiaTheme="minorEastAsia" w:hAnsiTheme="minorHAnsi" w:cstheme="minorBidi"/>
            <w:noProof/>
            <w:kern w:val="2"/>
            <w:lang w:val="en-IT"/>
            <w14:ligatures w14:val="standardContextual"/>
          </w:rPr>
          <w:tab/>
        </w:r>
        <w:r w:rsidRPr="004F278F">
          <w:rPr>
            <w:rStyle w:val="Hyperlink"/>
            <w:noProof/>
          </w:rPr>
          <w:t>GHG pillar - absolute-anchored activity grammar</w:t>
        </w:r>
        <w:r>
          <w:rPr>
            <w:noProof/>
            <w:webHidden/>
          </w:rPr>
          <w:tab/>
        </w:r>
        <w:r>
          <w:rPr>
            <w:noProof/>
            <w:webHidden/>
          </w:rPr>
          <w:fldChar w:fldCharType="begin"/>
        </w:r>
        <w:r>
          <w:rPr>
            <w:noProof/>
            <w:webHidden/>
          </w:rPr>
          <w:instrText xml:space="preserve"> PAGEREF _Toc231372535 \h </w:instrText>
        </w:r>
        <w:r>
          <w:rPr>
            <w:noProof/>
            <w:webHidden/>
          </w:rPr>
        </w:r>
        <w:r>
          <w:rPr>
            <w:noProof/>
            <w:webHidden/>
          </w:rPr>
          <w:fldChar w:fldCharType="separate"/>
        </w:r>
        <w:r>
          <w:rPr>
            <w:noProof/>
            <w:webHidden/>
          </w:rPr>
          <w:t>32</w:t>
        </w:r>
        <w:r>
          <w:rPr>
            <w:noProof/>
            <w:webHidden/>
          </w:rPr>
          <w:fldChar w:fldCharType="end"/>
        </w:r>
      </w:hyperlink>
    </w:p>
    <w:p w14:paraId="2ADD8039" w14:textId="6BF94E0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6" w:history="1">
        <w:r w:rsidRPr="004F278F">
          <w:rPr>
            <w:rStyle w:val="Hyperlink"/>
            <w:noProof/>
          </w:rPr>
          <w:t>7.4</w:t>
        </w:r>
        <w:r>
          <w:rPr>
            <w:rFonts w:asciiTheme="minorHAnsi" w:eastAsiaTheme="minorEastAsia" w:hAnsiTheme="minorHAnsi" w:cstheme="minorBidi"/>
            <w:noProof/>
            <w:kern w:val="2"/>
            <w:lang w:val="en-IT"/>
            <w14:ligatures w14:val="standardContextual"/>
          </w:rPr>
          <w:tab/>
        </w:r>
        <w:r w:rsidRPr="004F278F">
          <w:rPr>
            <w:rStyle w:val="Hyperlink"/>
            <w:noProof/>
          </w:rPr>
          <w:t>Nature pillar - exposure/change/condition grammar</w:t>
        </w:r>
        <w:r>
          <w:rPr>
            <w:noProof/>
            <w:webHidden/>
          </w:rPr>
          <w:tab/>
        </w:r>
        <w:r>
          <w:rPr>
            <w:noProof/>
            <w:webHidden/>
          </w:rPr>
          <w:fldChar w:fldCharType="begin"/>
        </w:r>
        <w:r>
          <w:rPr>
            <w:noProof/>
            <w:webHidden/>
          </w:rPr>
          <w:instrText xml:space="preserve"> PAGEREF _Toc231372536 \h </w:instrText>
        </w:r>
        <w:r>
          <w:rPr>
            <w:noProof/>
            <w:webHidden/>
          </w:rPr>
        </w:r>
        <w:r>
          <w:rPr>
            <w:noProof/>
            <w:webHidden/>
          </w:rPr>
          <w:fldChar w:fldCharType="separate"/>
        </w:r>
        <w:r>
          <w:rPr>
            <w:noProof/>
            <w:webHidden/>
          </w:rPr>
          <w:t>33</w:t>
        </w:r>
        <w:r>
          <w:rPr>
            <w:noProof/>
            <w:webHidden/>
          </w:rPr>
          <w:fldChar w:fldCharType="end"/>
        </w:r>
      </w:hyperlink>
    </w:p>
    <w:p w14:paraId="0E8CD62A" w14:textId="1564435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7" w:history="1">
        <w:r w:rsidRPr="004F278F">
          <w:rPr>
            <w:rStyle w:val="Hyperlink"/>
            <w:noProof/>
          </w:rPr>
          <w:t>7.5</w:t>
        </w:r>
        <w:r>
          <w:rPr>
            <w:rFonts w:asciiTheme="minorHAnsi" w:eastAsiaTheme="minorEastAsia" w:hAnsiTheme="minorHAnsi" w:cstheme="minorBidi"/>
            <w:noProof/>
            <w:kern w:val="2"/>
            <w:lang w:val="en-IT"/>
            <w14:ligatures w14:val="standardContextual"/>
          </w:rPr>
          <w:tab/>
        </w:r>
        <w:r w:rsidRPr="004F278F">
          <w:rPr>
            <w:rStyle w:val="Hyperlink"/>
            <w:noProof/>
          </w:rPr>
          <w:t>Combining pillars: the composite</w:t>
        </w:r>
        <w:r>
          <w:rPr>
            <w:noProof/>
            <w:webHidden/>
          </w:rPr>
          <w:tab/>
        </w:r>
        <w:r>
          <w:rPr>
            <w:noProof/>
            <w:webHidden/>
          </w:rPr>
          <w:fldChar w:fldCharType="begin"/>
        </w:r>
        <w:r>
          <w:rPr>
            <w:noProof/>
            <w:webHidden/>
          </w:rPr>
          <w:instrText xml:space="preserve"> PAGEREF _Toc231372537 \h </w:instrText>
        </w:r>
        <w:r>
          <w:rPr>
            <w:noProof/>
            <w:webHidden/>
          </w:rPr>
        </w:r>
        <w:r>
          <w:rPr>
            <w:noProof/>
            <w:webHidden/>
          </w:rPr>
          <w:fldChar w:fldCharType="separate"/>
        </w:r>
        <w:r>
          <w:rPr>
            <w:noProof/>
            <w:webHidden/>
          </w:rPr>
          <w:t>34</w:t>
        </w:r>
        <w:r>
          <w:rPr>
            <w:noProof/>
            <w:webHidden/>
          </w:rPr>
          <w:fldChar w:fldCharType="end"/>
        </w:r>
      </w:hyperlink>
    </w:p>
    <w:p w14:paraId="4C00B95D" w14:textId="36ACC7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8" w:history="1">
        <w:r w:rsidRPr="004F278F">
          <w:rPr>
            <w:rStyle w:val="Hyperlink"/>
            <w:noProof/>
          </w:rPr>
          <w:t>7.6</w:t>
        </w:r>
        <w:r>
          <w:rPr>
            <w:rFonts w:asciiTheme="minorHAnsi" w:eastAsiaTheme="minorEastAsia" w:hAnsiTheme="minorHAnsi" w:cstheme="minorBidi"/>
            <w:noProof/>
            <w:kern w:val="2"/>
            <w:lang w:val="en-IT"/>
            <w14:ligatures w14:val="standardContextual"/>
          </w:rPr>
          <w:tab/>
        </w:r>
        <w:r w:rsidRPr="004F278F">
          <w:rPr>
            <w:rStyle w:val="Hyperlink"/>
            <w:noProof/>
          </w:rPr>
          <w:t>Confidence</w:t>
        </w:r>
        <w:r>
          <w:rPr>
            <w:noProof/>
            <w:webHidden/>
          </w:rPr>
          <w:tab/>
        </w:r>
        <w:r>
          <w:rPr>
            <w:noProof/>
            <w:webHidden/>
          </w:rPr>
          <w:fldChar w:fldCharType="begin"/>
        </w:r>
        <w:r>
          <w:rPr>
            <w:noProof/>
            <w:webHidden/>
          </w:rPr>
          <w:instrText xml:space="preserve"> PAGEREF _Toc231372538 \h </w:instrText>
        </w:r>
        <w:r>
          <w:rPr>
            <w:noProof/>
            <w:webHidden/>
          </w:rPr>
        </w:r>
        <w:r>
          <w:rPr>
            <w:noProof/>
            <w:webHidden/>
          </w:rPr>
          <w:fldChar w:fldCharType="separate"/>
        </w:r>
        <w:r>
          <w:rPr>
            <w:noProof/>
            <w:webHidden/>
          </w:rPr>
          <w:t>34</w:t>
        </w:r>
        <w:r>
          <w:rPr>
            <w:noProof/>
            <w:webHidden/>
          </w:rPr>
          <w:fldChar w:fldCharType="end"/>
        </w:r>
      </w:hyperlink>
    </w:p>
    <w:p w14:paraId="52D3EFCA" w14:textId="2A4A307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39" w:history="1">
        <w:r w:rsidRPr="004F278F">
          <w:rPr>
            <w:rStyle w:val="Hyperlink"/>
            <w:noProof/>
          </w:rPr>
          <w:t>7.7</w:t>
        </w:r>
        <w:r>
          <w:rPr>
            <w:rFonts w:asciiTheme="minorHAnsi" w:eastAsiaTheme="minorEastAsia" w:hAnsiTheme="minorHAnsi" w:cstheme="minorBidi"/>
            <w:noProof/>
            <w:kern w:val="2"/>
            <w:lang w:val="en-IT"/>
            <w14:ligatures w14:val="standardContextual"/>
          </w:rPr>
          <w:tab/>
        </w:r>
        <w:r w:rsidRPr="004F278F">
          <w:rPr>
            <w:rStyle w:val="Hyperlink"/>
            <w:noProof/>
          </w:rPr>
          <w:t>Attributability</w:t>
        </w:r>
        <w:r>
          <w:rPr>
            <w:noProof/>
            <w:webHidden/>
          </w:rPr>
          <w:tab/>
        </w:r>
        <w:r>
          <w:rPr>
            <w:noProof/>
            <w:webHidden/>
          </w:rPr>
          <w:fldChar w:fldCharType="begin"/>
        </w:r>
        <w:r>
          <w:rPr>
            <w:noProof/>
            <w:webHidden/>
          </w:rPr>
          <w:instrText xml:space="preserve"> PAGEREF _Toc231372539 \h </w:instrText>
        </w:r>
        <w:r>
          <w:rPr>
            <w:noProof/>
            <w:webHidden/>
          </w:rPr>
        </w:r>
        <w:r>
          <w:rPr>
            <w:noProof/>
            <w:webHidden/>
          </w:rPr>
          <w:fldChar w:fldCharType="separate"/>
        </w:r>
        <w:r>
          <w:rPr>
            <w:noProof/>
            <w:webHidden/>
          </w:rPr>
          <w:t>34</w:t>
        </w:r>
        <w:r>
          <w:rPr>
            <w:noProof/>
            <w:webHidden/>
          </w:rPr>
          <w:fldChar w:fldCharType="end"/>
        </w:r>
      </w:hyperlink>
    </w:p>
    <w:p w14:paraId="27A2EB68" w14:textId="267521A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r w:rsidRPr="004F278F">
        <w:rPr>
          <w:rStyle w:val="Hyperlink"/>
          <w:noProof/>
        </w:rPr>
        <w:fldChar w:fldCharType="begin"/>
      </w:r>
      <w:r w:rsidRPr="004F278F">
        <w:rPr>
          <w:rStyle w:val="Hyperlink"/>
          <w:noProof/>
        </w:rPr>
        <w:instrText xml:space="preserve"> </w:instrText>
      </w:r>
      <w:r>
        <w:rPr>
          <w:noProof/>
        </w:rPr>
        <w:instrText>HYPERLINK \l "_Toc231372540"</w:instrText>
      </w:r>
      <w:r w:rsidRPr="004F278F">
        <w:rPr>
          <w:rStyle w:val="Hyperlink"/>
          <w:noProof/>
        </w:rPr>
        <w:instrText xml:space="preserve"> </w:instrText>
      </w:r>
      <w:r w:rsidRPr="004F278F">
        <w:rPr>
          <w:rStyle w:val="Hyperlink"/>
          <w:noProof/>
        </w:rPr>
      </w:r>
      <w:r w:rsidRPr="004F278F">
        <w:rPr>
          <w:rStyle w:val="Hyperlink"/>
          <w:noProof/>
        </w:rPr>
        <w:fldChar w:fldCharType="separate"/>
      </w:r>
      <w:r w:rsidRPr="004F278F">
        <w:rPr>
          <w:rStyle w:val="Hyperlink"/>
          <w:noProof/>
        </w:rPr>
        <w:t>7.8</w:t>
      </w:r>
      <w:r>
        <w:rPr>
          <w:rFonts w:asciiTheme="minorHAnsi" w:eastAsiaTheme="minorEastAsia" w:hAnsiTheme="minorHAnsi" w:cstheme="minorBidi"/>
          <w:noProof/>
          <w:kern w:val="2"/>
          <w:lang w:val="en-IT"/>
          <w14:ligatures w14:val="standardContextual"/>
        </w:rPr>
        <w:tab/>
      </w:r>
      <w:r w:rsidRPr="004F278F">
        <w:rPr>
          <w:rStyle w:val="Hyperlink"/>
          <w:noProof/>
        </w:rPr>
        <w:t>Graceful degradation (survivor-renormalise, CAMS fallback, strict-None)</w:t>
      </w:r>
      <w:r>
        <w:rPr>
          <w:noProof/>
          <w:webHidden/>
        </w:rPr>
        <w:tab/>
      </w:r>
      <w:r>
        <w:rPr>
          <w:noProof/>
          <w:webHidden/>
        </w:rPr>
        <w:fldChar w:fldCharType="begin"/>
      </w:r>
      <w:r>
        <w:rPr>
          <w:noProof/>
          <w:webHidden/>
        </w:rPr>
        <w:instrText xml:space="preserve"> PAGEREF _Toc231372540 \h </w:instrText>
      </w:r>
      <w:r>
        <w:rPr>
          <w:noProof/>
          <w:webHidden/>
        </w:rPr>
      </w:r>
      <w:r>
        <w:rPr>
          <w:noProof/>
          <w:webHidden/>
        </w:rPr>
        <w:fldChar w:fldCharType="separate"/>
      </w:r>
      <w:r>
        <w:rPr>
          <w:noProof/>
          <w:webHidden/>
        </w:rPr>
        <w:t>35</w:t>
      </w:r>
      <w:r>
        <w:rPr>
          <w:noProof/>
          <w:webHidden/>
        </w:rPr>
        <w:fldChar w:fldCharType="end"/>
      </w:r>
      <w:r w:rsidRPr="004F278F">
        <w:rPr>
          <w:rStyle w:val="Hyperlink"/>
          <w:noProof/>
        </w:rPr>
        <w:fldChar w:fldCharType="end"/>
      </w:r>
    </w:p>
    <w:p w14:paraId="302DB226" w14:textId="477B0129"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1" w:history="1">
        <w:r w:rsidRPr="004F278F">
          <w:rPr>
            <w:rStyle w:val="Hyperlink"/>
            <w:noProof/>
          </w:rPr>
          <w:t>7.9</w:t>
        </w:r>
        <w:r>
          <w:rPr>
            <w:rFonts w:asciiTheme="minorHAnsi" w:eastAsiaTheme="minorEastAsia" w:hAnsiTheme="minorHAnsi" w:cstheme="minorBidi"/>
            <w:noProof/>
            <w:kern w:val="2"/>
            <w:lang w:val="en-IT"/>
            <w14:ligatures w14:val="standardContextual"/>
          </w:rPr>
          <w:tab/>
        </w:r>
        <w:r w:rsidRPr="004F278F">
          <w:rPr>
            <w:rStyle w:val="Hyperlink"/>
            <w:noProof/>
          </w:rPr>
          <w:t>Design evolution and rejected approaches</w:t>
        </w:r>
        <w:r>
          <w:rPr>
            <w:noProof/>
            <w:webHidden/>
          </w:rPr>
          <w:tab/>
        </w:r>
        <w:r>
          <w:rPr>
            <w:noProof/>
            <w:webHidden/>
          </w:rPr>
          <w:fldChar w:fldCharType="begin"/>
        </w:r>
        <w:r>
          <w:rPr>
            <w:noProof/>
            <w:webHidden/>
          </w:rPr>
          <w:instrText xml:space="preserve"> PAGEREF _Toc231372541 \h </w:instrText>
        </w:r>
        <w:r>
          <w:rPr>
            <w:noProof/>
            <w:webHidden/>
          </w:rPr>
        </w:r>
        <w:r>
          <w:rPr>
            <w:noProof/>
            <w:webHidden/>
          </w:rPr>
          <w:fldChar w:fldCharType="separate"/>
        </w:r>
        <w:r>
          <w:rPr>
            <w:noProof/>
            <w:webHidden/>
          </w:rPr>
          <w:t>36</w:t>
        </w:r>
        <w:r>
          <w:rPr>
            <w:noProof/>
            <w:webHidden/>
          </w:rPr>
          <w:fldChar w:fldCharType="end"/>
        </w:r>
      </w:hyperlink>
    </w:p>
    <w:p w14:paraId="64182C93" w14:textId="6E9029E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2" w:history="1">
        <w:r w:rsidRPr="004F278F">
          <w:rPr>
            <w:rStyle w:val="Hyperlink"/>
            <w:noProof/>
          </w:rPr>
          <w:t>7.10</w:t>
        </w:r>
        <w:r>
          <w:rPr>
            <w:rFonts w:asciiTheme="minorHAnsi" w:eastAsiaTheme="minorEastAsia" w:hAnsiTheme="minorHAnsi" w:cstheme="minorBidi"/>
            <w:noProof/>
            <w:kern w:val="2"/>
            <w:lang w:val="en-IT"/>
            <w14:ligatures w14:val="standardContextual"/>
          </w:rPr>
          <w:tab/>
        </w:r>
        <w:r w:rsidRPr="004F278F">
          <w:rPr>
            <w:rStyle w:val="Hyperlink"/>
            <w:noProof/>
          </w:rPr>
          <w:t>Trend</w:t>
        </w:r>
        <w:r>
          <w:rPr>
            <w:noProof/>
            <w:webHidden/>
          </w:rPr>
          <w:tab/>
        </w:r>
        <w:r>
          <w:rPr>
            <w:noProof/>
            <w:webHidden/>
          </w:rPr>
          <w:fldChar w:fldCharType="begin"/>
        </w:r>
        <w:r>
          <w:rPr>
            <w:noProof/>
            <w:webHidden/>
          </w:rPr>
          <w:instrText xml:space="preserve"> PAGEREF _Toc231372542 \h </w:instrText>
        </w:r>
        <w:r>
          <w:rPr>
            <w:noProof/>
            <w:webHidden/>
          </w:rPr>
        </w:r>
        <w:r>
          <w:rPr>
            <w:noProof/>
            <w:webHidden/>
          </w:rPr>
          <w:fldChar w:fldCharType="separate"/>
        </w:r>
        <w:r>
          <w:rPr>
            <w:noProof/>
            <w:webHidden/>
          </w:rPr>
          <w:t>36</w:t>
        </w:r>
        <w:r>
          <w:rPr>
            <w:noProof/>
            <w:webHidden/>
          </w:rPr>
          <w:fldChar w:fldCharType="end"/>
        </w:r>
      </w:hyperlink>
    </w:p>
    <w:p w14:paraId="0E72FC44" w14:textId="0F8FB8EE" w:rsidR="005715FC" w:rsidRDefault="005715FC">
      <w:pPr>
        <w:pStyle w:val="TOC1"/>
        <w:rPr>
          <w:rFonts w:asciiTheme="minorHAnsi" w:eastAsiaTheme="minorEastAsia" w:hAnsiTheme="minorHAnsi" w:cstheme="minorBidi"/>
          <w:noProof/>
          <w:kern w:val="2"/>
          <w:lang w:val="en-IT"/>
          <w14:ligatures w14:val="standardContextual"/>
        </w:rPr>
      </w:pPr>
      <w:hyperlink w:anchor="_Toc231372543" w:history="1">
        <w:r w:rsidRPr="004F278F">
          <w:rPr>
            <w:rStyle w:val="Hyperlink"/>
            <w:noProof/>
          </w:rPr>
          <w:t>8.0</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 and Tool Implementation</w:t>
        </w:r>
        <w:r>
          <w:rPr>
            <w:noProof/>
            <w:webHidden/>
          </w:rPr>
          <w:tab/>
        </w:r>
        <w:r>
          <w:rPr>
            <w:noProof/>
            <w:webHidden/>
          </w:rPr>
          <w:fldChar w:fldCharType="begin"/>
        </w:r>
        <w:r>
          <w:rPr>
            <w:noProof/>
            <w:webHidden/>
          </w:rPr>
          <w:instrText xml:space="preserve"> PAGEREF _Toc231372543 \h </w:instrText>
        </w:r>
        <w:r>
          <w:rPr>
            <w:noProof/>
            <w:webHidden/>
          </w:rPr>
        </w:r>
        <w:r>
          <w:rPr>
            <w:noProof/>
            <w:webHidden/>
          </w:rPr>
          <w:fldChar w:fldCharType="separate"/>
        </w:r>
        <w:r>
          <w:rPr>
            <w:noProof/>
            <w:webHidden/>
          </w:rPr>
          <w:t>38</w:t>
        </w:r>
        <w:r>
          <w:rPr>
            <w:noProof/>
            <w:webHidden/>
          </w:rPr>
          <w:fldChar w:fldCharType="end"/>
        </w:r>
      </w:hyperlink>
    </w:p>
    <w:p w14:paraId="6C446FA7" w14:textId="466AD0E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4" w:history="1">
        <w:r w:rsidRPr="004F278F">
          <w:rPr>
            <w:rStyle w:val="Hyperlink"/>
            <w:noProof/>
          </w:rPr>
          <w:t>8.1</w:t>
        </w:r>
        <w:r>
          <w:rPr>
            <w:rFonts w:asciiTheme="minorHAnsi" w:eastAsiaTheme="minorEastAsia" w:hAnsiTheme="minorHAnsi" w:cstheme="minorBidi"/>
            <w:noProof/>
            <w:kern w:val="2"/>
            <w:lang w:val="en-IT"/>
            <w14:ligatures w14:val="standardContextual"/>
          </w:rPr>
          <w:tab/>
        </w:r>
        <w:r w:rsidRPr="004F278F">
          <w:rPr>
            <w:rStyle w:val="Hyperlink"/>
            <w:noProof/>
          </w:rPr>
          <w:t>From Google Earth Engine scripts to a Python application</w:t>
        </w:r>
        <w:r>
          <w:rPr>
            <w:noProof/>
            <w:webHidden/>
          </w:rPr>
          <w:tab/>
        </w:r>
        <w:r>
          <w:rPr>
            <w:noProof/>
            <w:webHidden/>
          </w:rPr>
          <w:fldChar w:fldCharType="begin"/>
        </w:r>
        <w:r>
          <w:rPr>
            <w:noProof/>
            <w:webHidden/>
          </w:rPr>
          <w:instrText xml:space="preserve"> PAGEREF _Toc231372544 \h </w:instrText>
        </w:r>
        <w:r>
          <w:rPr>
            <w:noProof/>
            <w:webHidden/>
          </w:rPr>
        </w:r>
        <w:r>
          <w:rPr>
            <w:noProof/>
            <w:webHidden/>
          </w:rPr>
          <w:fldChar w:fldCharType="separate"/>
        </w:r>
        <w:r>
          <w:rPr>
            <w:noProof/>
            <w:webHidden/>
          </w:rPr>
          <w:t>38</w:t>
        </w:r>
        <w:r>
          <w:rPr>
            <w:noProof/>
            <w:webHidden/>
          </w:rPr>
          <w:fldChar w:fldCharType="end"/>
        </w:r>
      </w:hyperlink>
    </w:p>
    <w:p w14:paraId="187C474A" w14:textId="5838406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5" w:history="1">
        <w:r w:rsidRPr="004F278F">
          <w:rPr>
            <w:rStyle w:val="Hyperlink"/>
            <w:noProof/>
          </w:rPr>
          <w:t>8.2</w:t>
        </w:r>
        <w:r>
          <w:rPr>
            <w:rFonts w:asciiTheme="minorHAnsi" w:eastAsiaTheme="minorEastAsia" w:hAnsiTheme="minorHAnsi" w:cstheme="minorBidi"/>
            <w:noProof/>
            <w:kern w:val="2"/>
            <w:lang w:val="en-IT"/>
            <w14:ligatures w14:val="standardContextual"/>
          </w:rPr>
          <w:tab/>
        </w:r>
        <w:r w:rsidRPr="004F278F">
          <w:rPr>
            <w:rStyle w:val="Hyperlink"/>
            <w:noProof/>
          </w:rPr>
          <w:t>System architecture</w:t>
        </w:r>
        <w:r>
          <w:rPr>
            <w:noProof/>
            <w:webHidden/>
          </w:rPr>
          <w:tab/>
        </w:r>
        <w:r>
          <w:rPr>
            <w:noProof/>
            <w:webHidden/>
          </w:rPr>
          <w:fldChar w:fldCharType="begin"/>
        </w:r>
        <w:r>
          <w:rPr>
            <w:noProof/>
            <w:webHidden/>
          </w:rPr>
          <w:instrText xml:space="preserve"> PAGEREF _Toc231372545 \h </w:instrText>
        </w:r>
        <w:r>
          <w:rPr>
            <w:noProof/>
            <w:webHidden/>
          </w:rPr>
        </w:r>
        <w:r>
          <w:rPr>
            <w:noProof/>
            <w:webHidden/>
          </w:rPr>
          <w:fldChar w:fldCharType="separate"/>
        </w:r>
        <w:r>
          <w:rPr>
            <w:noProof/>
            <w:webHidden/>
          </w:rPr>
          <w:t>38</w:t>
        </w:r>
        <w:r>
          <w:rPr>
            <w:noProof/>
            <w:webHidden/>
          </w:rPr>
          <w:fldChar w:fldCharType="end"/>
        </w:r>
      </w:hyperlink>
    </w:p>
    <w:p w14:paraId="72C7B1D4" w14:textId="4EE0952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6" w:history="1">
        <w:r w:rsidRPr="004F278F">
          <w:rPr>
            <w:rStyle w:val="Hyperlink"/>
            <w:noProof/>
          </w:rPr>
          <w:t>8.3</w:t>
        </w:r>
        <w:r>
          <w:rPr>
            <w:rFonts w:asciiTheme="minorHAnsi" w:eastAsiaTheme="minorEastAsia" w:hAnsiTheme="minorHAnsi" w:cstheme="minorBidi"/>
            <w:noProof/>
            <w:kern w:val="2"/>
            <w:lang w:val="en-IT"/>
            <w14:ligatures w14:val="standardContextual"/>
          </w:rPr>
          <w:tab/>
        </w:r>
        <w:r w:rsidRPr="004F278F">
          <w:rPr>
            <w:rStyle w:val="Hyperlink"/>
            <w:noProof/>
          </w:rPr>
          <w:t>The indicator engine</w:t>
        </w:r>
        <w:r>
          <w:rPr>
            <w:noProof/>
            <w:webHidden/>
          </w:rPr>
          <w:tab/>
        </w:r>
        <w:r>
          <w:rPr>
            <w:noProof/>
            <w:webHidden/>
          </w:rPr>
          <w:fldChar w:fldCharType="begin"/>
        </w:r>
        <w:r>
          <w:rPr>
            <w:noProof/>
            <w:webHidden/>
          </w:rPr>
          <w:instrText xml:space="preserve"> PAGEREF _Toc231372546 \h </w:instrText>
        </w:r>
        <w:r>
          <w:rPr>
            <w:noProof/>
            <w:webHidden/>
          </w:rPr>
        </w:r>
        <w:r>
          <w:rPr>
            <w:noProof/>
            <w:webHidden/>
          </w:rPr>
          <w:fldChar w:fldCharType="separate"/>
        </w:r>
        <w:r>
          <w:rPr>
            <w:noProof/>
            <w:webHidden/>
          </w:rPr>
          <w:t>38</w:t>
        </w:r>
        <w:r>
          <w:rPr>
            <w:noProof/>
            <w:webHidden/>
          </w:rPr>
          <w:fldChar w:fldCharType="end"/>
        </w:r>
      </w:hyperlink>
    </w:p>
    <w:p w14:paraId="71FE0AF2" w14:textId="055913B8"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7" w:history="1">
        <w:r w:rsidRPr="004F278F">
          <w:rPr>
            <w:rStyle w:val="Hyperlink"/>
            <w:noProof/>
          </w:rPr>
          <w:t>8.4</w:t>
        </w:r>
        <w:r>
          <w:rPr>
            <w:rFonts w:asciiTheme="minorHAnsi" w:eastAsiaTheme="minorEastAsia" w:hAnsiTheme="minorHAnsi" w:cstheme="minorBidi"/>
            <w:noProof/>
            <w:kern w:val="2"/>
            <w:lang w:val="en-IT"/>
            <w14:ligatures w14:val="standardContextual"/>
          </w:rPr>
          <w:tab/>
        </w:r>
        <w:r w:rsidRPr="004F278F">
          <w:rPr>
            <w:rStyle w:val="Hyperlink"/>
            <w:noProof/>
          </w:rPr>
          <w:t>Data sources and integration</w:t>
        </w:r>
        <w:r>
          <w:rPr>
            <w:noProof/>
            <w:webHidden/>
          </w:rPr>
          <w:tab/>
        </w:r>
        <w:r>
          <w:rPr>
            <w:noProof/>
            <w:webHidden/>
          </w:rPr>
          <w:fldChar w:fldCharType="begin"/>
        </w:r>
        <w:r>
          <w:rPr>
            <w:noProof/>
            <w:webHidden/>
          </w:rPr>
          <w:instrText xml:space="preserve"> PAGEREF _Toc231372547 \h </w:instrText>
        </w:r>
        <w:r>
          <w:rPr>
            <w:noProof/>
            <w:webHidden/>
          </w:rPr>
        </w:r>
        <w:r>
          <w:rPr>
            <w:noProof/>
            <w:webHidden/>
          </w:rPr>
          <w:fldChar w:fldCharType="separate"/>
        </w:r>
        <w:r>
          <w:rPr>
            <w:noProof/>
            <w:webHidden/>
          </w:rPr>
          <w:t>38</w:t>
        </w:r>
        <w:r>
          <w:rPr>
            <w:noProof/>
            <w:webHidden/>
          </w:rPr>
          <w:fldChar w:fldCharType="end"/>
        </w:r>
      </w:hyperlink>
    </w:p>
    <w:p w14:paraId="39F6ECB6" w14:textId="18379BE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48" w:history="1">
        <w:r w:rsidRPr="004F278F">
          <w:rPr>
            <w:rStyle w:val="Hyperlink"/>
            <w:noProof/>
          </w:rPr>
          <w:t>8.5</w:t>
        </w:r>
        <w:r>
          <w:rPr>
            <w:rFonts w:asciiTheme="minorHAnsi" w:eastAsiaTheme="minorEastAsia" w:hAnsiTheme="minorHAnsi" w:cstheme="minorBidi"/>
            <w:noProof/>
            <w:kern w:val="2"/>
            <w:lang w:val="en-IT"/>
            <w14:ligatures w14:val="standardContextual"/>
          </w:rPr>
          <w:tab/>
        </w:r>
        <w:r w:rsidRPr="004F278F">
          <w:rPr>
            <w:rStyle w:val="Hyperlink"/>
            <w:noProof/>
          </w:rPr>
          <w:t>Testing and verification</w:t>
        </w:r>
        <w:r>
          <w:rPr>
            <w:noProof/>
            <w:webHidden/>
          </w:rPr>
          <w:tab/>
        </w:r>
        <w:r>
          <w:rPr>
            <w:noProof/>
            <w:webHidden/>
          </w:rPr>
          <w:fldChar w:fldCharType="begin"/>
        </w:r>
        <w:r>
          <w:rPr>
            <w:noProof/>
            <w:webHidden/>
          </w:rPr>
          <w:instrText xml:space="preserve"> PAGEREF _Toc231372548 \h </w:instrText>
        </w:r>
        <w:r>
          <w:rPr>
            <w:noProof/>
            <w:webHidden/>
          </w:rPr>
        </w:r>
        <w:r>
          <w:rPr>
            <w:noProof/>
            <w:webHidden/>
          </w:rPr>
          <w:fldChar w:fldCharType="separate"/>
        </w:r>
        <w:r>
          <w:rPr>
            <w:noProof/>
            <w:webHidden/>
          </w:rPr>
          <w:t>38</w:t>
        </w:r>
        <w:r>
          <w:rPr>
            <w:noProof/>
            <w:webHidden/>
          </w:rPr>
          <w:fldChar w:fldCharType="end"/>
        </w:r>
      </w:hyperlink>
    </w:p>
    <w:p w14:paraId="50E3D344" w14:textId="297DB4BB" w:rsidR="005715FC" w:rsidRDefault="005715FC">
      <w:pPr>
        <w:pStyle w:val="TOC1"/>
        <w:rPr>
          <w:rFonts w:asciiTheme="minorHAnsi" w:eastAsiaTheme="minorEastAsia" w:hAnsiTheme="minorHAnsi" w:cstheme="minorBidi"/>
          <w:noProof/>
          <w:kern w:val="2"/>
          <w:lang w:val="en-IT"/>
          <w14:ligatures w14:val="standardContextual"/>
        </w:rPr>
      </w:pPr>
      <w:hyperlink w:anchor="_Toc231372549" w:history="1">
        <w:r w:rsidRPr="004F278F">
          <w:rPr>
            <w:rStyle w:val="Hyperlink"/>
            <w:noProof/>
          </w:rPr>
          <w:t>9.0</w:t>
        </w:r>
        <w:r>
          <w:rPr>
            <w:rFonts w:asciiTheme="minorHAnsi" w:eastAsiaTheme="minorEastAsia" w:hAnsiTheme="minorHAnsi" w:cstheme="minorBidi"/>
            <w:noProof/>
            <w:kern w:val="2"/>
            <w:lang w:val="en-IT"/>
            <w14:ligatures w14:val="standardContextual"/>
          </w:rPr>
          <w:tab/>
        </w:r>
        <w:r w:rsidRPr="004F278F">
          <w:rPr>
            <w:rStyle w:val="Hyperlink"/>
            <w:noProof/>
          </w:rPr>
          <w:t>Platform and Visualisation Design</w:t>
        </w:r>
        <w:r>
          <w:rPr>
            <w:noProof/>
            <w:webHidden/>
          </w:rPr>
          <w:tab/>
        </w:r>
        <w:r>
          <w:rPr>
            <w:noProof/>
            <w:webHidden/>
          </w:rPr>
          <w:fldChar w:fldCharType="begin"/>
        </w:r>
        <w:r>
          <w:rPr>
            <w:noProof/>
            <w:webHidden/>
          </w:rPr>
          <w:instrText xml:space="preserve"> PAGEREF _Toc231372549 \h </w:instrText>
        </w:r>
        <w:r>
          <w:rPr>
            <w:noProof/>
            <w:webHidden/>
          </w:rPr>
        </w:r>
        <w:r>
          <w:rPr>
            <w:noProof/>
            <w:webHidden/>
          </w:rPr>
          <w:fldChar w:fldCharType="separate"/>
        </w:r>
        <w:r>
          <w:rPr>
            <w:noProof/>
            <w:webHidden/>
          </w:rPr>
          <w:t>39</w:t>
        </w:r>
        <w:r>
          <w:rPr>
            <w:noProof/>
            <w:webHidden/>
          </w:rPr>
          <w:fldChar w:fldCharType="end"/>
        </w:r>
      </w:hyperlink>
    </w:p>
    <w:p w14:paraId="4F2CA6AD" w14:textId="330DCA25"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0" w:history="1">
        <w:r w:rsidRPr="004F278F">
          <w:rPr>
            <w:rStyle w:val="Hyperlink"/>
            <w:noProof/>
          </w:rPr>
          <w:t>9.1</w:t>
        </w:r>
        <w:r>
          <w:rPr>
            <w:rFonts w:asciiTheme="minorHAnsi" w:eastAsiaTheme="minorEastAsia" w:hAnsiTheme="minorHAnsi" w:cstheme="minorBidi"/>
            <w:noProof/>
            <w:kern w:val="2"/>
            <w:lang w:val="en-IT"/>
            <w14:ligatures w14:val="standardContextual"/>
          </w:rPr>
          <w:tab/>
        </w:r>
        <w:r w:rsidRPr="004F278F">
          <w:rPr>
            <w:rStyle w:val="Hyperlink"/>
            <w:noProof/>
          </w:rPr>
          <w:t>Application workflow and page structure</w:t>
        </w:r>
        <w:r>
          <w:rPr>
            <w:noProof/>
            <w:webHidden/>
          </w:rPr>
          <w:tab/>
        </w:r>
        <w:r>
          <w:rPr>
            <w:noProof/>
            <w:webHidden/>
          </w:rPr>
          <w:fldChar w:fldCharType="begin"/>
        </w:r>
        <w:r>
          <w:rPr>
            <w:noProof/>
            <w:webHidden/>
          </w:rPr>
          <w:instrText xml:space="preserve"> PAGEREF _Toc231372550 \h </w:instrText>
        </w:r>
        <w:r>
          <w:rPr>
            <w:noProof/>
            <w:webHidden/>
          </w:rPr>
        </w:r>
        <w:r>
          <w:rPr>
            <w:noProof/>
            <w:webHidden/>
          </w:rPr>
          <w:fldChar w:fldCharType="separate"/>
        </w:r>
        <w:r>
          <w:rPr>
            <w:noProof/>
            <w:webHidden/>
          </w:rPr>
          <w:t>39</w:t>
        </w:r>
        <w:r>
          <w:rPr>
            <w:noProof/>
            <w:webHidden/>
          </w:rPr>
          <w:fldChar w:fldCharType="end"/>
        </w:r>
      </w:hyperlink>
    </w:p>
    <w:p w14:paraId="7F0325EB" w14:textId="22A08A86"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1" w:history="1">
        <w:r w:rsidRPr="004F278F">
          <w:rPr>
            <w:rStyle w:val="Hyperlink"/>
            <w:noProof/>
          </w:rPr>
          <w:t>9.2</w:t>
        </w:r>
        <w:r>
          <w:rPr>
            <w:rFonts w:asciiTheme="minorHAnsi" w:eastAsiaTheme="minorEastAsia" w:hAnsiTheme="minorHAnsi" w:cstheme="minorBidi"/>
            <w:noProof/>
            <w:kern w:val="2"/>
            <w:lang w:val="en-IT"/>
            <w14:ligatures w14:val="standardContextual"/>
          </w:rPr>
          <w:tab/>
        </w:r>
        <w:r w:rsidRPr="004F278F">
          <w:rPr>
            <w:rStyle w:val="Hyperlink"/>
            <w:noProof/>
          </w:rPr>
          <w:t>Screening and prioritisation results</w:t>
        </w:r>
        <w:r>
          <w:rPr>
            <w:noProof/>
            <w:webHidden/>
          </w:rPr>
          <w:tab/>
        </w:r>
        <w:r>
          <w:rPr>
            <w:noProof/>
            <w:webHidden/>
          </w:rPr>
          <w:fldChar w:fldCharType="begin"/>
        </w:r>
        <w:r>
          <w:rPr>
            <w:noProof/>
            <w:webHidden/>
          </w:rPr>
          <w:instrText xml:space="preserve"> PAGEREF _Toc231372551 \h </w:instrText>
        </w:r>
        <w:r>
          <w:rPr>
            <w:noProof/>
            <w:webHidden/>
          </w:rPr>
        </w:r>
        <w:r>
          <w:rPr>
            <w:noProof/>
            <w:webHidden/>
          </w:rPr>
          <w:fldChar w:fldCharType="separate"/>
        </w:r>
        <w:r>
          <w:rPr>
            <w:noProof/>
            <w:webHidden/>
          </w:rPr>
          <w:t>39</w:t>
        </w:r>
        <w:r>
          <w:rPr>
            <w:noProof/>
            <w:webHidden/>
          </w:rPr>
          <w:fldChar w:fldCharType="end"/>
        </w:r>
      </w:hyperlink>
    </w:p>
    <w:p w14:paraId="36D297DE" w14:textId="0342E80C"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2" w:history="1">
        <w:r w:rsidRPr="004F278F">
          <w:rPr>
            <w:rStyle w:val="Hyperlink"/>
            <w:noProof/>
          </w:rPr>
          <w:t>9.3</w:t>
        </w:r>
        <w:r>
          <w:rPr>
            <w:rFonts w:asciiTheme="minorHAnsi" w:eastAsiaTheme="minorEastAsia" w:hAnsiTheme="minorHAnsi" w:cstheme="minorBidi"/>
            <w:noProof/>
            <w:kern w:val="2"/>
            <w:lang w:val="en-IT"/>
            <w14:ligatures w14:val="standardContextual"/>
          </w:rPr>
          <w:tab/>
        </w:r>
        <w:r w:rsidRPr="004F278F">
          <w:rPr>
            <w:rStyle w:val="Hyperlink"/>
            <w:noProof/>
          </w:rPr>
          <w:t>Risk matrix and verbal summaries</w:t>
        </w:r>
        <w:r>
          <w:rPr>
            <w:noProof/>
            <w:webHidden/>
          </w:rPr>
          <w:tab/>
        </w:r>
        <w:r>
          <w:rPr>
            <w:noProof/>
            <w:webHidden/>
          </w:rPr>
          <w:fldChar w:fldCharType="begin"/>
        </w:r>
        <w:r>
          <w:rPr>
            <w:noProof/>
            <w:webHidden/>
          </w:rPr>
          <w:instrText xml:space="preserve"> PAGEREF _Toc231372552 \h </w:instrText>
        </w:r>
        <w:r>
          <w:rPr>
            <w:noProof/>
            <w:webHidden/>
          </w:rPr>
        </w:r>
        <w:r>
          <w:rPr>
            <w:noProof/>
            <w:webHidden/>
          </w:rPr>
          <w:fldChar w:fldCharType="separate"/>
        </w:r>
        <w:r>
          <w:rPr>
            <w:noProof/>
            <w:webHidden/>
          </w:rPr>
          <w:t>39</w:t>
        </w:r>
        <w:r>
          <w:rPr>
            <w:noProof/>
            <w:webHidden/>
          </w:rPr>
          <w:fldChar w:fldCharType="end"/>
        </w:r>
      </w:hyperlink>
    </w:p>
    <w:p w14:paraId="4818DDEA" w14:textId="22ED30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3" w:history="1">
        <w:r w:rsidRPr="004F278F">
          <w:rPr>
            <w:rStyle w:val="Hyperlink"/>
            <w:noProof/>
          </w:rPr>
          <w:t>9.4</w:t>
        </w:r>
        <w:r>
          <w:rPr>
            <w:rFonts w:asciiTheme="minorHAnsi" w:eastAsiaTheme="minorEastAsia" w:hAnsiTheme="minorHAnsi" w:cstheme="minorBidi"/>
            <w:noProof/>
            <w:kern w:val="2"/>
            <w:lang w:val="en-IT"/>
            <w14:ligatures w14:val="standardContextual"/>
          </w:rPr>
          <w:tab/>
        </w:r>
        <w:r w:rsidRPr="004F278F">
          <w:rPr>
            <w:rStyle w:val="Hyperlink"/>
            <w:noProof/>
          </w:rPr>
          <w:t>Reporting and export</w:t>
        </w:r>
        <w:r>
          <w:rPr>
            <w:noProof/>
            <w:webHidden/>
          </w:rPr>
          <w:tab/>
        </w:r>
        <w:r>
          <w:rPr>
            <w:noProof/>
            <w:webHidden/>
          </w:rPr>
          <w:fldChar w:fldCharType="begin"/>
        </w:r>
        <w:r>
          <w:rPr>
            <w:noProof/>
            <w:webHidden/>
          </w:rPr>
          <w:instrText xml:space="preserve"> PAGEREF _Toc231372553 \h </w:instrText>
        </w:r>
        <w:r>
          <w:rPr>
            <w:noProof/>
            <w:webHidden/>
          </w:rPr>
        </w:r>
        <w:r>
          <w:rPr>
            <w:noProof/>
            <w:webHidden/>
          </w:rPr>
          <w:fldChar w:fldCharType="separate"/>
        </w:r>
        <w:r>
          <w:rPr>
            <w:noProof/>
            <w:webHidden/>
          </w:rPr>
          <w:t>39</w:t>
        </w:r>
        <w:r>
          <w:rPr>
            <w:noProof/>
            <w:webHidden/>
          </w:rPr>
          <w:fldChar w:fldCharType="end"/>
        </w:r>
      </w:hyperlink>
    </w:p>
    <w:p w14:paraId="7D0631AC" w14:textId="7A5BC7D4"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4" w:history="1">
        <w:r w:rsidRPr="004F278F">
          <w:rPr>
            <w:rStyle w:val="Hyperlink"/>
            <w:noProof/>
          </w:rPr>
          <w:t>9.5</w:t>
        </w:r>
        <w:r>
          <w:rPr>
            <w:rFonts w:asciiTheme="minorHAnsi" w:eastAsiaTheme="minorEastAsia" w:hAnsiTheme="minorHAnsi" w:cstheme="minorBidi"/>
            <w:noProof/>
            <w:kern w:val="2"/>
            <w:lang w:val="en-IT"/>
            <w14:ligatures w14:val="standardContextual"/>
          </w:rPr>
          <w:tab/>
        </w:r>
        <w:r w:rsidRPr="004F278F">
          <w:rPr>
            <w:rStyle w:val="Hyperlink"/>
            <w:noProof/>
          </w:rPr>
          <w:t>Visual alignment with the parent platform</w:t>
        </w:r>
        <w:r>
          <w:rPr>
            <w:noProof/>
            <w:webHidden/>
          </w:rPr>
          <w:tab/>
        </w:r>
        <w:r>
          <w:rPr>
            <w:noProof/>
            <w:webHidden/>
          </w:rPr>
          <w:fldChar w:fldCharType="begin"/>
        </w:r>
        <w:r>
          <w:rPr>
            <w:noProof/>
            <w:webHidden/>
          </w:rPr>
          <w:instrText xml:space="preserve"> PAGEREF _Toc231372554 \h </w:instrText>
        </w:r>
        <w:r>
          <w:rPr>
            <w:noProof/>
            <w:webHidden/>
          </w:rPr>
        </w:r>
        <w:r>
          <w:rPr>
            <w:noProof/>
            <w:webHidden/>
          </w:rPr>
          <w:fldChar w:fldCharType="separate"/>
        </w:r>
        <w:r>
          <w:rPr>
            <w:noProof/>
            <w:webHidden/>
          </w:rPr>
          <w:t>39</w:t>
        </w:r>
        <w:r>
          <w:rPr>
            <w:noProof/>
            <w:webHidden/>
          </w:rPr>
          <w:fldChar w:fldCharType="end"/>
        </w:r>
      </w:hyperlink>
    </w:p>
    <w:p w14:paraId="71AC8140" w14:textId="6D462C40" w:rsidR="005715FC" w:rsidRDefault="005715FC">
      <w:pPr>
        <w:pStyle w:val="TOC1"/>
        <w:rPr>
          <w:rFonts w:asciiTheme="minorHAnsi" w:eastAsiaTheme="minorEastAsia" w:hAnsiTheme="minorHAnsi" w:cstheme="minorBidi"/>
          <w:noProof/>
          <w:kern w:val="2"/>
          <w:lang w:val="en-IT"/>
          <w14:ligatures w14:val="standardContextual"/>
        </w:rPr>
      </w:pPr>
      <w:hyperlink w:anchor="_Toc231372555" w:history="1">
        <w:r w:rsidRPr="004F278F">
          <w:rPr>
            <w:rStyle w:val="Hyperlink"/>
            <w:noProof/>
          </w:rPr>
          <w:t>10.0</w:t>
        </w:r>
        <w:r>
          <w:rPr>
            <w:rFonts w:asciiTheme="minorHAnsi" w:eastAsiaTheme="minorEastAsia" w:hAnsiTheme="minorHAnsi" w:cstheme="minorBidi"/>
            <w:noProof/>
            <w:kern w:val="2"/>
            <w:lang w:val="en-IT"/>
            <w14:ligatures w14:val="standardContextual"/>
          </w:rPr>
          <w:tab/>
        </w:r>
        <w:r w:rsidRPr="004F278F">
          <w:rPr>
            <w:rStyle w:val="Hyperlink"/>
            <w:noProof/>
          </w:rPr>
          <w:t>Case Study</w:t>
        </w:r>
        <w:r>
          <w:rPr>
            <w:noProof/>
            <w:webHidden/>
          </w:rPr>
          <w:tab/>
        </w:r>
        <w:r>
          <w:rPr>
            <w:noProof/>
            <w:webHidden/>
          </w:rPr>
          <w:fldChar w:fldCharType="begin"/>
        </w:r>
        <w:r>
          <w:rPr>
            <w:noProof/>
            <w:webHidden/>
          </w:rPr>
          <w:instrText xml:space="preserve"> PAGEREF _Toc231372555 \h </w:instrText>
        </w:r>
        <w:r>
          <w:rPr>
            <w:noProof/>
            <w:webHidden/>
          </w:rPr>
        </w:r>
        <w:r>
          <w:rPr>
            <w:noProof/>
            <w:webHidden/>
          </w:rPr>
          <w:fldChar w:fldCharType="separate"/>
        </w:r>
        <w:r>
          <w:rPr>
            <w:noProof/>
            <w:webHidden/>
          </w:rPr>
          <w:t>40</w:t>
        </w:r>
        <w:r>
          <w:rPr>
            <w:noProof/>
            <w:webHidden/>
          </w:rPr>
          <w:fldChar w:fldCharType="end"/>
        </w:r>
      </w:hyperlink>
    </w:p>
    <w:p w14:paraId="01E77881" w14:textId="3BDE747A"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6" w:history="1">
        <w:r w:rsidRPr="004F278F">
          <w:rPr>
            <w:rStyle w:val="Hyperlink"/>
            <w:noProof/>
          </w:rPr>
          <w:t>10.1</w:t>
        </w:r>
        <w:r>
          <w:rPr>
            <w:rFonts w:asciiTheme="minorHAnsi" w:eastAsiaTheme="minorEastAsia" w:hAnsiTheme="minorHAnsi" w:cstheme="minorBidi"/>
            <w:noProof/>
            <w:kern w:val="2"/>
            <w:lang w:val="en-IT"/>
            <w14:ligatures w14:val="standardContextual"/>
          </w:rPr>
          <w:tab/>
        </w:r>
        <w:r w:rsidRPr="004F278F">
          <w:rPr>
            <w:rStyle w:val="Hyperlink"/>
            <w:noProof/>
          </w:rPr>
          <w:t>Method</w:t>
        </w:r>
        <w:r>
          <w:rPr>
            <w:noProof/>
            <w:webHidden/>
          </w:rPr>
          <w:tab/>
        </w:r>
        <w:r>
          <w:rPr>
            <w:noProof/>
            <w:webHidden/>
          </w:rPr>
          <w:fldChar w:fldCharType="begin"/>
        </w:r>
        <w:r>
          <w:rPr>
            <w:noProof/>
            <w:webHidden/>
          </w:rPr>
          <w:instrText xml:space="preserve"> PAGEREF _Toc231372556 \h </w:instrText>
        </w:r>
        <w:r>
          <w:rPr>
            <w:noProof/>
            <w:webHidden/>
          </w:rPr>
        </w:r>
        <w:r>
          <w:rPr>
            <w:noProof/>
            <w:webHidden/>
          </w:rPr>
          <w:fldChar w:fldCharType="separate"/>
        </w:r>
        <w:r>
          <w:rPr>
            <w:noProof/>
            <w:webHidden/>
          </w:rPr>
          <w:t>40</w:t>
        </w:r>
        <w:r>
          <w:rPr>
            <w:noProof/>
            <w:webHidden/>
          </w:rPr>
          <w:fldChar w:fldCharType="end"/>
        </w:r>
      </w:hyperlink>
    </w:p>
    <w:p w14:paraId="280690E8" w14:textId="5C2616C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7" w:history="1">
        <w:r w:rsidRPr="004F278F">
          <w:rPr>
            <w:rStyle w:val="Hyperlink"/>
            <w:noProof/>
          </w:rPr>
          <w:t>10.2</w:t>
        </w:r>
        <w:r>
          <w:rPr>
            <w:rFonts w:asciiTheme="minorHAnsi" w:eastAsiaTheme="minorEastAsia" w:hAnsiTheme="minorHAnsi" w:cstheme="minorBidi"/>
            <w:noProof/>
            <w:kern w:val="2"/>
            <w:lang w:val="en-IT"/>
            <w14:ligatures w14:val="standardContextual"/>
          </w:rPr>
          <w:tab/>
        </w:r>
        <w:r w:rsidRPr="004F278F">
          <w:rPr>
            <w:rStyle w:val="Hyperlink"/>
            <w:noProof/>
          </w:rPr>
          <w:t>High-signal site</w:t>
        </w:r>
        <w:r>
          <w:rPr>
            <w:noProof/>
            <w:webHidden/>
          </w:rPr>
          <w:tab/>
        </w:r>
        <w:r>
          <w:rPr>
            <w:noProof/>
            <w:webHidden/>
          </w:rPr>
          <w:fldChar w:fldCharType="begin"/>
        </w:r>
        <w:r>
          <w:rPr>
            <w:noProof/>
            <w:webHidden/>
          </w:rPr>
          <w:instrText xml:space="preserve"> PAGEREF _Toc231372557 \h </w:instrText>
        </w:r>
        <w:r>
          <w:rPr>
            <w:noProof/>
            <w:webHidden/>
          </w:rPr>
        </w:r>
        <w:r>
          <w:rPr>
            <w:noProof/>
            <w:webHidden/>
          </w:rPr>
          <w:fldChar w:fldCharType="separate"/>
        </w:r>
        <w:r>
          <w:rPr>
            <w:noProof/>
            <w:webHidden/>
          </w:rPr>
          <w:t>40</w:t>
        </w:r>
        <w:r>
          <w:rPr>
            <w:noProof/>
            <w:webHidden/>
          </w:rPr>
          <w:fldChar w:fldCharType="end"/>
        </w:r>
      </w:hyperlink>
    </w:p>
    <w:p w14:paraId="1EF1D5EC" w14:textId="548475CF"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8" w:history="1">
        <w:r w:rsidRPr="004F278F">
          <w:rPr>
            <w:rStyle w:val="Hyperlink"/>
            <w:noProof/>
          </w:rPr>
          <w:t>10.3</w:t>
        </w:r>
        <w:r>
          <w:rPr>
            <w:rFonts w:asciiTheme="minorHAnsi" w:eastAsiaTheme="minorEastAsia" w:hAnsiTheme="minorHAnsi" w:cstheme="minorBidi"/>
            <w:noProof/>
            <w:kern w:val="2"/>
            <w:lang w:val="en-IT"/>
            <w14:ligatures w14:val="standardContextual"/>
          </w:rPr>
          <w:tab/>
        </w:r>
        <w:r w:rsidRPr="004F278F">
          <w:rPr>
            <w:rStyle w:val="Hyperlink"/>
            <w:noProof/>
          </w:rPr>
          <w:t>Low-signal site</w:t>
        </w:r>
        <w:r>
          <w:rPr>
            <w:noProof/>
            <w:webHidden/>
          </w:rPr>
          <w:tab/>
        </w:r>
        <w:r>
          <w:rPr>
            <w:noProof/>
            <w:webHidden/>
          </w:rPr>
          <w:fldChar w:fldCharType="begin"/>
        </w:r>
        <w:r>
          <w:rPr>
            <w:noProof/>
            <w:webHidden/>
          </w:rPr>
          <w:instrText xml:space="preserve"> PAGEREF _Toc231372558 \h </w:instrText>
        </w:r>
        <w:r>
          <w:rPr>
            <w:noProof/>
            <w:webHidden/>
          </w:rPr>
        </w:r>
        <w:r>
          <w:rPr>
            <w:noProof/>
            <w:webHidden/>
          </w:rPr>
          <w:fldChar w:fldCharType="separate"/>
        </w:r>
        <w:r>
          <w:rPr>
            <w:noProof/>
            <w:webHidden/>
          </w:rPr>
          <w:t>40</w:t>
        </w:r>
        <w:r>
          <w:rPr>
            <w:noProof/>
            <w:webHidden/>
          </w:rPr>
          <w:fldChar w:fldCharType="end"/>
        </w:r>
      </w:hyperlink>
    </w:p>
    <w:p w14:paraId="3EA88DB6" w14:textId="71C92B27"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59" w:history="1">
        <w:r w:rsidRPr="004F278F">
          <w:rPr>
            <w:rStyle w:val="Hyperlink"/>
            <w:noProof/>
          </w:rPr>
          <w:t>10.4</w:t>
        </w:r>
        <w:r>
          <w:rPr>
            <w:rFonts w:asciiTheme="minorHAnsi" w:eastAsiaTheme="minorEastAsia" w:hAnsiTheme="minorHAnsi" w:cstheme="minorBidi"/>
            <w:noProof/>
            <w:kern w:val="2"/>
            <w:lang w:val="en-IT"/>
            <w14:ligatures w14:val="standardContextual"/>
          </w:rPr>
          <w:tab/>
        </w:r>
        <w:r w:rsidRPr="004F278F">
          <w:rPr>
            <w:rStyle w:val="Hyperlink"/>
            <w:noProof/>
          </w:rPr>
          <w:t>Discussion of results</w:t>
        </w:r>
        <w:r>
          <w:rPr>
            <w:noProof/>
            <w:webHidden/>
          </w:rPr>
          <w:tab/>
        </w:r>
        <w:r>
          <w:rPr>
            <w:noProof/>
            <w:webHidden/>
          </w:rPr>
          <w:fldChar w:fldCharType="begin"/>
        </w:r>
        <w:r>
          <w:rPr>
            <w:noProof/>
            <w:webHidden/>
          </w:rPr>
          <w:instrText xml:space="preserve"> PAGEREF _Toc231372559 \h </w:instrText>
        </w:r>
        <w:r>
          <w:rPr>
            <w:noProof/>
            <w:webHidden/>
          </w:rPr>
        </w:r>
        <w:r>
          <w:rPr>
            <w:noProof/>
            <w:webHidden/>
          </w:rPr>
          <w:fldChar w:fldCharType="separate"/>
        </w:r>
        <w:r>
          <w:rPr>
            <w:noProof/>
            <w:webHidden/>
          </w:rPr>
          <w:t>40</w:t>
        </w:r>
        <w:r>
          <w:rPr>
            <w:noProof/>
            <w:webHidden/>
          </w:rPr>
          <w:fldChar w:fldCharType="end"/>
        </w:r>
      </w:hyperlink>
    </w:p>
    <w:p w14:paraId="635143D3" w14:textId="29B0378F" w:rsidR="005715FC" w:rsidRDefault="005715FC">
      <w:pPr>
        <w:pStyle w:val="TOC1"/>
        <w:rPr>
          <w:rFonts w:asciiTheme="minorHAnsi" w:eastAsiaTheme="minorEastAsia" w:hAnsiTheme="minorHAnsi" w:cstheme="minorBidi"/>
          <w:noProof/>
          <w:kern w:val="2"/>
          <w:lang w:val="en-IT"/>
          <w14:ligatures w14:val="standardContextual"/>
        </w:rPr>
      </w:pPr>
      <w:hyperlink w:anchor="_Toc231372560" w:history="1">
        <w:r w:rsidRPr="004F278F">
          <w:rPr>
            <w:rStyle w:val="Hyperlink"/>
            <w:noProof/>
          </w:rPr>
          <w:t>11.0</w:t>
        </w:r>
        <w:r>
          <w:rPr>
            <w:rFonts w:asciiTheme="minorHAnsi" w:eastAsiaTheme="minorEastAsia" w:hAnsiTheme="minorHAnsi" w:cstheme="minorBidi"/>
            <w:noProof/>
            <w:kern w:val="2"/>
            <w:lang w:val="en-IT"/>
            <w14:ligatures w14:val="standardContextual"/>
          </w:rPr>
          <w:tab/>
        </w:r>
        <w:r w:rsidRPr="004F278F">
          <w:rPr>
            <w:rStyle w:val="Hyperlink"/>
            <w:noProof/>
          </w:rPr>
          <w:t>Discussion</w:t>
        </w:r>
        <w:r>
          <w:rPr>
            <w:noProof/>
            <w:webHidden/>
          </w:rPr>
          <w:tab/>
        </w:r>
        <w:r>
          <w:rPr>
            <w:noProof/>
            <w:webHidden/>
          </w:rPr>
          <w:fldChar w:fldCharType="begin"/>
        </w:r>
        <w:r>
          <w:rPr>
            <w:noProof/>
            <w:webHidden/>
          </w:rPr>
          <w:instrText xml:space="preserve"> PAGEREF _Toc231372560 \h </w:instrText>
        </w:r>
        <w:r>
          <w:rPr>
            <w:noProof/>
            <w:webHidden/>
          </w:rPr>
        </w:r>
        <w:r>
          <w:rPr>
            <w:noProof/>
            <w:webHidden/>
          </w:rPr>
          <w:fldChar w:fldCharType="separate"/>
        </w:r>
        <w:r>
          <w:rPr>
            <w:noProof/>
            <w:webHidden/>
          </w:rPr>
          <w:t>41</w:t>
        </w:r>
        <w:r>
          <w:rPr>
            <w:noProof/>
            <w:webHidden/>
          </w:rPr>
          <w:fldChar w:fldCharType="end"/>
        </w:r>
      </w:hyperlink>
    </w:p>
    <w:p w14:paraId="3FA3E525" w14:textId="67FA09C1"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1" w:history="1">
        <w:r w:rsidRPr="004F278F">
          <w:rPr>
            <w:rStyle w:val="Hyperlink"/>
            <w:noProof/>
          </w:rPr>
          <w:t>11.1</w:t>
        </w:r>
        <w:r>
          <w:rPr>
            <w:rFonts w:asciiTheme="minorHAnsi" w:eastAsiaTheme="minorEastAsia" w:hAnsiTheme="minorHAnsi" w:cstheme="minorBidi"/>
            <w:noProof/>
            <w:kern w:val="2"/>
            <w:lang w:val="en-IT"/>
            <w14:ligatures w14:val="standardContextual"/>
          </w:rPr>
          <w:tab/>
        </w:r>
        <w:r w:rsidRPr="004F278F">
          <w:rPr>
            <w:rStyle w:val="Hyperlink"/>
            <w:noProof/>
          </w:rPr>
          <w:t>Achievement against objectives</w:t>
        </w:r>
        <w:r>
          <w:rPr>
            <w:noProof/>
            <w:webHidden/>
          </w:rPr>
          <w:tab/>
        </w:r>
        <w:r>
          <w:rPr>
            <w:noProof/>
            <w:webHidden/>
          </w:rPr>
          <w:fldChar w:fldCharType="begin"/>
        </w:r>
        <w:r>
          <w:rPr>
            <w:noProof/>
            <w:webHidden/>
          </w:rPr>
          <w:instrText xml:space="preserve"> PAGEREF _Toc231372561 \h </w:instrText>
        </w:r>
        <w:r>
          <w:rPr>
            <w:noProof/>
            <w:webHidden/>
          </w:rPr>
        </w:r>
        <w:r>
          <w:rPr>
            <w:noProof/>
            <w:webHidden/>
          </w:rPr>
          <w:fldChar w:fldCharType="separate"/>
        </w:r>
        <w:r>
          <w:rPr>
            <w:noProof/>
            <w:webHidden/>
          </w:rPr>
          <w:t>41</w:t>
        </w:r>
        <w:r>
          <w:rPr>
            <w:noProof/>
            <w:webHidden/>
          </w:rPr>
          <w:fldChar w:fldCharType="end"/>
        </w:r>
      </w:hyperlink>
    </w:p>
    <w:p w14:paraId="0D9AA113" w14:textId="227A82D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2" w:history="1">
        <w:r w:rsidRPr="004F278F">
          <w:rPr>
            <w:rStyle w:val="Hyperlink"/>
            <w:noProof/>
          </w:rPr>
          <w:t>11.2</w:t>
        </w:r>
        <w:r>
          <w:rPr>
            <w:rFonts w:asciiTheme="minorHAnsi" w:eastAsiaTheme="minorEastAsia" w:hAnsiTheme="minorHAnsi" w:cstheme="minorBidi"/>
            <w:noProof/>
            <w:kern w:val="2"/>
            <w:lang w:val="en-IT"/>
            <w14:ligatures w14:val="standardContextual"/>
          </w:rPr>
          <w:tab/>
        </w:r>
        <w:r w:rsidRPr="004F278F">
          <w:rPr>
            <w:rStyle w:val="Hyperlink"/>
            <w:noProof/>
          </w:rPr>
          <w:t>Limitations</w:t>
        </w:r>
        <w:r>
          <w:rPr>
            <w:noProof/>
            <w:webHidden/>
          </w:rPr>
          <w:tab/>
        </w:r>
        <w:r>
          <w:rPr>
            <w:noProof/>
            <w:webHidden/>
          </w:rPr>
          <w:fldChar w:fldCharType="begin"/>
        </w:r>
        <w:r>
          <w:rPr>
            <w:noProof/>
            <w:webHidden/>
          </w:rPr>
          <w:instrText xml:space="preserve"> PAGEREF _Toc231372562 \h </w:instrText>
        </w:r>
        <w:r>
          <w:rPr>
            <w:noProof/>
            <w:webHidden/>
          </w:rPr>
        </w:r>
        <w:r>
          <w:rPr>
            <w:noProof/>
            <w:webHidden/>
          </w:rPr>
          <w:fldChar w:fldCharType="separate"/>
        </w:r>
        <w:r>
          <w:rPr>
            <w:noProof/>
            <w:webHidden/>
          </w:rPr>
          <w:t>41</w:t>
        </w:r>
        <w:r>
          <w:rPr>
            <w:noProof/>
            <w:webHidden/>
          </w:rPr>
          <w:fldChar w:fldCharType="end"/>
        </w:r>
      </w:hyperlink>
    </w:p>
    <w:p w14:paraId="00220736" w14:textId="0BB916C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3" w:history="1">
        <w:r w:rsidRPr="004F278F">
          <w:rPr>
            <w:rStyle w:val="Hyperlink"/>
            <w:noProof/>
          </w:rPr>
          <w:t>11.3</w:t>
        </w:r>
        <w:r>
          <w:rPr>
            <w:rFonts w:asciiTheme="minorHAnsi" w:eastAsiaTheme="minorEastAsia" w:hAnsiTheme="minorHAnsi" w:cstheme="minorBidi"/>
            <w:noProof/>
            <w:kern w:val="2"/>
            <w:lang w:val="en-IT"/>
            <w14:ligatures w14:val="standardContextual"/>
          </w:rPr>
          <w:tab/>
        </w:r>
        <w:r w:rsidRPr="004F278F">
          <w:rPr>
            <w:rStyle w:val="Hyperlink"/>
            <w:noProof/>
          </w:rPr>
          <w:t>What satellite data can responsibly claim</w:t>
        </w:r>
        <w:r>
          <w:rPr>
            <w:noProof/>
            <w:webHidden/>
          </w:rPr>
          <w:tab/>
        </w:r>
        <w:r>
          <w:rPr>
            <w:noProof/>
            <w:webHidden/>
          </w:rPr>
          <w:fldChar w:fldCharType="begin"/>
        </w:r>
        <w:r>
          <w:rPr>
            <w:noProof/>
            <w:webHidden/>
          </w:rPr>
          <w:instrText xml:space="preserve"> PAGEREF _Toc231372563 \h </w:instrText>
        </w:r>
        <w:r>
          <w:rPr>
            <w:noProof/>
            <w:webHidden/>
          </w:rPr>
        </w:r>
        <w:r>
          <w:rPr>
            <w:noProof/>
            <w:webHidden/>
          </w:rPr>
          <w:fldChar w:fldCharType="separate"/>
        </w:r>
        <w:r>
          <w:rPr>
            <w:noProof/>
            <w:webHidden/>
          </w:rPr>
          <w:t>41</w:t>
        </w:r>
        <w:r>
          <w:rPr>
            <w:noProof/>
            <w:webHidden/>
          </w:rPr>
          <w:fldChar w:fldCharType="end"/>
        </w:r>
      </w:hyperlink>
    </w:p>
    <w:p w14:paraId="347B43A9" w14:textId="6EBC49DD" w:rsidR="005715FC" w:rsidRDefault="005715FC">
      <w:pPr>
        <w:pStyle w:val="TOC1"/>
        <w:rPr>
          <w:rFonts w:asciiTheme="minorHAnsi" w:eastAsiaTheme="minorEastAsia" w:hAnsiTheme="minorHAnsi" w:cstheme="minorBidi"/>
          <w:noProof/>
          <w:kern w:val="2"/>
          <w:lang w:val="en-IT"/>
          <w14:ligatures w14:val="standardContextual"/>
        </w:rPr>
      </w:pPr>
      <w:hyperlink w:anchor="_Toc231372564" w:history="1">
        <w:r w:rsidRPr="004F278F">
          <w:rPr>
            <w:rStyle w:val="Hyperlink"/>
            <w:noProof/>
          </w:rPr>
          <w:t>12.0</w:t>
        </w:r>
        <w:r>
          <w:rPr>
            <w:rFonts w:asciiTheme="minorHAnsi" w:eastAsiaTheme="minorEastAsia" w:hAnsiTheme="minorHAnsi" w:cstheme="minorBidi"/>
            <w:noProof/>
            <w:kern w:val="2"/>
            <w:lang w:val="en-IT"/>
            <w14:ligatures w14:val="standardContextual"/>
          </w:rPr>
          <w:tab/>
        </w:r>
        <w:r w:rsidRPr="004F278F">
          <w:rPr>
            <w:rStyle w:val="Hyperlink"/>
            <w:noProof/>
          </w:rPr>
          <w:t>Conclusions and Recommendations</w:t>
        </w:r>
        <w:r>
          <w:rPr>
            <w:noProof/>
            <w:webHidden/>
          </w:rPr>
          <w:tab/>
        </w:r>
        <w:r>
          <w:rPr>
            <w:noProof/>
            <w:webHidden/>
          </w:rPr>
          <w:fldChar w:fldCharType="begin"/>
        </w:r>
        <w:r>
          <w:rPr>
            <w:noProof/>
            <w:webHidden/>
          </w:rPr>
          <w:instrText xml:space="preserve"> PAGEREF _Toc231372564 \h </w:instrText>
        </w:r>
        <w:r>
          <w:rPr>
            <w:noProof/>
            <w:webHidden/>
          </w:rPr>
        </w:r>
        <w:r>
          <w:rPr>
            <w:noProof/>
            <w:webHidden/>
          </w:rPr>
          <w:fldChar w:fldCharType="separate"/>
        </w:r>
        <w:r>
          <w:rPr>
            <w:noProof/>
            <w:webHidden/>
          </w:rPr>
          <w:t>42</w:t>
        </w:r>
        <w:r>
          <w:rPr>
            <w:noProof/>
            <w:webHidden/>
          </w:rPr>
          <w:fldChar w:fldCharType="end"/>
        </w:r>
      </w:hyperlink>
    </w:p>
    <w:p w14:paraId="77DF8834" w14:textId="3C8D957D"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5" w:history="1">
        <w:r w:rsidRPr="004F278F">
          <w:rPr>
            <w:rStyle w:val="Hyperlink"/>
            <w:noProof/>
          </w:rPr>
          <w:t>12.1</w:t>
        </w:r>
        <w:r>
          <w:rPr>
            <w:rFonts w:asciiTheme="minorHAnsi" w:eastAsiaTheme="minorEastAsia" w:hAnsiTheme="minorHAnsi" w:cstheme="minorBidi"/>
            <w:noProof/>
            <w:kern w:val="2"/>
            <w:lang w:val="en-IT"/>
            <w14:ligatures w14:val="standardContextual"/>
          </w:rPr>
          <w:tab/>
        </w:r>
        <w:r w:rsidRPr="004F278F">
          <w:rPr>
            <w:rStyle w:val="Hyperlink"/>
            <w:noProof/>
          </w:rPr>
          <w:t>Conclusions</w:t>
        </w:r>
        <w:r>
          <w:rPr>
            <w:noProof/>
            <w:webHidden/>
          </w:rPr>
          <w:tab/>
        </w:r>
        <w:r>
          <w:rPr>
            <w:noProof/>
            <w:webHidden/>
          </w:rPr>
          <w:fldChar w:fldCharType="begin"/>
        </w:r>
        <w:r>
          <w:rPr>
            <w:noProof/>
            <w:webHidden/>
          </w:rPr>
          <w:instrText xml:space="preserve"> PAGEREF _Toc231372565 \h </w:instrText>
        </w:r>
        <w:r>
          <w:rPr>
            <w:noProof/>
            <w:webHidden/>
          </w:rPr>
        </w:r>
        <w:r>
          <w:rPr>
            <w:noProof/>
            <w:webHidden/>
          </w:rPr>
          <w:fldChar w:fldCharType="separate"/>
        </w:r>
        <w:r>
          <w:rPr>
            <w:noProof/>
            <w:webHidden/>
          </w:rPr>
          <w:t>42</w:t>
        </w:r>
        <w:r>
          <w:rPr>
            <w:noProof/>
            <w:webHidden/>
          </w:rPr>
          <w:fldChar w:fldCharType="end"/>
        </w:r>
      </w:hyperlink>
    </w:p>
    <w:p w14:paraId="55792B00" w14:textId="605783C3"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6" w:history="1">
        <w:r w:rsidRPr="004F278F">
          <w:rPr>
            <w:rStyle w:val="Hyperlink"/>
            <w:noProof/>
          </w:rPr>
          <w:t>12.2</w:t>
        </w:r>
        <w:r>
          <w:rPr>
            <w:rFonts w:asciiTheme="minorHAnsi" w:eastAsiaTheme="minorEastAsia" w:hAnsiTheme="minorHAnsi" w:cstheme="minorBidi"/>
            <w:noProof/>
            <w:kern w:val="2"/>
            <w:lang w:val="en-IT"/>
            <w14:ligatures w14:val="standardContextual"/>
          </w:rPr>
          <w:tab/>
        </w:r>
        <w:r w:rsidRPr="004F278F">
          <w:rPr>
            <w:rStyle w:val="Hyperlink"/>
            <w:noProof/>
          </w:rPr>
          <w:t>Recommendations for the GSCO team</w:t>
        </w:r>
        <w:r>
          <w:rPr>
            <w:noProof/>
            <w:webHidden/>
          </w:rPr>
          <w:tab/>
        </w:r>
        <w:r>
          <w:rPr>
            <w:noProof/>
            <w:webHidden/>
          </w:rPr>
          <w:fldChar w:fldCharType="begin"/>
        </w:r>
        <w:r>
          <w:rPr>
            <w:noProof/>
            <w:webHidden/>
          </w:rPr>
          <w:instrText xml:space="preserve"> PAGEREF _Toc231372566 \h </w:instrText>
        </w:r>
        <w:r>
          <w:rPr>
            <w:noProof/>
            <w:webHidden/>
          </w:rPr>
        </w:r>
        <w:r>
          <w:rPr>
            <w:noProof/>
            <w:webHidden/>
          </w:rPr>
          <w:fldChar w:fldCharType="separate"/>
        </w:r>
        <w:r>
          <w:rPr>
            <w:noProof/>
            <w:webHidden/>
          </w:rPr>
          <w:t>42</w:t>
        </w:r>
        <w:r>
          <w:rPr>
            <w:noProof/>
            <w:webHidden/>
          </w:rPr>
          <w:fldChar w:fldCharType="end"/>
        </w:r>
      </w:hyperlink>
    </w:p>
    <w:p w14:paraId="24737F6F" w14:textId="3534EDA2" w:rsidR="005715FC" w:rsidRDefault="005715FC">
      <w:pPr>
        <w:pStyle w:val="TOC3"/>
        <w:tabs>
          <w:tab w:val="left" w:pos="1200"/>
          <w:tab w:val="right" w:leader="dot" w:pos="9060"/>
        </w:tabs>
        <w:rPr>
          <w:rFonts w:asciiTheme="minorHAnsi" w:eastAsiaTheme="minorEastAsia" w:hAnsiTheme="minorHAnsi" w:cstheme="minorBidi"/>
          <w:noProof/>
          <w:kern w:val="2"/>
          <w:lang w:val="en-IT"/>
          <w14:ligatures w14:val="standardContextual"/>
        </w:rPr>
      </w:pPr>
      <w:hyperlink w:anchor="_Toc231372567" w:history="1">
        <w:r w:rsidRPr="004F278F">
          <w:rPr>
            <w:rStyle w:val="Hyperlink"/>
            <w:noProof/>
          </w:rPr>
          <w:t>12.3</w:t>
        </w:r>
        <w:r>
          <w:rPr>
            <w:rFonts w:asciiTheme="minorHAnsi" w:eastAsiaTheme="minorEastAsia" w:hAnsiTheme="minorHAnsi" w:cstheme="minorBidi"/>
            <w:noProof/>
            <w:kern w:val="2"/>
            <w:lang w:val="en-IT"/>
            <w14:ligatures w14:val="standardContextual"/>
          </w:rPr>
          <w:tab/>
        </w:r>
        <w:r w:rsidRPr="004F278F">
          <w:rPr>
            <w:rStyle w:val="Hyperlink"/>
            <w:noProof/>
          </w:rPr>
          <w:t>Future work</w:t>
        </w:r>
        <w:r>
          <w:rPr>
            <w:noProof/>
            <w:webHidden/>
          </w:rPr>
          <w:tab/>
        </w:r>
        <w:r>
          <w:rPr>
            <w:noProof/>
            <w:webHidden/>
          </w:rPr>
          <w:fldChar w:fldCharType="begin"/>
        </w:r>
        <w:r>
          <w:rPr>
            <w:noProof/>
            <w:webHidden/>
          </w:rPr>
          <w:instrText xml:space="preserve"> PAGEREF _Toc231372567 \h </w:instrText>
        </w:r>
        <w:r>
          <w:rPr>
            <w:noProof/>
            <w:webHidden/>
          </w:rPr>
        </w:r>
        <w:r>
          <w:rPr>
            <w:noProof/>
            <w:webHidden/>
          </w:rPr>
          <w:fldChar w:fldCharType="separate"/>
        </w:r>
        <w:r>
          <w:rPr>
            <w:noProof/>
            <w:webHidden/>
          </w:rPr>
          <w:t>42</w:t>
        </w:r>
        <w:r>
          <w:rPr>
            <w:noProof/>
            <w:webHidden/>
          </w:rPr>
          <w:fldChar w:fldCharType="end"/>
        </w:r>
      </w:hyperlink>
    </w:p>
    <w:p w14:paraId="7DEC9665" w14:textId="2783661F" w:rsidR="005715FC" w:rsidRDefault="005715FC">
      <w:pPr>
        <w:pStyle w:val="TOC1"/>
        <w:rPr>
          <w:rFonts w:asciiTheme="minorHAnsi" w:eastAsiaTheme="minorEastAsia" w:hAnsiTheme="minorHAnsi" w:cstheme="minorBidi"/>
          <w:noProof/>
          <w:kern w:val="2"/>
          <w:lang w:val="en-IT"/>
          <w14:ligatures w14:val="standardContextual"/>
        </w:rPr>
      </w:pPr>
      <w:hyperlink w:anchor="_Toc231372568" w:history="1">
        <w:r w:rsidRPr="004F278F">
          <w:rPr>
            <w:rStyle w:val="Hyperlink"/>
            <w:noProof/>
          </w:rPr>
          <w:t>References</w:t>
        </w:r>
        <w:r>
          <w:rPr>
            <w:noProof/>
            <w:webHidden/>
          </w:rPr>
          <w:tab/>
        </w:r>
        <w:r>
          <w:rPr>
            <w:noProof/>
            <w:webHidden/>
          </w:rPr>
          <w:fldChar w:fldCharType="begin"/>
        </w:r>
        <w:r>
          <w:rPr>
            <w:noProof/>
            <w:webHidden/>
          </w:rPr>
          <w:instrText xml:space="preserve"> PAGEREF _Toc231372568 \h </w:instrText>
        </w:r>
        <w:r>
          <w:rPr>
            <w:noProof/>
            <w:webHidden/>
          </w:rPr>
        </w:r>
        <w:r>
          <w:rPr>
            <w:noProof/>
            <w:webHidden/>
          </w:rPr>
          <w:fldChar w:fldCharType="separate"/>
        </w:r>
        <w:r>
          <w:rPr>
            <w:noProof/>
            <w:webHidden/>
          </w:rPr>
          <w:t>43</w:t>
        </w:r>
        <w:r>
          <w:rPr>
            <w:noProof/>
            <w:webHidden/>
          </w:rPr>
          <w:fldChar w:fldCharType="end"/>
        </w:r>
      </w:hyperlink>
    </w:p>
    <w:p w14:paraId="78528F0F" w14:textId="27B13ECE" w:rsidR="005715FC" w:rsidRDefault="005715FC">
      <w:pPr>
        <w:pStyle w:val="TOC1"/>
        <w:rPr>
          <w:rFonts w:asciiTheme="minorHAnsi" w:eastAsiaTheme="minorEastAsia" w:hAnsiTheme="minorHAnsi" w:cstheme="minorBidi"/>
          <w:noProof/>
          <w:kern w:val="2"/>
          <w:lang w:val="en-IT"/>
          <w14:ligatures w14:val="standardContextual"/>
        </w:rPr>
      </w:pPr>
      <w:hyperlink w:anchor="_Toc231372569" w:history="1">
        <w:r w:rsidRPr="004F278F">
          <w:rPr>
            <w:rStyle w:val="Hyperlink"/>
            <w:noProof/>
          </w:rPr>
          <w:t>Appendices</w:t>
        </w:r>
        <w:r>
          <w:rPr>
            <w:noProof/>
            <w:webHidden/>
          </w:rPr>
          <w:tab/>
        </w:r>
        <w:r>
          <w:rPr>
            <w:noProof/>
            <w:webHidden/>
          </w:rPr>
          <w:fldChar w:fldCharType="begin"/>
        </w:r>
        <w:r>
          <w:rPr>
            <w:noProof/>
            <w:webHidden/>
          </w:rPr>
          <w:instrText xml:space="preserve"> PAGEREF _Toc231372569 \h </w:instrText>
        </w:r>
        <w:r>
          <w:rPr>
            <w:noProof/>
            <w:webHidden/>
          </w:rPr>
        </w:r>
        <w:r>
          <w:rPr>
            <w:noProof/>
            <w:webHidden/>
          </w:rPr>
          <w:fldChar w:fldCharType="separate"/>
        </w:r>
        <w:r>
          <w:rPr>
            <w:noProof/>
            <w:webHidden/>
          </w:rPr>
          <w:t>47</w:t>
        </w:r>
        <w:r>
          <w:rPr>
            <w:noProof/>
            <w:webHidden/>
          </w:rPr>
          <w:fldChar w:fldCharType="end"/>
        </w:r>
      </w:hyperlink>
    </w:p>
    <w:p w14:paraId="124721B9" w14:textId="3CF513C8" w:rsidR="005715FC" w:rsidRDefault="005715FC">
      <w:pPr>
        <w:pStyle w:val="TOC2"/>
        <w:tabs>
          <w:tab w:val="right" w:leader="dot" w:pos="9060"/>
        </w:tabs>
        <w:rPr>
          <w:noProof/>
        </w:rPr>
      </w:pPr>
      <w:hyperlink w:anchor="_Toc231372570" w:history="1">
        <w:r w:rsidRPr="004F278F">
          <w:rPr>
            <w:rStyle w:val="Hyperlink"/>
            <w:noProof/>
            <w:lang w:val="en-GB"/>
          </w:rPr>
          <w:t>Appendix B</w:t>
        </w:r>
        <w:r>
          <w:rPr>
            <w:noProof/>
            <w:webHidden/>
          </w:rPr>
          <w:tab/>
        </w:r>
        <w:r>
          <w:rPr>
            <w:noProof/>
            <w:webHidden/>
          </w:rPr>
          <w:fldChar w:fldCharType="begin"/>
        </w:r>
        <w:r>
          <w:rPr>
            <w:noProof/>
            <w:webHidden/>
          </w:rPr>
          <w:instrText xml:space="preserve"> PAGEREF _Toc231372570 \h </w:instrText>
        </w:r>
        <w:r>
          <w:rPr>
            <w:noProof/>
            <w:webHidden/>
          </w:rPr>
        </w:r>
        <w:r>
          <w:rPr>
            <w:noProof/>
            <w:webHidden/>
          </w:rPr>
          <w:fldChar w:fldCharType="separate"/>
        </w:r>
        <w:r>
          <w:rPr>
            <w:noProof/>
            <w:webHidden/>
          </w:rPr>
          <w:t>47</w:t>
        </w:r>
        <w:r>
          <w:rPr>
            <w:noProof/>
            <w:webHidden/>
          </w:rPr>
          <w:fldChar w:fldCharType="end"/>
        </w:r>
      </w:hyperlink>
    </w:p>
    <w:p w14:paraId="4DE55FA4" w14:textId="4B5EA5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1" w:history="1">
        <w:r w:rsidRPr="004F278F">
          <w:rPr>
            <w:rStyle w:val="Hyperlink"/>
            <w:noProof/>
            <w:shd w:val="clear" w:color="auto" w:fill="FFFFFF"/>
          </w:rPr>
          <w:t>Appendix B.1 — Research questions by gap.</w:t>
        </w:r>
        <w:r>
          <w:rPr>
            <w:noProof/>
            <w:webHidden/>
          </w:rPr>
          <w:tab/>
        </w:r>
        <w:r>
          <w:rPr>
            <w:noProof/>
            <w:webHidden/>
          </w:rPr>
          <w:fldChar w:fldCharType="begin"/>
        </w:r>
        <w:r>
          <w:rPr>
            <w:noProof/>
            <w:webHidden/>
          </w:rPr>
          <w:instrText xml:space="preserve"> PAGEREF _Toc231372571 \h </w:instrText>
        </w:r>
        <w:r>
          <w:rPr>
            <w:noProof/>
            <w:webHidden/>
          </w:rPr>
        </w:r>
        <w:r>
          <w:rPr>
            <w:noProof/>
            <w:webHidden/>
          </w:rPr>
          <w:fldChar w:fldCharType="separate"/>
        </w:r>
        <w:r>
          <w:rPr>
            <w:noProof/>
            <w:webHidden/>
          </w:rPr>
          <w:t>47</w:t>
        </w:r>
        <w:r>
          <w:rPr>
            <w:noProof/>
            <w:webHidden/>
          </w:rPr>
          <w:fldChar w:fldCharType="end"/>
        </w:r>
      </w:hyperlink>
    </w:p>
    <w:p w14:paraId="73930193" w14:textId="4C973034"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2" w:history="1">
        <w:r w:rsidRPr="004F278F">
          <w:rPr>
            <w:rStyle w:val="Hyperlink"/>
            <w:noProof/>
            <w:shd w:val="clear" w:color="auto" w:fill="FFFFFF"/>
          </w:rPr>
          <w:t>Appendix B.2 — Full requirements matrix.</w:t>
        </w:r>
        <w:r>
          <w:rPr>
            <w:noProof/>
            <w:webHidden/>
          </w:rPr>
          <w:tab/>
        </w:r>
        <w:r>
          <w:rPr>
            <w:noProof/>
            <w:webHidden/>
          </w:rPr>
          <w:fldChar w:fldCharType="begin"/>
        </w:r>
        <w:r>
          <w:rPr>
            <w:noProof/>
            <w:webHidden/>
          </w:rPr>
          <w:instrText xml:space="preserve"> PAGEREF _Toc231372572 \h </w:instrText>
        </w:r>
        <w:r>
          <w:rPr>
            <w:noProof/>
            <w:webHidden/>
          </w:rPr>
        </w:r>
        <w:r>
          <w:rPr>
            <w:noProof/>
            <w:webHidden/>
          </w:rPr>
          <w:fldChar w:fldCharType="separate"/>
        </w:r>
        <w:r>
          <w:rPr>
            <w:noProof/>
            <w:webHidden/>
          </w:rPr>
          <w:t>47</w:t>
        </w:r>
        <w:r>
          <w:rPr>
            <w:noProof/>
            <w:webHidden/>
          </w:rPr>
          <w:fldChar w:fldCharType="end"/>
        </w:r>
      </w:hyperlink>
    </w:p>
    <w:p w14:paraId="69B04CED" w14:textId="1591FFAD" w:rsidR="005715FC" w:rsidRDefault="005715FC">
      <w:pPr>
        <w:pStyle w:val="TOC2"/>
        <w:tabs>
          <w:tab w:val="right" w:leader="dot" w:pos="9060"/>
        </w:tabs>
        <w:rPr>
          <w:noProof/>
        </w:rPr>
      </w:pPr>
      <w:hyperlink w:anchor="_Toc231372573" w:history="1">
        <w:r w:rsidRPr="004F278F">
          <w:rPr>
            <w:rStyle w:val="Hyperlink"/>
            <w:noProof/>
            <w:lang w:val="en-GB"/>
          </w:rPr>
          <w:t>Appendix C</w:t>
        </w:r>
        <w:r>
          <w:rPr>
            <w:noProof/>
            <w:webHidden/>
          </w:rPr>
          <w:tab/>
        </w:r>
        <w:r>
          <w:rPr>
            <w:noProof/>
            <w:webHidden/>
          </w:rPr>
          <w:fldChar w:fldCharType="begin"/>
        </w:r>
        <w:r>
          <w:rPr>
            <w:noProof/>
            <w:webHidden/>
          </w:rPr>
          <w:instrText xml:space="preserve"> PAGEREF _Toc231372573 \h </w:instrText>
        </w:r>
        <w:r>
          <w:rPr>
            <w:noProof/>
            <w:webHidden/>
          </w:rPr>
        </w:r>
        <w:r>
          <w:rPr>
            <w:noProof/>
            <w:webHidden/>
          </w:rPr>
          <w:fldChar w:fldCharType="separate"/>
        </w:r>
        <w:r>
          <w:rPr>
            <w:noProof/>
            <w:webHidden/>
          </w:rPr>
          <w:t>47</w:t>
        </w:r>
        <w:r>
          <w:rPr>
            <w:noProof/>
            <w:webHidden/>
          </w:rPr>
          <w:fldChar w:fldCharType="end"/>
        </w:r>
      </w:hyperlink>
    </w:p>
    <w:p w14:paraId="2B8408ED" w14:textId="2C89670D" w:rsidR="005715FC" w:rsidRDefault="005715FC">
      <w:pPr>
        <w:pStyle w:val="TOC3"/>
        <w:tabs>
          <w:tab w:val="right" w:leader="dot" w:pos="9060"/>
        </w:tabs>
        <w:rPr>
          <w:rFonts w:asciiTheme="minorHAnsi" w:eastAsiaTheme="minorEastAsia" w:hAnsiTheme="minorHAnsi" w:cstheme="minorBidi"/>
          <w:noProof/>
          <w:kern w:val="2"/>
          <w:lang w:val="en-IT"/>
          <w14:ligatures w14:val="standardContextual"/>
        </w:rPr>
      </w:pPr>
      <w:hyperlink w:anchor="_Toc231372574" w:history="1">
        <w:r w:rsidRPr="004F278F">
          <w:rPr>
            <w:rStyle w:val="Hyperlink"/>
            <w:noProof/>
            <w:shd w:val="clear" w:color="auto" w:fill="FFFFFF"/>
          </w:rPr>
          <w:t>Appendix C.1 — Indicator evaluation scorecard.</w:t>
        </w:r>
        <w:r>
          <w:rPr>
            <w:noProof/>
            <w:webHidden/>
          </w:rPr>
          <w:tab/>
        </w:r>
        <w:r>
          <w:rPr>
            <w:noProof/>
            <w:webHidden/>
          </w:rPr>
          <w:fldChar w:fldCharType="begin"/>
        </w:r>
        <w:r>
          <w:rPr>
            <w:noProof/>
            <w:webHidden/>
          </w:rPr>
          <w:instrText xml:space="preserve"> PAGEREF _Toc231372574 \h </w:instrText>
        </w:r>
        <w:r>
          <w:rPr>
            <w:noProof/>
            <w:webHidden/>
          </w:rPr>
        </w:r>
        <w:r>
          <w:rPr>
            <w:noProof/>
            <w:webHidden/>
          </w:rPr>
          <w:fldChar w:fldCharType="separate"/>
        </w:r>
        <w:r>
          <w:rPr>
            <w:noProof/>
            <w:webHidden/>
          </w:rPr>
          <w:t>47</w:t>
        </w:r>
        <w:r>
          <w:rPr>
            <w:noProof/>
            <w:webHidden/>
          </w:rPr>
          <w:fldChar w:fldCharType="end"/>
        </w:r>
      </w:hyperlink>
    </w:p>
    <w:p w14:paraId="03572400" w14:textId="6297EDEA" w:rsidR="005715FC" w:rsidRDefault="005715FC">
      <w:pPr>
        <w:pStyle w:val="TOC2"/>
        <w:tabs>
          <w:tab w:val="right" w:leader="dot" w:pos="9060"/>
        </w:tabs>
        <w:rPr>
          <w:noProof/>
        </w:rPr>
      </w:pPr>
      <w:hyperlink w:anchor="_Toc231372575" w:history="1">
        <w:r w:rsidRPr="004F278F">
          <w:rPr>
            <w:rStyle w:val="Hyperlink"/>
            <w:noProof/>
            <w:lang w:val="en-GB"/>
          </w:rPr>
          <w:t>Appendix E</w:t>
        </w:r>
        <w:r>
          <w:rPr>
            <w:noProof/>
            <w:webHidden/>
          </w:rPr>
          <w:tab/>
        </w:r>
        <w:r>
          <w:rPr>
            <w:noProof/>
            <w:webHidden/>
          </w:rPr>
          <w:fldChar w:fldCharType="begin"/>
        </w:r>
        <w:r>
          <w:rPr>
            <w:noProof/>
            <w:webHidden/>
          </w:rPr>
          <w:instrText xml:space="preserve"> PAGEREF _Toc231372575 \h </w:instrText>
        </w:r>
        <w:r>
          <w:rPr>
            <w:noProof/>
            <w:webHidden/>
          </w:rPr>
        </w:r>
        <w:r>
          <w:rPr>
            <w:noProof/>
            <w:webHidden/>
          </w:rPr>
          <w:fldChar w:fldCharType="separate"/>
        </w:r>
        <w:r>
          <w:rPr>
            <w:noProof/>
            <w:webHidden/>
          </w:rPr>
          <w:t>47</w:t>
        </w:r>
        <w:r>
          <w:rPr>
            <w:noProof/>
            <w:webHidden/>
          </w:rPr>
          <w:fldChar w:fldCharType="end"/>
        </w:r>
      </w:hyperlink>
    </w:p>
    <w:p w14:paraId="052D7118" w14:textId="410CB472" w:rsidR="00183FC8" w:rsidRDefault="00B50197">
      <w:pPr>
        <w:pStyle w:val="TOC1"/>
        <w:rPr>
          <w:noProof/>
          <w:lang w:val="en-GB"/>
        </w:rPr>
      </w:pPr>
      <w:r>
        <w:rPr>
          <w:noProof/>
        </w:rPr>
        <w:fldChar w:fldCharType="end"/>
      </w:r>
    </w:p>
    <w:p w14:paraId="3B584F75" w14:textId="77777777" w:rsidR="00183FC8" w:rsidRDefault="00B50197">
      <w:pPr>
        <w:pStyle w:val="Heading1"/>
      </w:pPr>
      <w:r>
        <w:br w:type="page"/>
      </w:r>
      <w:bookmarkStart w:id="2" w:name="_Toc231372502"/>
      <w:r>
        <w:lastRenderedPageBreak/>
        <w:t>Executive Summary</w:t>
      </w:r>
      <w:bookmarkEnd w:id="2"/>
    </w:p>
    <w:p w14:paraId="45ED0125" w14:textId="77777777" w:rsidR="00183FC8" w:rsidRDefault="00B50197">
      <w:pPr>
        <w:rPr>
          <w:i/>
          <w:color w:val="808080"/>
          <w:lang w:val="en-GB"/>
        </w:rPr>
      </w:pPr>
      <w:r>
        <w:rPr>
          <w:i/>
          <w:color w:val="808080"/>
          <w:lang w:val="en-GB"/>
        </w:rPr>
        <w:t>[One page maximum. Aims of the project, main conclusions, action points. Written last.]</w:t>
      </w:r>
    </w:p>
    <w:p w14:paraId="3051C787" w14:textId="77777777" w:rsidR="00183FC8" w:rsidRDefault="00B50197">
      <w:pPr>
        <w:pStyle w:val="Heading1"/>
      </w:pPr>
      <w:r>
        <w:br w:type="page"/>
      </w:r>
      <w:bookmarkStart w:id="3" w:name="_Toc231372503"/>
      <w:r>
        <w:lastRenderedPageBreak/>
        <w:t>1.0</w:t>
      </w:r>
      <w:r>
        <w:tab/>
        <w:t>Introduction</w:t>
      </w:r>
      <w:bookmarkEnd w:id="3"/>
    </w:p>
    <w:p w14:paraId="4C604CC6" w14:textId="77777777" w:rsidR="00183FC8" w:rsidRDefault="00B50197">
      <w:pPr>
        <w:rPr>
          <w:i/>
          <w:color w:val="808080"/>
          <w:lang w:val="en-GB"/>
        </w:rPr>
      </w:pPr>
      <w:r>
        <w:rPr>
          <w:i/>
          <w:color w:val="808080"/>
          <w:lang w:val="en-GB"/>
        </w:rPr>
        <w:t>[Section introduction: one sentence outlining what this chapter covers.]</w:t>
      </w:r>
    </w:p>
    <w:p w14:paraId="256E33C1" w14:textId="77777777" w:rsidR="00183FC8" w:rsidRDefault="00B50197">
      <w:pPr>
        <w:pStyle w:val="Heading3"/>
      </w:pPr>
      <w:bookmarkStart w:id="4" w:name="_Toc231372504"/>
      <w:r>
        <w:t>1.1</w:t>
      </w:r>
      <w:r>
        <w:tab/>
        <w:t>Project context and the Global Supply Chain Observatory</w:t>
      </w:r>
      <w:bookmarkEnd w:id="4"/>
    </w:p>
    <w:p w14:paraId="0FC43534" w14:textId="77777777" w:rsidR="00183FC8" w:rsidRDefault="00183FC8">
      <w:pPr>
        <w:rPr>
          <w:lang w:val="en-GB"/>
        </w:rPr>
      </w:pPr>
    </w:p>
    <w:p w14:paraId="7539C74E" w14:textId="77777777" w:rsidR="00183FC8" w:rsidRDefault="00B50197">
      <w:pPr>
        <w:pStyle w:val="Heading3"/>
      </w:pPr>
      <w:bookmarkStart w:id="5" w:name="_Toc231372505"/>
      <w:r>
        <w:t>1.2</w:t>
      </w:r>
      <w:r>
        <w:tab/>
        <w:t>Problem statement</w:t>
      </w:r>
      <w:bookmarkEnd w:id="5"/>
    </w:p>
    <w:p w14:paraId="449FFD1D" w14:textId="77777777" w:rsidR="00183FC8" w:rsidRDefault="00183FC8">
      <w:pPr>
        <w:rPr>
          <w:lang w:val="en-GB"/>
        </w:rPr>
      </w:pPr>
    </w:p>
    <w:p w14:paraId="48BE0C17" w14:textId="77777777" w:rsidR="00183FC8" w:rsidRDefault="00B50197">
      <w:pPr>
        <w:pStyle w:val="Heading3"/>
      </w:pPr>
      <w:bookmarkStart w:id="6" w:name="_Toc231372506"/>
      <w:r>
        <w:t>1.3</w:t>
      </w:r>
      <w:r>
        <w:tab/>
        <w:t>Aims and objectives</w:t>
      </w:r>
      <w:bookmarkEnd w:id="6"/>
    </w:p>
    <w:p w14:paraId="3DE29DEE" w14:textId="77777777" w:rsidR="00183FC8" w:rsidRDefault="00183FC8">
      <w:pPr>
        <w:rPr>
          <w:lang w:val="en-GB"/>
        </w:rPr>
      </w:pPr>
    </w:p>
    <w:p w14:paraId="39D1898E" w14:textId="77777777" w:rsidR="00183FC8" w:rsidRDefault="00B50197">
      <w:pPr>
        <w:pStyle w:val="Heading3"/>
      </w:pPr>
      <w:bookmarkStart w:id="7" w:name="_Toc231372507"/>
      <w:r>
        <w:t>1.4</w:t>
      </w:r>
      <w:r>
        <w:tab/>
        <w:t>Report structure</w:t>
      </w:r>
      <w:bookmarkEnd w:id="7"/>
    </w:p>
    <w:p w14:paraId="3696DB1D" w14:textId="77777777" w:rsidR="00183FC8" w:rsidRDefault="00183FC8">
      <w:pPr>
        <w:rPr>
          <w:lang w:val="en-GB"/>
        </w:rPr>
      </w:pPr>
    </w:p>
    <w:p w14:paraId="5460A8CC" w14:textId="77777777" w:rsidR="00183FC8" w:rsidRDefault="00B50197">
      <w:pPr>
        <w:pStyle w:val="Heading1"/>
      </w:pPr>
      <w:r>
        <w:br w:type="page"/>
      </w:r>
      <w:bookmarkStart w:id="8" w:name="_Ref231250084"/>
      <w:bookmarkStart w:id="9" w:name="_Toc231372508"/>
      <w:r>
        <w:lastRenderedPageBreak/>
        <w:t>2.0</w:t>
      </w:r>
      <w:r>
        <w:tab/>
        <w:t>Background and Literature Review</w:t>
      </w:r>
      <w:bookmarkEnd w:id="8"/>
      <w:bookmarkEnd w:id="9"/>
    </w:p>
    <w:p w14:paraId="1B387BF8" w14:textId="77777777" w:rsidR="00183FC8" w:rsidRDefault="00B50197">
      <w:pPr>
        <w:rPr>
          <w:i/>
          <w:color w:val="808080"/>
          <w:lang w:val="en-GB"/>
        </w:rPr>
      </w:pPr>
      <w:r>
        <w:rPr>
          <w:i/>
          <w:color w:val="808080"/>
          <w:lang w:val="en-GB"/>
        </w:rPr>
        <w:t>[Section introduction: one sentence outlining what this chapter covers.]</w:t>
      </w:r>
    </w:p>
    <w:p w14:paraId="60F8951C" w14:textId="77777777" w:rsidR="00183FC8" w:rsidRDefault="00B50197">
      <w:pPr>
        <w:pStyle w:val="Heading3"/>
      </w:pPr>
      <w:bookmarkStart w:id="10" w:name="_Toc231372509"/>
      <w:r>
        <w:t>2.1</w:t>
      </w:r>
      <w:r>
        <w:tab/>
        <w:t>Supply-chain environmental monitoring</w:t>
      </w:r>
      <w:bookmarkEnd w:id="10"/>
    </w:p>
    <w:p w14:paraId="4023B800" w14:textId="1B114E7E" w:rsidR="00A600D7" w:rsidRPr="00A600D7" w:rsidRDefault="00A600D7" w:rsidP="00DC14B1">
      <w:pPr>
        <w:rPr>
          <w:lang w:val="en-GB"/>
        </w:rPr>
      </w:pPr>
      <w:r w:rsidRPr="00A600D7">
        <w:rPr>
          <w:lang w:val="en-GB"/>
        </w:rPr>
        <w:t xml:space="preserve">Modern supply chains separate consumption from impact. A product sold in one region may rely on materials extracted, refined, and assembled across several others, and each stage carries its own </w:t>
      </w:r>
      <w:r>
        <w:rPr>
          <w:lang w:val="en-GB"/>
        </w:rPr>
        <w:t>pollution</w:t>
      </w:r>
      <w:r w:rsidRPr="00A600D7">
        <w:rPr>
          <w:lang w:val="en-GB"/>
        </w:rPr>
        <w:t xml:space="preserve">, </w:t>
      </w:r>
      <w:r>
        <w:rPr>
          <w:lang w:val="en-GB"/>
        </w:rPr>
        <w:t>emissions, and land-usage</w:t>
      </w:r>
      <w:r w:rsidRPr="00A600D7">
        <w:rPr>
          <w:lang w:val="en-GB"/>
        </w:rPr>
        <w:t xml:space="preserve">. The organisations with the most leverage to </w:t>
      </w:r>
      <w:r>
        <w:rPr>
          <w:lang w:val="en-GB"/>
        </w:rPr>
        <w:t>request environmental</w:t>
      </w:r>
      <w:r w:rsidRPr="00A600D7">
        <w:rPr>
          <w:lang w:val="en-GB"/>
        </w:rPr>
        <w:t xml:space="preserve"> improvement</w:t>
      </w:r>
      <w:r>
        <w:rPr>
          <w:lang w:val="en-GB"/>
        </w:rPr>
        <w:t xml:space="preserve"> -</w:t>
      </w:r>
      <w:r w:rsidRPr="00A600D7">
        <w:rPr>
          <w:lang w:val="en-GB"/>
        </w:rPr>
        <w:t xml:space="preserve"> large buyers, regulators, and investors </w:t>
      </w:r>
      <w:r>
        <w:rPr>
          <w:lang w:val="en-GB"/>
        </w:rPr>
        <w:t>-</w:t>
      </w:r>
      <w:r w:rsidRPr="00A600D7">
        <w:rPr>
          <w:lang w:val="en-GB"/>
        </w:rPr>
        <w:t xml:space="preserve"> are usually the </w:t>
      </w:r>
      <w:r>
        <w:rPr>
          <w:lang w:val="en-GB"/>
        </w:rPr>
        <w:t>farthest</w:t>
      </w:r>
      <w:r w:rsidRPr="00A600D7">
        <w:rPr>
          <w:lang w:val="en-GB"/>
        </w:rPr>
        <w:t xml:space="preserve"> from the point of production. What closes that distance is transparency: the accurate communication of information about operations and products across the network (Bai and Sarkis, 2020). Greater transparency lets firms identify inefficiencies, detect risks earlier, and build trust with investors, customers, and regulators, which is why it has become central to how supply chains are governed</w:t>
      </w:r>
      <w:r w:rsidR="0022299F">
        <w:rPr>
          <w:lang w:val="en-GB"/>
        </w:rPr>
        <w:t xml:space="preserve"> </w:t>
      </w:r>
      <w:r w:rsidR="0022299F" w:rsidRPr="0022299F">
        <w:rPr>
          <w:lang w:val="en-GB"/>
        </w:rPr>
        <w:t>(Zhao et al., 2025)</w:t>
      </w:r>
      <w:r w:rsidR="0022299F">
        <w:rPr>
          <w:lang w:val="en-GB"/>
        </w:rPr>
        <w:t>.</w:t>
      </w:r>
    </w:p>
    <w:p w14:paraId="3B7D3FF8" w14:textId="2CDCFACF" w:rsidR="00183FC8" w:rsidRPr="008B2828" w:rsidRDefault="00A600D7" w:rsidP="008B2828">
      <w:pPr>
        <w:jc w:val="left"/>
        <w:rPr>
          <w:lang w:val="en-IT"/>
        </w:rPr>
      </w:pPr>
      <w:r w:rsidRPr="00A600D7">
        <w:rPr>
          <w:lang w:val="en-GB"/>
        </w:rPr>
        <w:t>Transparency has conventionally depended on supplier self-reporting,</w:t>
      </w:r>
      <w:r>
        <w:rPr>
          <w:lang w:val="en-GB"/>
        </w:rPr>
        <w:t xml:space="preserve"> certifications,</w:t>
      </w:r>
      <w:r w:rsidRPr="00A600D7">
        <w:rPr>
          <w:lang w:val="en-GB"/>
        </w:rPr>
        <w:t xml:space="preserve"> and periodic audits</w:t>
      </w:r>
      <w:r>
        <w:rPr>
          <w:lang w:val="en-GB"/>
        </w:rPr>
        <w:t>; e</w:t>
      </w:r>
      <w:r w:rsidRPr="00A600D7">
        <w:rPr>
          <w:lang w:val="en-GB"/>
        </w:rPr>
        <w:t xml:space="preserve">ach has known limits. Self-reported data is infrequent and selectively disclosed; certification reaches only a fraction of suppliers; and on-site audits are costly, easily anticipated, and capture a single moment. Indeed, two decades of evidence suggest that audit programmes frequently fail to detect or correct the labour and environmental problems they are meant to </w:t>
      </w:r>
      <w:r>
        <w:rPr>
          <w:lang w:val="en-GB"/>
        </w:rPr>
        <w:t>tackle</w:t>
      </w:r>
      <w:r w:rsidRPr="00A600D7">
        <w:rPr>
          <w:lang w:val="en-GB"/>
        </w:rPr>
        <w:t xml:space="preserve"> (LeBaron, Lister and Dauvergne, 2017). </w:t>
      </w:r>
      <w:r>
        <w:rPr>
          <w:lang w:val="en-GB"/>
        </w:rPr>
        <w:t>Then, f</w:t>
      </w:r>
      <w:r w:rsidRPr="00A600D7">
        <w:rPr>
          <w:lang w:val="en-GB"/>
        </w:rPr>
        <w:t>or most supplier sites</w:t>
      </w:r>
      <w:r>
        <w:rPr>
          <w:lang w:val="en-GB"/>
        </w:rPr>
        <w:t xml:space="preserve">, </w:t>
      </w:r>
      <w:r w:rsidRPr="00A600D7">
        <w:rPr>
          <w:lang w:val="en-GB"/>
        </w:rPr>
        <w:t xml:space="preserve">decision-makers work with little independent, </w:t>
      </w:r>
      <w:r>
        <w:rPr>
          <w:lang w:val="en-GB"/>
        </w:rPr>
        <w:t>up-to-date</w:t>
      </w:r>
      <w:r w:rsidRPr="00A600D7">
        <w:rPr>
          <w:lang w:val="en-GB"/>
        </w:rPr>
        <w:t xml:space="preserve"> environmental information. The constraint is not a shortage of environmental data, but the absence of timely, comparable, independent evidence tied to specific locations and actors. As environmental monitoring becomes core extension </w:t>
      </w:r>
      <w:r>
        <w:rPr>
          <w:lang w:val="en-GB"/>
        </w:rPr>
        <w:t>to</w:t>
      </w:r>
      <w:r w:rsidRPr="00A600D7">
        <w:rPr>
          <w:lang w:val="en-GB"/>
        </w:rPr>
        <w:t xml:space="preserve"> supply-chain transparency under rising regulatory and stakeholder pressure (Li, 2025), satellite earth observation offers one way to </w:t>
      </w:r>
      <w:r>
        <w:rPr>
          <w:lang w:val="en-GB"/>
        </w:rPr>
        <w:t>provide</w:t>
      </w:r>
      <w:r w:rsidRPr="00A600D7">
        <w:rPr>
          <w:lang w:val="en-GB"/>
        </w:rPr>
        <w:t xml:space="preserve"> that evidence</w:t>
      </w:r>
      <w:r>
        <w:rPr>
          <w:lang w:val="en-GB"/>
        </w:rPr>
        <w:t>.</w:t>
      </w:r>
      <w:r w:rsidR="008B2828">
        <w:rPr>
          <w:lang w:val="en-GB"/>
        </w:rPr>
        <w:t xml:space="preserve"> </w:t>
      </w:r>
      <w:r w:rsidR="008B2828" w:rsidRPr="008B2828">
        <w:rPr>
          <w:lang w:val="en-IT"/>
        </w:rPr>
        <w:t>The European Union's Corporate Sustainability Reporting Directive, illustrates this shift, requiring large companies to disclose environmental impacts across their value chains and not only their own operations (European Commission, 2025).</w:t>
      </w:r>
      <w:r w:rsidR="008B2828">
        <w:rPr>
          <w:lang w:val="en-IT"/>
        </w:rPr>
        <w:t xml:space="preserve"> </w:t>
      </w:r>
      <w:r>
        <w:rPr>
          <w:lang w:val="en-GB"/>
        </w:rPr>
        <w:t>Analysis of satellite data can offer</w:t>
      </w:r>
      <w:r w:rsidRPr="00A600D7">
        <w:rPr>
          <w:lang w:val="en-GB"/>
        </w:rPr>
        <w:t xml:space="preserve"> a screening layer that points to where impact is likely, not a verdict on who is responsible.</w:t>
      </w:r>
    </w:p>
    <w:p w14:paraId="4F0BDD0B" w14:textId="77777777" w:rsidR="00183FC8" w:rsidRDefault="00B50197">
      <w:pPr>
        <w:pStyle w:val="Heading3"/>
      </w:pPr>
      <w:bookmarkStart w:id="11" w:name="_Ref231250056"/>
      <w:bookmarkStart w:id="12" w:name="_Ref231250069"/>
      <w:bookmarkStart w:id="13" w:name="_Ref231250076"/>
      <w:bookmarkStart w:id="14" w:name="_Toc231372510"/>
      <w:r>
        <w:lastRenderedPageBreak/>
        <w:t>2.2</w:t>
      </w:r>
      <w:r>
        <w:tab/>
        <w:t>Satellite earth observation for environmental screening</w:t>
      </w:r>
      <w:bookmarkEnd w:id="11"/>
      <w:bookmarkEnd w:id="12"/>
      <w:bookmarkEnd w:id="13"/>
      <w:bookmarkEnd w:id="14"/>
    </w:p>
    <w:p w14:paraId="37A62AB2" w14:textId="21BEAC74" w:rsidR="00F022E8" w:rsidRPr="00F022E8" w:rsidRDefault="00F022E8" w:rsidP="00DC14B1">
      <w:pPr>
        <w:rPr>
          <w:lang w:val="en-GB" w:eastAsia="en-US"/>
        </w:rPr>
      </w:pPr>
      <w:r w:rsidRPr="00F022E8">
        <w:rPr>
          <w:lang w:val="en-GB" w:eastAsia="en-US"/>
        </w:rPr>
        <w:t>Satellite earth observation offers a consistent, independent, and repeatable view of conditions on the ground, captured the same way everywhere. A single instrument images the entire planet on a fixed schedule, so a remote mine and a coastal refinery are measured by the same sensor against the same standard. For supply-chain screening, this uniformity matters more than precision at any one site</w:t>
      </w:r>
      <w:r>
        <w:rPr>
          <w:lang w:val="en-GB" w:eastAsia="en-US"/>
        </w:rPr>
        <w:t xml:space="preserve"> as</w:t>
      </w:r>
      <w:r w:rsidRPr="00F022E8">
        <w:rPr>
          <w:lang w:val="en-GB" w:eastAsia="en-US"/>
        </w:rPr>
        <w:t xml:space="preserve"> it makes places comparable.</w:t>
      </w:r>
    </w:p>
    <w:p w14:paraId="0DE10A1B" w14:textId="77777777" w:rsidR="008B2828" w:rsidRDefault="00F022E8" w:rsidP="008B2828">
      <w:pPr>
        <w:rPr>
          <w:lang w:val="en-GB" w:eastAsia="en-US"/>
        </w:rPr>
      </w:pPr>
      <w:r w:rsidRPr="00F022E8">
        <w:rPr>
          <w:lang w:val="en-GB" w:eastAsia="en-US"/>
        </w:rPr>
        <w:t>The technical foundations of satellite imagery</w:t>
      </w:r>
      <w:r>
        <w:rPr>
          <w:lang w:val="en-GB" w:eastAsia="en-US"/>
        </w:rPr>
        <w:t xml:space="preserve"> -</w:t>
      </w:r>
      <w:r w:rsidRPr="00F022E8">
        <w:rPr>
          <w:lang w:val="en-GB" w:eastAsia="en-US"/>
        </w:rPr>
        <w:t xml:space="preserve"> sensor types, spatial and temporal resolution, processing levels, and the major public dataset</w:t>
      </w:r>
      <w:r>
        <w:rPr>
          <w:lang w:val="en-GB" w:eastAsia="en-US"/>
        </w:rPr>
        <w:t>s -</w:t>
      </w:r>
      <w:r w:rsidRPr="00F022E8">
        <w:rPr>
          <w:lang w:val="en-GB" w:eastAsia="en-US"/>
        </w:rPr>
        <w:t xml:space="preserve"> were reviewed in detail in the earlier phase of this project (</w:t>
      </w:r>
      <w:r>
        <w:rPr>
          <w:lang w:val="en-GB" w:eastAsia="en-US"/>
        </w:rPr>
        <w:t>Li</w:t>
      </w:r>
      <w:r w:rsidRPr="00F022E8">
        <w:rPr>
          <w:lang w:val="en-GB" w:eastAsia="en-US"/>
        </w:rPr>
        <w:t xml:space="preserve">, </w:t>
      </w:r>
      <w:r>
        <w:rPr>
          <w:lang w:val="en-GB" w:eastAsia="en-US"/>
        </w:rPr>
        <w:t>2024</w:t>
      </w:r>
      <w:r w:rsidRPr="00F022E8">
        <w:rPr>
          <w:lang w:val="en-GB" w:eastAsia="en-US"/>
        </w:rPr>
        <w:t>). What matters for the present work is the capability this provides. Modern publicly available constellations measure environmental variables of direct relevance to industrial activity at scales fine enough to resolve individual sites</w:t>
      </w:r>
      <w:r w:rsidR="00DC14B1">
        <w:rPr>
          <w:lang w:val="en-GB" w:eastAsia="en-US"/>
        </w:rPr>
        <w:t xml:space="preserve">. </w:t>
      </w:r>
      <w:r w:rsidR="008B2828">
        <w:rPr>
          <w:lang w:val="en-GB" w:eastAsia="en-US"/>
        </w:rPr>
        <w:t>S</w:t>
      </w:r>
      <w:r w:rsidRPr="00F022E8">
        <w:rPr>
          <w:lang w:val="en-GB" w:eastAsia="en-US"/>
        </w:rPr>
        <w:t xml:space="preserve">everal of these instruments revisit the same location daily or near-daily (Veefkind et al., 2012), which is what makes them suitable not just for one-off assessment but for the ongoing monitoring a screening tool requires. The current project builds on that foundation, and its contribution lies not in the raw availability of these data but in how they are selected, combined, and translated into </w:t>
      </w:r>
      <w:r w:rsidR="00DC14B1">
        <w:rPr>
          <w:lang w:val="en-GB" w:eastAsia="en-US"/>
        </w:rPr>
        <w:t>a decision-making tool.</w:t>
      </w:r>
    </w:p>
    <w:p w14:paraId="0A9ED639" w14:textId="6C9CF45B" w:rsidR="008B2828" w:rsidRDefault="008B2828" w:rsidP="00DC14B1">
      <w:pPr>
        <w:rPr>
          <w:lang w:val="en-GB" w:eastAsia="en-US"/>
        </w:rPr>
      </w:pPr>
      <w:r>
        <w:rPr>
          <w:lang w:val="en-GB" w:eastAsia="en-US"/>
        </w:rPr>
        <w:t>However, these</w:t>
      </w:r>
      <w:r w:rsidRPr="008B2828">
        <w:rPr>
          <w:lang w:val="en-GB" w:eastAsia="en-US"/>
        </w:rPr>
        <w:t xml:space="preserve"> capabilities come with an important </w:t>
      </w:r>
      <w:r>
        <w:rPr>
          <w:lang w:val="en-GB" w:eastAsia="en-US"/>
        </w:rPr>
        <w:t>caveat</w:t>
      </w:r>
      <w:r w:rsidRPr="008B2828">
        <w:rPr>
          <w:lang w:val="en-GB" w:eastAsia="en-US"/>
        </w:rPr>
        <w:t xml:space="preserve">. Satellites do not observe environmental </w:t>
      </w:r>
      <w:r>
        <w:rPr>
          <w:lang w:val="en-GB" w:eastAsia="en-US"/>
        </w:rPr>
        <w:t>contribution</w:t>
      </w:r>
      <w:r w:rsidRPr="008B2828">
        <w:rPr>
          <w:lang w:val="en-GB" w:eastAsia="en-US"/>
        </w:rPr>
        <w:t xml:space="preserve"> directly; they record physical signals from which activity and impact must be inferred. A signal consistent with industrial emission over a facility does not, in itself, identify the responsible source, establish whether any regulatory threshold was exceeded, or assign accountability. Satellite evidence is therefore best treated as a screening signal rather than a determination: it localises probable impact and prioritises sites for scrutiny, while attribution of cause and judgement of compliance remain tasks for follow-up against complementary data. This distinction is the organising principle of the tool developed in this project, and it recurs throughout the chapters that follow.</w:t>
      </w:r>
    </w:p>
    <w:p w14:paraId="4AADB7F5" w14:textId="77777777" w:rsidR="00183FC8" w:rsidRDefault="00B50197">
      <w:pPr>
        <w:pStyle w:val="Heading3"/>
      </w:pPr>
      <w:bookmarkStart w:id="15" w:name="_Toc231372511"/>
      <w:r>
        <w:t>2.3</w:t>
      </w:r>
      <w:r>
        <w:tab/>
        <w:t>Existing tools and platforms</w:t>
      </w:r>
      <w:bookmarkEnd w:id="15"/>
    </w:p>
    <w:p w14:paraId="5EBB7C55" w14:textId="702D8F59" w:rsidR="00D31B08" w:rsidRPr="00D31B08" w:rsidRDefault="00D31B08" w:rsidP="00D31B08">
      <w:pPr>
        <w:rPr>
          <w:lang w:val="en-IT" w:eastAsia="en-US"/>
        </w:rPr>
      </w:pPr>
      <w:r w:rsidRPr="00D31B08">
        <w:rPr>
          <w:lang w:val="en-IT" w:eastAsia="en-US"/>
        </w:rPr>
        <w:t xml:space="preserve">Several established platforms already apply satellite and open environmental data to questions of supply-chain sustainability, and they define the state of the art against which this project should be understood. Three are particularly relevant: Global Forest Watch, Trase, and Climate TRACE. </w:t>
      </w:r>
    </w:p>
    <w:p w14:paraId="1E2E4584" w14:textId="181FF9FA" w:rsidR="00D31B08" w:rsidRDefault="00D31B08" w:rsidP="00D31B08">
      <w:pPr>
        <w:rPr>
          <w:lang w:val="en-IT" w:eastAsia="en-US"/>
        </w:rPr>
      </w:pPr>
      <w:r w:rsidRPr="00D31B08">
        <w:rPr>
          <w:lang w:val="en-IT" w:eastAsia="en-US"/>
        </w:rPr>
        <w:lastRenderedPageBreak/>
        <w:t xml:space="preserve">Global Forest Watch (GFW), developed by the World Resources Institute, is the most established. It combines two decades of annual tree-cover-change data with near-real-time deforestation and fire alerts derived from </w:t>
      </w:r>
      <w:r>
        <w:rPr>
          <w:lang w:val="en-IT" w:eastAsia="en-US"/>
        </w:rPr>
        <w:t>satellite</w:t>
      </w:r>
      <w:r w:rsidRPr="00D31B08">
        <w:rPr>
          <w:lang w:val="en-IT" w:eastAsia="en-US"/>
        </w:rPr>
        <w:t xml:space="preserve"> imagery, all freely accessible through an interactive map and API (World Resources Institute, 2024). GFW's own documentation distinguishes "early warning" alert systems, which flag where a disturbance has occurred so that resources can be prioritised, from </w:t>
      </w:r>
      <w:r>
        <w:rPr>
          <w:lang w:val="en-IT" w:eastAsia="en-US"/>
        </w:rPr>
        <w:t>software</w:t>
      </w:r>
      <w:r w:rsidRPr="00D31B08">
        <w:rPr>
          <w:lang w:val="en-IT" w:eastAsia="en-US"/>
        </w:rPr>
        <w:t xml:space="preserve"> built to </w:t>
      </w:r>
      <w:r>
        <w:rPr>
          <w:lang w:val="en-IT" w:eastAsia="en-US"/>
        </w:rPr>
        <w:t>produce</w:t>
      </w:r>
      <w:r w:rsidRPr="00D31B08">
        <w:rPr>
          <w:lang w:val="en-IT" w:eastAsia="en-US"/>
        </w:rPr>
        <w:t xml:space="preserve"> reporting, and is explicit that the alerts are designed for the former rather than the latter (Global Forest Watch, 2024). This is precisely the "screening signal, not determination" logic set out in</w:t>
      </w:r>
      <w:r>
        <w:rPr>
          <w:lang w:val="en-IT" w:eastAsia="en-US"/>
        </w:rPr>
        <w:t xml:space="preserve"> Section 2.2</w:t>
      </w:r>
      <w:r w:rsidRPr="00D31B08">
        <w:rPr>
          <w:lang w:val="en-IT" w:eastAsia="en-US"/>
        </w:rPr>
        <w:t xml:space="preserve">, and it is the </w:t>
      </w:r>
      <w:r>
        <w:rPr>
          <w:lang w:val="en-IT" w:eastAsia="en-US"/>
        </w:rPr>
        <w:t>model</w:t>
      </w:r>
      <w:r w:rsidRPr="00D31B08">
        <w:rPr>
          <w:lang w:val="en-IT" w:eastAsia="en-US"/>
        </w:rPr>
        <w:t xml:space="preserve"> GFW has validated at scale.</w:t>
      </w:r>
    </w:p>
    <w:p w14:paraId="3D78362B" w14:textId="54C8C985" w:rsidR="00D31B08" w:rsidRPr="00D31B08" w:rsidRDefault="00D31B08" w:rsidP="00D31B08">
      <w:pPr>
        <w:rPr>
          <w:lang w:val="en-IT" w:eastAsia="en-US"/>
        </w:rPr>
      </w:pPr>
      <w:r w:rsidRPr="00D31B08">
        <w:rPr>
          <w:lang w:val="en-IT" w:eastAsia="en-US"/>
        </w:rPr>
        <w:t>Trase takes a different approach. Founded in 2015 by the Stockholm Environment Institute and Global Canopy, it links downstream actors to upstream production regions by combining material-flow analysi</w:t>
      </w:r>
      <w:r>
        <w:rPr>
          <w:lang w:val="en-IT" w:eastAsia="en-US"/>
        </w:rPr>
        <w:t>s</w:t>
      </w:r>
      <w:r w:rsidRPr="00D31B08">
        <w:rPr>
          <w:lang w:val="en-IT" w:eastAsia="en-US"/>
        </w:rPr>
        <w:t xml:space="preserve"> with localised deforestation data to quantify an actor's "deforestation exposure" (Stockholm Environment Institute, 2023; Trase, 2024). Its contribution is the </w:t>
      </w:r>
      <w:r>
        <w:rPr>
          <w:lang w:val="en-IT" w:eastAsia="en-US"/>
        </w:rPr>
        <w:t>connection</w:t>
      </w:r>
      <w:r w:rsidRPr="00D31B08">
        <w:rPr>
          <w:lang w:val="en-IT" w:eastAsia="en-US"/>
        </w:rPr>
        <w:t xml:space="preserve"> between commodity flows and impact</w:t>
      </w:r>
      <w:r>
        <w:rPr>
          <w:lang w:val="en-IT" w:eastAsia="en-US"/>
        </w:rPr>
        <w:t xml:space="preserve"> -</w:t>
      </w:r>
      <w:r w:rsidRPr="00D31B08">
        <w:rPr>
          <w:lang w:val="en-IT" w:eastAsia="en-US"/>
        </w:rPr>
        <w:t xml:space="preserve"> it answers who is exposed to risk through their sourcing, at jurisdictional resolution, rather than what is happening at a specific site now. This trade-to-place structure is precisely the one the parent platform in which this project sits is built on. The Global Supply Chain Observatory itself map</w:t>
      </w:r>
      <w:r>
        <w:rPr>
          <w:lang w:val="en-IT" w:eastAsia="en-US"/>
        </w:rPr>
        <w:t>s</w:t>
      </w:r>
      <w:r w:rsidRPr="00D31B08">
        <w:rPr>
          <w:lang w:val="en-IT" w:eastAsia="en-US"/>
        </w:rPr>
        <w:t xml:space="preserve"> critical-industry supply</w:t>
      </w:r>
      <w:r>
        <w:rPr>
          <w:lang w:val="en-IT" w:eastAsia="en-US"/>
        </w:rPr>
        <w:t xml:space="preserve">, tracing </w:t>
      </w:r>
      <w:r w:rsidRPr="00D31B08">
        <w:rPr>
          <w:lang w:val="en-IT" w:eastAsia="en-US"/>
        </w:rPr>
        <w:t xml:space="preserve">the trade routes and supplier nodes underpinning those industries. Where Trase connects actors to production regions, the GSCO platform connects supply-chain </w:t>
      </w:r>
      <w:r>
        <w:rPr>
          <w:lang w:val="en-IT" w:eastAsia="en-US"/>
        </w:rPr>
        <w:t>routes</w:t>
      </w:r>
      <w:r w:rsidRPr="00D31B08">
        <w:rPr>
          <w:lang w:val="en-IT" w:eastAsia="en-US"/>
        </w:rPr>
        <w:t xml:space="preserve"> to specific supplier locations, and the environmental tool developed here is designed to attach to those locations</w:t>
      </w:r>
      <w:r>
        <w:rPr>
          <w:lang w:val="en-IT" w:eastAsia="en-US"/>
        </w:rPr>
        <w:t xml:space="preserve">. </w:t>
      </w:r>
      <w:r w:rsidRPr="00D31B08">
        <w:rPr>
          <w:lang w:val="en-IT" w:eastAsia="en-US"/>
        </w:rPr>
        <w:t>This two-way connection is the mechanism through which it serves policy makers in particular.</w:t>
      </w:r>
    </w:p>
    <w:p w14:paraId="5A2E7AB8" w14:textId="373356D3" w:rsidR="00D31B08" w:rsidRPr="00D31B08" w:rsidRDefault="00D31B08" w:rsidP="00D31B08">
      <w:pPr>
        <w:rPr>
          <w:lang w:val="en-IT" w:eastAsia="en-US"/>
        </w:rPr>
      </w:pPr>
      <w:r w:rsidRPr="00D31B08">
        <w:rPr>
          <w:lang w:val="en-IT" w:eastAsia="en-US"/>
        </w:rPr>
        <w:t xml:space="preserve">Climate TRACE represents a third approach, focused on emissions rather than land. Launched in 2021, it fuses observations from </w:t>
      </w:r>
      <w:r>
        <w:rPr>
          <w:lang w:val="en-IT" w:eastAsia="en-US"/>
        </w:rPr>
        <w:t>thhousands</w:t>
      </w:r>
      <w:r w:rsidRPr="00D31B08">
        <w:rPr>
          <w:lang w:val="en-IT" w:eastAsia="en-US"/>
        </w:rPr>
        <w:t xml:space="preserve"> of satellites and ground-, air-, and sea-based sensors with machine learning to produce a facility-level global inventory of greenhouse-gas emissions, attributing emissions to individual sources across twenty economic sectors (Climate TRACE, 2024). One feature is directly relevant to the design choices made later in this project</w:t>
      </w:r>
      <w:r>
        <w:rPr>
          <w:lang w:val="en-IT" w:eastAsia="en-US"/>
        </w:rPr>
        <w:t>;</w:t>
      </w:r>
      <w:r w:rsidRPr="00D31B08">
        <w:rPr>
          <w:lang w:val="en-IT" w:eastAsia="en-US"/>
        </w:rPr>
        <w:t xml:space="preserve"> it attaches a per-facility "data confidence" measure to its estimates, acknowledging that satellite-derived attribution carries varying degrees of certainty. </w:t>
      </w:r>
    </w:p>
    <w:p w14:paraId="19AFC49E" w14:textId="51F1751F" w:rsidR="00183FC8" w:rsidRDefault="00987CC7">
      <w:pPr>
        <w:rPr>
          <w:lang w:val="en-GB"/>
        </w:rPr>
      </w:pPr>
      <w:r w:rsidRPr="00987CC7">
        <w:t xml:space="preserve">The three platforms differ in their data and their focus, but they share a boundary. Each </w:t>
      </w:r>
      <w:r>
        <w:t>is excellent</w:t>
      </w:r>
      <w:r w:rsidRPr="00987CC7">
        <w:t xml:space="preserve"> at making environmental impact visible</w:t>
      </w:r>
      <w:r>
        <w:t>,</w:t>
      </w:r>
      <w:r w:rsidRPr="00987CC7">
        <w:t xml:space="preserve"> yet each stops at the threshold of the </w:t>
      </w:r>
      <w:r w:rsidRPr="00987CC7">
        <w:lastRenderedPageBreak/>
        <w:t xml:space="preserve">decision itself. They tell a user </w:t>
      </w:r>
      <w:r w:rsidRPr="00987CC7">
        <w:rPr>
          <w:i/>
          <w:iCs/>
        </w:rPr>
        <w:t>what</w:t>
      </w:r>
      <w:r w:rsidRPr="00987CC7">
        <w:t xml:space="preserve"> is happening and </w:t>
      </w:r>
      <w:r w:rsidRPr="00987CC7">
        <w:rPr>
          <w:i/>
          <w:iCs/>
        </w:rPr>
        <w:t>where</w:t>
      </w:r>
      <w:r w:rsidRPr="00987CC7">
        <w:t xml:space="preserve">, but offer limited structured guidance on </w:t>
      </w:r>
      <w:r w:rsidRPr="00987CC7">
        <w:rPr>
          <w:i/>
          <w:iCs/>
        </w:rPr>
        <w:t>what to do next</w:t>
      </w:r>
      <w:r w:rsidRPr="00987CC7">
        <w:t>: which site to investigate first, how to weigh competing signals, or how confident to be. This is the gap in the current landscape</w:t>
      </w:r>
      <w:r>
        <w:t xml:space="preserve"> which </w:t>
      </w:r>
      <w:r w:rsidRPr="00987CC7">
        <w:t>the present project sets out to address. The next chapter examines how the GSCO environmental tool inherited at the start of this project sat against this backdrop, and where its specific limitations lay.</w:t>
      </w:r>
    </w:p>
    <w:p w14:paraId="0716B133" w14:textId="77777777" w:rsidR="00183FC8" w:rsidRDefault="00B50197">
      <w:pPr>
        <w:pStyle w:val="Heading1"/>
      </w:pPr>
      <w:r>
        <w:br w:type="page"/>
      </w:r>
      <w:bookmarkStart w:id="16" w:name="_Toc231372512"/>
      <w:r>
        <w:lastRenderedPageBreak/>
        <w:t>3.0</w:t>
      </w:r>
      <w:r>
        <w:tab/>
        <w:t>Research Gap and Scope</w:t>
      </w:r>
      <w:bookmarkEnd w:id="16"/>
    </w:p>
    <w:p w14:paraId="38E41783" w14:textId="630606EC" w:rsidR="00EF0B1D" w:rsidRPr="00E91C85" w:rsidRDefault="00EF0B1D" w:rsidP="00E91C85">
      <w:pPr>
        <w:rPr>
          <w:b/>
          <w:i/>
          <w:iCs/>
        </w:rPr>
      </w:pPr>
      <w:r w:rsidRPr="00E91C85">
        <w:rPr>
          <w:i/>
          <w:iCs/>
        </w:rPr>
        <w:t>This chapter turns from the wider monitoring landscape to the specific tool inherited at the start of the project, examining its limitations, the gaps they expose, and the scope this project adopts</w:t>
      </w:r>
      <w:r w:rsidRPr="00E91C85">
        <w:rPr>
          <w:b/>
          <w:i/>
          <w:iCs/>
        </w:rPr>
        <w:t xml:space="preserve"> accordingly</w:t>
      </w:r>
      <w:r w:rsidRPr="00E91C85">
        <w:rPr>
          <w:i/>
          <w:iCs/>
        </w:rPr>
        <w:t xml:space="preserve">. </w:t>
      </w:r>
    </w:p>
    <w:p w14:paraId="59912B6B" w14:textId="722963BC" w:rsidR="00183FC8" w:rsidRDefault="00B50197">
      <w:pPr>
        <w:pStyle w:val="Heading3"/>
      </w:pPr>
      <w:bookmarkStart w:id="17" w:name="_Toc231372513"/>
      <w:r>
        <w:t>3.1</w:t>
      </w:r>
      <w:r>
        <w:tab/>
        <w:t>Limitations of the existing approach</w:t>
      </w:r>
      <w:bookmarkEnd w:id="17"/>
    </w:p>
    <w:p w14:paraId="291CAB7E" w14:textId="491A2624" w:rsidR="00EF0B1D" w:rsidRPr="00EF0B1D" w:rsidRDefault="00EF0B1D" w:rsidP="00EF0B1D">
      <w:pPr>
        <w:rPr>
          <w:lang w:val="en-IT"/>
        </w:rPr>
      </w:pPr>
      <w:r w:rsidRPr="00EF0B1D">
        <w:rPr>
          <w:lang w:val="en-IT"/>
        </w:rPr>
        <w:t>The environmental tool inherited at the start of this project had been developed in an earlier phase of the GSCO</w:t>
      </w:r>
      <w:r w:rsidR="009538C2">
        <w:rPr>
          <w:lang w:val="en-IT"/>
        </w:rPr>
        <w:t xml:space="preserve">’s development </w:t>
      </w:r>
      <w:r w:rsidRPr="00EF0B1D">
        <w:rPr>
          <w:lang w:val="en-IT"/>
        </w:rPr>
        <w:t>(Li, 2024) within the Google Earth Engine (GEE) Code Editor, written in JavaScript. It performed two analyses</w:t>
      </w:r>
      <w:r w:rsidR="009538C2">
        <w:rPr>
          <w:lang w:val="en-IT"/>
        </w:rPr>
        <w:t xml:space="preserve"> within the scope of my project</w:t>
      </w:r>
      <w:r w:rsidRPr="00EF0B1D">
        <w:rPr>
          <w:lang w:val="en-IT"/>
        </w:rPr>
        <w:t xml:space="preserve">. The </w:t>
      </w:r>
      <w:r w:rsidR="002269F4">
        <w:rPr>
          <w:lang w:val="en-IT"/>
        </w:rPr>
        <w:t>first</w:t>
      </w:r>
      <w:r w:rsidRPr="00EF0B1D">
        <w:rPr>
          <w:lang w:val="en-IT"/>
        </w:rPr>
        <w:t xml:space="preserve"> mapped atmospheric concentrations of seven gases and aerosols</w:t>
      </w:r>
      <w:r w:rsidR="009538C2">
        <w:rPr>
          <w:lang w:val="en-IT"/>
        </w:rPr>
        <w:t xml:space="preserve"> - </w:t>
      </w:r>
      <w:r w:rsidRPr="00EF0B1D">
        <w:rPr>
          <w:lang w:val="en-IT"/>
        </w:rPr>
        <w:t>NO₂, CO, O₃, SO₂, CH₄, formaldehyde, and the absorbing aerosol index</w:t>
      </w:r>
      <w:r w:rsidR="009538C2">
        <w:rPr>
          <w:lang w:val="en-IT"/>
        </w:rPr>
        <w:t xml:space="preserve"> - </w:t>
      </w:r>
      <w:r w:rsidRPr="00EF0B1D">
        <w:rPr>
          <w:lang w:val="en-IT"/>
        </w:rPr>
        <w:t xml:space="preserve">from the European Space Agency's Sentinel-5P satellite. </w:t>
      </w:r>
      <w:r w:rsidR="002269F4" w:rsidRPr="00EF0B1D">
        <w:rPr>
          <w:lang w:val="en-IT"/>
        </w:rPr>
        <w:t xml:space="preserve">The </w:t>
      </w:r>
      <w:r w:rsidR="002269F4">
        <w:rPr>
          <w:lang w:val="en-IT"/>
        </w:rPr>
        <w:t>second</w:t>
      </w:r>
      <w:r w:rsidR="002269F4" w:rsidRPr="00EF0B1D">
        <w:rPr>
          <w:lang w:val="en-IT"/>
        </w:rPr>
        <w:t xml:space="preserve"> mapped vegetation greenness using the Normalised Difference Vegetation Index (NDVI), </w:t>
      </w:r>
      <w:r w:rsidR="002269F4">
        <w:rPr>
          <w:lang w:val="en-IT"/>
        </w:rPr>
        <w:t>extracted</w:t>
      </w:r>
      <w:r w:rsidR="002269F4" w:rsidRPr="00EF0B1D">
        <w:rPr>
          <w:lang w:val="en-IT"/>
        </w:rPr>
        <w:t xml:space="preserve"> from NASA's Terra–MODIS instrument as a sixteen-day composite. </w:t>
      </w:r>
      <w:r w:rsidRPr="00EF0B1D">
        <w:rPr>
          <w:lang w:val="en-IT"/>
        </w:rPr>
        <w:t xml:space="preserve">A user selected a centre point and a radius, and the tool returned summary statistics over that area together with an animated sequence showing change over time. </w:t>
      </w:r>
      <w:r w:rsidR="009538C2">
        <w:rPr>
          <w:lang w:val="en-IT"/>
        </w:rPr>
        <w:t>T</w:t>
      </w:r>
      <w:r w:rsidRPr="00EF0B1D">
        <w:rPr>
          <w:lang w:val="en-IT"/>
        </w:rPr>
        <w:t>he tool was conceived as a "pointer" to areas of potential concern rather than an instrument of assessment (Li, 2024).</w:t>
      </w:r>
    </w:p>
    <w:p w14:paraId="6A3E0955" w14:textId="66015699" w:rsidR="00D57A49" w:rsidRDefault="009538C2" w:rsidP="00EF0B1D">
      <w:pPr>
        <w:rPr>
          <w:lang w:val="en-IT"/>
        </w:rPr>
      </w:pPr>
      <w:r>
        <w:rPr>
          <w:lang w:val="en-IT"/>
        </w:rPr>
        <w:t>S</w:t>
      </w:r>
      <w:r w:rsidR="00EF0B1D" w:rsidRPr="00EF0B1D">
        <w:rPr>
          <w:lang w:val="en-IT"/>
        </w:rPr>
        <w:t xml:space="preserve">everal limitations constrained </w:t>
      </w:r>
      <w:r>
        <w:rPr>
          <w:lang w:val="en-IT"/>
        </w:rPr>
        <w:t>the tool’s</w:t>
      </w:r>
      <w:r w:rsidR="00EF0B1D" w:rsidRPr="00EF0B1D">
        <w:rPr>
          <w:lang w:val="en-IT"/>
        </w:rPr>
        <w:t xml:space="preserve"> usefulness</w:t>
      </w:r>
      <w:r w:rsidR="00D57A49">
        <w:rPr>
          <w:lang w:val="en-IT"/>
        </w:rPr>
        <w:t>:</w:t>
      </w:r>
    </w:p>
    <w:p w14:paraId="4BEBCD0D" w14:textId="4C50EA2D" w:rsidR="00EF0B1D" w:rsidRDefault="00EF0B1D" w:rsidP="002269F4">
      <w:pPr>
        <w:pStyle w:val="ListParagraph"/>
        <w:numPr>
          <w:ilvl w:val="0"/>
          <w:numId w:val="4"/>
        </w:numPr>
        <w:rPr>
          <w:lang w:val="en-IT"/>
        </w:rPr>
      </w:pPr>
      <w:r w:rsidRPr="002269F4">
        <w:rPr>
          <w:b/>
          <w:bCs/>
          <w:lang w:val="en-IT"/>
        </w:rPr>
        <w:t xml:space="preserve">The values it reported were expressed in units </w:t>
      </w:r>
      <w:r w:rsidR="00D57A49" w:rsidRPr="002269F4">
        <w:rPr>
          <w:b/>
          <w:bCs/>
          <w:lang w:val="en-IT"/>
        </w:rPr>
        <w:t>incompatible with reporting standa</w:t>
      </w:r>
      <w:r w:rsidR="002269F4">
        <w:rPr>
          <w:b/>
          <w:bCs/>
          <w:lang w:val="en-IT"/>
        </w:rPr>
        <w:t>r</w:t>
      </w:r>
      <w:r w:rsidR="00D57A49" w:rsidRPr="002269F4">
        <w:rPr>
          <w:b/>
          <w:bCs/>
          <w:lang w:val="en-IT"/>
        </w:rPr>
        <w:t>ds and common jargon</w:t>
      </w:r>
      <w:r w:rsidR="00D57A49" w:rsidRPr="002269F4">
        <w:rPr>
          <w:lang w:val="en-IT"/>
        </w:rPr>
        <w:t xml:space="preserve">. For example, </w:t>
      </w:r>
      <w:r w:rsidRPr="002269F4">
        <w:rPr>
          <w:lang w:val="en-IT"/>
        </w:rPr>
        <w:t xml:space="preserve">gas concentrations were </w:t>
      </w:r>
      <w:r w:rsidR="002269F4">
        <w:rPr>
          <w:lang w:val="en-IT"/>
        </w:rPr>
        <w:t>displayed</w:t>
      </w:r>
      <w:r w:rsidRPr="002269F4">
        <w:rPr>
          <w:lang w:val="en-IT"/>
        </w:rPr>
        <w:t xml:space="preserve"> as vertical column densities in micromoles per square metre </w:t>
      </w:r>
      <w:r w:rsidR="00D57A49" w:rsidRPr="002269F4">
        <w:rPr>
          <w:lang w:val="en-IT"/>
        </w:rPr>
        <w:t>- t</w:t>
      </w:r>
      <w:r w:rsidRPr="002269F4">
        <w:rPr>
          <w:lang w:val="en-IT"/>
        </w:rPr>
        <w:t xml:space="preserve">he total quantity of a gas in a column of air above the site. Regulatory air-quality standards, by contrast, are framed as surface concentrations in micrograms per cubic metre averaged over fixed periods (World Health Organization, 2021). A column density is not </w:t>
      </w:r>
      <w:r w:rsidR="002269F4">
        <w:rPr>
          <w:lang w:val="en-IT"/>
        </w:rPr>
        <w:t xml:space="preserve">just </w:t>
      </w:r>
      <w:r w:rsidRPr="002269F4">
        <w:rPr>
          <w:lang w:val="en-IT"/>
        </w:rPr>
        <w:t>a rescaling of surface concentration</w:t>
      </w:r>
      <w:r w:rsidR="002269F4">
        <w:rPr>
          <w:lang w:val="en-IT"/>
        </w:rPr>
        <w:t>s</w:t>
      </w:r>
      <w:r w:rsidRPr="002269F4">
        <w:rPr>
          <w:lang w:val="en-IT"/>
        </w:rPr>
        <w:t xml:space="preserve"> but a different physical quantity, so the tool's outputs could not be read against the standards its users work to. </w:t>
      </w:r>
      <w:r w:rsidR="002269F4">
        <w:rPr>
          <w:lang w:val="en-IT"/>
        </w:rPr>
        <w:t>Beyond this,</w:t>
      </w:r>
      <w:r w:rsidRPr="002269F4">
        <w:rPr>
          <w:lang w:val="en-IT"/>
        </w:rPr>
        <w:t xml:space="preserve"> the radius input carried no guidance on a</w:t>
      </w:r>
      <w:r w:rsidR="002269F4">
        <w:rPr>
          <w:lang w:val="en-IT"/>
        </w:rPr>
        <w:t xml:space="preserve">n appropriate </w:t>
      </w:r>
      <w:r w:rsidRPr="002269F4">
        <w:rPr>
          <w:lang w:val="en-IT"/>
        </w:rPr>
        <w:t>value</w:t>
      </w:r>
      <w:r w:rsidR="002269F4">
        <w:rPr>
          <w:lang w:val="en-IT"/>
        </w:rPr>
        <w:t xml:space="preserve"> for the screening’s purpose</w:t>
      </w:r>
      <w:r w:rsidRPr="002269F4">
        <w:rPr>
          <w:lang w:val="en-IT"/>
        </w:rPr>
        <w:t>, and interpreting a result required manually cross-referencing the colour shown on the map against a separate legend. No written interpretation of a site's condition was offered.</w:t>
      </w:r>
    </w:p>
    <w:p w14:paraId="49A4E12F" w14:textId="298DE9A8" w:rsidR="002269F4" w:rsidRDefault="002269F4" w:rsidP="002269F4">
      <w:pPr>
        <w:pStyle w:val="ListParagraph"/>
        <w:numPr>
          <w:ilvl w:val="0"/>
          <w:numId w:val="4"/>
        </w:numPr>
        <w:rPr>
          <w:lang w:val="en-IT"/>
        </w:rPr>
      </w:pPr>
      <w:r w:rsidRPr="002269F4">
        <w:rPr>
          <w:b/>
          <w:bCs/>
          <w:lang w:val="en-IT"/>
        </w:rPr>
        <w:t>The tool displayed indicators but did not convert them into a decision</w:t>
      </w:r>
      <w:r w:rsidRPr="002269F4">
        <w:rPr>
          <w:lang w:val="en-IT"/>
        </w:rPr>
        <w:t>. It produced no score, offered no means of comparing one site against another, attached no measure of how reliable an observation was, and made no connection to the supply-</w:t>
      </w:r>
      <w:r w:rsidRPr="002269F4">
        <w:rPr>
          <w:lang w:val="en-IT"/>
        </w:rPr>
        <w:lastRenderedPageBreak/>
        <w:t>chain actors that the wider GSCO platform already maps. In this respect it reproduced exactly the boundary identified in Section 2.3 for the external platforms: it made environmental conditions visible without offering structured guidance on what to do about them.</w:t>
      </w:r>
    </w:p>
    <w:p w14:paraId="57A1D93F" w14:textId="58F7415A" w:rsidR="00F77A78" w:rsidRPr="00F77A78" w:rsidRDefault="00F77A78" w:rsidP="00F77A78">
      <w:pPr>
        <w:rPr>
          <w:color w:val="EE0000"/>
          <w:lang w:val="en-IT"/>
        </w:rPr>
      </w:pPr>
      <w:r w:rsidRPr="00F77A78">
        <w:rPr>
          <w:color w:val="EE0000"/>
        </w:rPr>
        <w:t>[Figure 3.1: Annotated screenshot of the inherited GEE Code-Editor tool — gas-concentration (or NDVI) map view, showing (a) the raw column-density/scaled-NDVI legend, (b) the centre-and-radius input, (c) the map/legend cross-referencing the user must do manually. Source: adapted from Li (2024). To be inserted by author.]</w:t>
      </w:r>
    </w:p>
    <w:p w14:paraId="5527FB0D" w14:textId="77777777" w:rsidR="00183FC8" w:rsidRDefault="00B50197">
      <w:pPr>
        <w:pStyle w:val="Heading3"/>
      </w:pPr>
      <w:bookmarkStart w:id="18" w:name="_Toc231372514"/>
      <w:r>
        <w:t>3.2</w:t>
      </w:r>
      <w:r>
        <w:tab/>
        <w:t>Identified gaps</w:t>
      </w:r>
      <w:bookmarkEnd w:id="18"/>
    </w:p>
    <w:p w14:paraId="3188610C" w14:textId="18C632E1" w:rsidR="002269F4" w:rsidRPr="002269F4" w:rsidRDefault="002269F4" w:rsidP="002269F4">
      <w:pPr>
        <w:rPr>
          <w:lang w:val="en-GB"/>
        </w:rPr>
      </w:pPr>
      <w:r w:rsidRPr="002269F4">
        <w:rPr>
          <w:lang w:val="en-GB"/>
        </w:rPr>
        <w:t xml:space="preserve">The scoping phase of the project </w:t>
      </w:r>
      <w:r>
        <w:rPr>
          <w:lang w:val="en-GB"/>
        </w:rPr>
        <w:t>summarised</w:t>
      </w:r>
      <w:r w:rsidRPr="002269F4">
        <w:rPr>
          <w:lang w:val="en-GB"/>
        </w:rPr>
        <w:t xml:space="preserve"> these shortcomings, together with those of the broader tool landscape, into four gaps. They are summarised below; the full set of research questions associated with each is reproduced in </w:t>
      </w:r>
      <w:r w:rsidRPr="002269F4">
        <w:rPr>
          <w:color w:val="EE0000"/>
          <w:lang w:val="en-GB"/>
        </w:rPr>
        <w:t xml:space="preserve">Appendix </w:t>
      </w:r>
      <w:r w:rsidR="00296AE8">
        <w:rPr>
          <w:color w:val="EE0000"/>
          <w:lang w:val="en-GB"/>
        </w:rPr>
        <w:t>XX</w:t>
      </w:r>
      <w:r w:rsidRPr="002269F4">
        <w:rPr>
          <w:lang w:val="en-GB"/>
        </w:rPr>
        <w:t>.</w:t>
      </w:r>
    </w:p>
    <w:p w14:paraId="50345BCD" w14:textId="2220F0FA" w:rsidR="002269F4" w:rsidRDefault="002269F4" w:rsidP="002269F4">
      <w:pPr>
        <w:pStyle w:val="ListParagraph"/>
        <w:numPr>
          <w:ilvl w:val="0"/>
          <w:numId w:val="5"/>
        </w:numPr>
        <w:rPr>
          <w:lang w:val="en-GB"/>
        </w:rPr>
      </w:pPr>
      <w:r w:rsidRPr="002269F4">
        <w:rPr>
          <w:b/>
          <w:bCs/>
          <w:lang w:val="en-GB"/>
        </w:rPr>
        <w:t>Indicator coverage and design</w:t>
      </w:r>
      <w:r>
        <w:rPr>
          <w:lang w:val="en-GB"/>
        </w:rPr>
        <w:t xml:space="preserve"> - t</w:t>
      </w:r>
      <w:r w:rsidRPr="002269F4">
        <w:rPr>
          <w:lang w:val="en-GB"/>
        </w:rPr>
        <w:t xml:space="preserve">he inherited indicator set was scientifically valid but incomplete and poorly aligned with how decisions are actually made. It omitted </w:t>
      </w:r>
      <w:r>
        <w:rPr>
          <w:lang w:val="en-GB"/>
        </w:rPr>
        <w:t xml:space="preserve">indicators like </w:t>
      </w:r>
      <w:r w:rsidRPr="002269F4">
        <w:rPr>
          <w:lang w:val="en-GB"/>
        </w:rPr>
        <w:t>carbon dioxide</w:t>
      </w:r>
      <w:r>
        <w:rPr>
          <w:lang w:val="en-GB"/>
        </w:rPr>
        <w:t xml:space="preserve"> (CO</w:t>
      </w:r>
      <w:r>
        <w:rPr>
          <w:vertAlign w:val="subscript"/>
          <w:lang w:val="en-GB"/>
        </w:rPr>
        <w:t>2</w:t>
      </w:r>
      <w:r>
        <w:rPr>
          <w:lang w:val="en-GB"/>
        </w:rPr>
        <w:t>)</w:t>
      </w:r>
      <w:r w:rsidRPr="002269F4">
        <w:rPr>
          <w:lang w:val="en-GB"/>
        </w:rPr>
        <w:t xml:space="preserve">, the principal greenhouse gas, and particulate matter, the pollutant most directly </w:t>
      </w:r>
      <w:r>
        <w:rPr>
          <w:lang w:val="en-GB"/>
        </w:rPr>
        <w:t>cited</w:t>
      </w:r>
      <w:r w:rsidRPr="002269F4">
        <w:rPr>
          <w:lang w:val="en-GB"/>
        </w:rPr>
        <w:t xml:space="preserve"> </w:t>
      </w:r>
      <w:r>
        <w:rPr>
          <w:lang w:val="en-GB"/>
        </w:rPr>
        <w:t>within</w:t>
      </w:r>
      <w:r w:rsidRPr="002269F4">
        <w:rPr>
          <w:lang w:val="en-GB"/>
        </w:rPr>
        <w:t xml:space="preserve"> air-quality regulation</w:t>
      </w:r>
      <w:r>
        <w:rPr>
          <w:lang w:val="en-GB"/>
        </w:rPr>
        <w:t xml:space="preserve">. Moreover, </w:t>
      </w:r>
      <w:r w:rsidRPr="002269F4">
        <w:rPr>
          <w:lang w:val="en-GB"/>
        </w:rPr>
        <w:t>it offered no aggregated or summary measure to help a non-specialist weigh several signals at once.</w:t>
      </w:r>
    </w:p>
    <w:p w14:paraId="75FC4F2C" w14:textId="77777777" w:rsidR="00514EB7" w:rsidRDefault="002269F4" w:rsidP="002269F4">
      <w:pPr>
        <w:pStyle w:val="ListParagraph"/>
        <w:numPr>
          <w:ilvl w:val="0"/>
          <w:numId w:val="5"/>
        </w:numPr>
        <w:rPr>
          <w:lang w:val="en-GB"/>
        </w:rPr>
      </w:pPr>
      <w:r w:rsidRPr="002269F4">
        <w:rPr>
          <w:b/>
          <w:bCs/>
          <w:lang w:val="en-GB"/>
        </w:rPr>
        <w:t>Usability</w:t>
      </w:r>
      <w:r>
        <w:rPr>
          <w:lang w:val="en-GB"/>
        </w:rPr>
        <w:t xml:space="preserve"> - </w:t>
      </w:r>
      <w:r w:rsidRPr="002269F4">
        <w:rPr>
          <w:lang w:val="en-GB"/>
        </w:rPr>
        <w:t>even where data were available, they were not translated into a form a non-expert stakeholder could interpret, so a high volume of displayed data did not amount to practical insight.</w:t>
      </w:r>
    </w:p>
    <w:p w14:paraId="6BBC3621" w14:textId="77777777" w:rsidR="00514EB7" w:rsidRDefault="00514EB7" w:rsidP="002269F4">
      <w:pPr>
        <w:pStyle w:val="ListParagraph"/>
        <w:numPr>
          <w:ilvl w:val="0"/>
          <w:numId w:val="5"/>
        </w:numPr>
        <w:rPr>
          <w:lang w:val="en-GB"/>
        </w:rPr>
      </w:pPr>
      <w:r w:rsidRPr="00514EB7">
        <w:rPr>
          <w:b/>
          <w:bCs/>
          <w:lang w:val="en-GB"/>
        </w:rPr>
        <w:t>D</w:t>
      </w:r>
      <w:r w:rsidR="002269F4" w:rsidRPr="00514EB7">
        <w:rPr>
          <w:b/>
          <w:bCs/>
          <w:lang w:val="en-GB"/>
        </w:rPr>
        <w:t>ecision-making</w:t>
      </w:r>
      <w:r>
        <w:rPr>
          <w:lang w:val="en-GB"/>
        </w:rPr>
        <w:t xml:space="preserve"> -</w:t>
      </w:r>
      <w:r w:rsidR="002269F4" w:rsidRPr="002269F4">
        <w:rPr>
          <w:lang w:val="en-GB"/>
        </w:rPr>
        <w:t xml:space="preserve"> </w:t>
      </w:r>
      <w:r>
        <w:rPr>
          <w:lang w:val="en-GB"/>
        </w:rPr>
        <w:t>t</w:t>
      </w:r>
      <w:r w:rsidR="002269F4" w:rsidRPr="002269F4">
        <w:rPr>
          <w:lang w:val="en-GB"/>
        </w:rPr>
        <w:t xml:space="preserve">he tool was descriptive. It was not linked to specific supply-chain actors or tiers, and it gave no guidance on how a user should respond to what it showed. </w:t>
      </w:r>
    </w:p>
    <w:p w14:paraId="57FFE598" w14:textId="661CEF51" w:rsidR="002269F4" w:rsidRPr="002269F4" w:rsidRDefault="00514EB7" w:rsidP="002269F4">
      <w:pPr>
        <w:pStyle w:val="ListParagraph"/>
        <w:numPr>
          <w:ilvl w:val="0"/>
          <w:numId w:val="5"/>
        </w:numPr>
        <w:rPr>
          <w:lang w:val="en-GB"/>
        </w:rPr>
      </w:pPr>
      <w:r>
        <w:rPr>
          <w:b/>
          <w:bCs/>
          <w:lang w:val="en-GB"/>
        </w:rPr>
        <w:t xml:space="preserve">Divide </w:t>
      </w:r>
      <w:r w:rsidR="002269F4" w:rsidRPr="00514EB7">
        <w:rPr>
          <w:b/>
          <w:bCs/>
          <w:lang w:val="en-GB"/>
        </w:rPr>
        <w:t>between control and collaboration</w:t>
      </w:r>
      <w:r>
        <w:rPr>
          <w:lang w:val="en-GB"/>
        </w:rPr>
        <w:t xml:space="preserve"> –</w:t>
      </w:r>
      <w:r w:rsidR="002269F4" w:rsidRPr="002269F4">
        <w:rPr>
          <w:lang w:val="en-GB"/>
        </w:rPr>
        <w:t xml:space="preserve"> </w:t>
      </w:r>
      <w:r>
        <w:rPr>
          <w:lang w:val="en-GB"/>
        </w:rPr>
        <w:t>the tool’s</w:t>
      </w:r>
      <w:r w:rsidR="002269F4" w:rsidRPr="002269F4">
        <w:rPr>
          <w:lang w:val="en-GB"/>
        </w:rPr>
        <w:t xml:space="preserve"> monitoring </w:t>
      </w:r>
      <w:r>
        <w:rPr>
          <w:lang w:val="en-GB"/>
        </w:rPr>
        <w:t xml:space="preserve">approach </w:t>
      </w:r>
      <w:r w:rsidR="002269F4" w:rsidRPr="002269F4">
        <w:rPr>
          <w:lang w:val="en-GB"/>
        </w:rPr>
        <w:t>lean</w:t>
      </w:r>
      <w:r>
        <w:rPr>
          <w:lang w:val="en-GB"/>
        </w:rPr>
        <w:t>s</w:t>
      </w:r>
      <w:r w:rsidR="002269F4" w:rsidRPr="002269F4">
        <w:rPr>
          <w:lang w:val="en-GB"/>
        </w:rPr>
        <w:t xml:space="preserve"> towards surveillance and compliance rather than helping suppliers identify where they might improve.</w:t>
      </w:r>
    </w:p>
    <w:p w14:paraId="79D71303" w14:textId="505E3742" w:rsidR="00183FC8" w:rsidRDefault="002269F4" w:rsidP="002269F4">
      <w:pPr>
        <w:rPr>
          <w:lang w:val="en-GB"/>
        </w:rPr>
      </w:pPr>
      <w:r w:rsidRPr="002269F4">
        <w:rPr>
          <w:lang w:val="en-GB"/>
        </w:rPr>
        <w:t xml:space="preserve">The scoping phase concluded that these gaps share a single root. </w:t>
      </w:r>
      <w:r w:rsidRPr="00514EB7">
        <w:rPr>
          <w:b/>
          <w:bCs/>
          <w:i/>
          <w:iCs/>
          <w:lang w:val="en-GB"/>
        </w:rPr>
        <w:t>The binding constraint on the</w:t>
      </w:r>
      <w:r w:rsidR="00514EB7" w:rsidRPr="00514EB7">
        <w:rPr>
          <w:b/>
          <w:bCs/>
          <w:i/>
          <w:iCs/>
          <w:lang w:val="en-GB"/>
        </w:rPr>
        <w:t xml:space="preserve"> current</w:t>
      </w:r>
      <w:r w:rsidRPr="00514EB7">
        <w:rPr>
          <w:b/>
          <w:bCs/>
          <w:i/>
          <w:iCs/>
          <w:lang w:val="en-GB"/>
        </w:rPr>
        <w:t xml:space="preserve"> GSCO tool was not a </w:t>
      </w:r>
      <w:r w:rsidR="00514EB7" w:rsidRPr="00514EB7">
        <w:rPr>
          <w:b/>
          <w:bCs/>
          <w:i/>
          <w:iCs/>
          <w:lang w:val="en-GB"/>
        </w:rPr>
        <w:t>lack</w:t>
      </w:r>
      <w:r w:rsidRPr="00514EB7">
        <w:rPr>
          <w:b/>
          <w:bCs/>
          <w:i/>
          <w:iCs/>
          <w:lang w:val="en-GB"/>
        </w:rPr>
        <w:t xml:space="preserve"> of environmental data but the absence of integration between the indicators on offer, their usability, and the decisions they were meant to support.</w:t>
      </w:r>
      <w:r w:rsidRPr="002269F4">
        <w:rPr>
          <w:lang w:val="en-GB"/>
        </w:rPr>
        <w:t xml:space="preserve"> It is that integration which this project sets out to provide.</w:t>
      </w:r>
    </w:p>
    <w:p w14:paraId="4B014C81" w14:textId="77777777" w:rsidR="00183FC8" w:rsidRDefault="00B50197">
      <w:pPr>
        <w:pStyle w:val="Heading3"/>
      </w:pPr>
      <w:bookmarkStart w:id="19" w:name="_Toc231372515"/>
      <w:r>
        <w:lastRenderedPageBreak/>
        <w:t>3.3</w:t>
      </w:r>
      <w:r>
        <w:tab/>
        <w:t>Project scope and boundaries</w:t>
      </w:r>
      <w:bookmarkEnd w:id="19"/>
    </w:p>
    <w:p w14:paraId="79671F0E" w14:textId="77777777" w:rsidR="00514EB7" w:rsidRDefault="00514EB7" w:rsidP="00514EB7">
      <w:pPr>
        <w:rPr>
          <w:lang w:val="en-GB"/>
        </w:rPr>
      </w:pPr>
      <w:r>
        <w:rPr>
          <w:lang w:val="en-GB"/>
        </w:rPr>
        <w:t>T</w:t>
      </w:r>
      <w:r w:rsidRPr="00514EB7">
        <w:rPr>
          <w:lang w:val="en-GB"/>
        </w:rPr>
        <w:t xml:space="preserve">he project addresses the first three gaps directly and the fourth in a limited form. </w:t>
      </w:r>
    </w:p>
    <w:p w14:paraId="6DC9C0F1" w14:textId="77777777" w:rsidR="00514EB7" w:rsidRDefault="00514EB7" w:rsidP="00514EB7">
      <w:pPr>
        <w:rPr>
          <w:lang w:val="en-GB"/>
        </w:rPr>
      </w:pPr>
      <w:r w:rsidRPr="00514EB7">
        <w:rPr>
          <w:lang w:val="en-GB"/>
        </w:rPr>
        <w:t>In response to the indicator gap, it re-evaluates the inherited indicators and extends the set</w:t>
      </w:r>
      <w:r>
        <w:rPr>
          <w:lang w:val="en-GB"/>
        </w:rPr>
        <w:t>;</w:t>
      </w:r>
      <w:r w:rsidRPr="00514EB7">
        <w:rPr>
          <w:lang w:val="en-GB"/>
        </w:rPr>
        <w:t xml:space="preserve"> rather than presenting raw measurements, expresses each indicator as a comparable score on a common scale, accompanied by a measure of observational confidence that records how well the satellites were able to observe a given site (developed in Section 7.5). </w:t>
      </w:r>
    </w:p>
    <w:p w14:paraId="418855AF" w14:textId="1F2EF218" w:rsidR="00514EB7" w:rsidRDefault="00514EB7" w:rsidP="00514EB7">
      <w:pPr>
        <w:rPr>
          <w:lang w:val="en-GB"/>
        </w:rPr>
      </w:pPr>
      <w:r w:rsidRPr="00514EB7">
        <w:rPr>
          <w:lang w:val="en-GB"/>
        </w:rPr>
        <w:t xml:space="preserve">In response to the usability and decision-making gaps, </w:t>
      </w:r>
      <w:r w:rsidR="00F77A78" w:rsidRPr="00F77A78">
        <w:rPr>
          <w:lang w:val="en-GB"/>
        </w:rPr>
        <w:t>it begins from an analysis of who the tool's stakeholders are (Section 5), and organises the scored indicators into four decisions a user can act on — screening, monitoring, prioritisation, and reporting. These are presented through a user-facing interface built for non-specialists</w:t>
      </w:r>
      <w:r w:rsidR="00F77A78">
        <w:rPr>
          <w:lang w:val="en-GB"/>
        </w:rPr>
        <w:t>, using</w:t>
      </w:r>
      <w:r w:rsidR="00F77A78" w:rsidRPr="00F77A78">
        <w:rPr>
          <w:lang w:val="en-GB"/>
        </w:rPr>
        <w:t xml:space="preserve"> a traffic-light summary</w:t>
      </w:r>
      <w:r w:rsidR="00F77A78">
        <w:rPr>
          <w:lang w:val="en-GB"/>
        </w:rPr>
        <w:t xml:space="preserve"> and</w:t>
      </w:r>
      <w:r w:rsidR="00F77A78" w:rsidRPr="00F77A78">
        <w:rPr>
          <w:lang w:val="en-GB"/>
        </w:rPr>
        <w:t xml:space="preserve"> plain-language explanations of each result</w:t>
      </w:r>
      <w:r w:rsidR="00F77A78">
        <w:rPr>
          <w:lang w:val="en-GB"/>
        </w:rPr>
        <w:t>, amongst other features</w:t>
      </w:r>
      <w:r w:rsidR="00F77A78" w:rsidRPr="00F77A78">
        <w:rPr>
          <w:lang w:val="en-GB"/>
        </w:rPr>
        <w:t>.</w:t>
      </w:r>
    </w:p>
    <w:p w14:paraId="645515E3" w14:textId="45D9DB75" w:rsidR="00F77A78" w:rsidRDefault="00F77A78" w:rsidP="00514EB7">
      <w:pPr>
        <w:rPr>
          <w:lang w:val="en-GB"/>
        </w:rPr>
      </w:pPr>
      <w:r w:rsidRPr="00F77A78">
        <w:rPr>
          <w:lang w:val="en-GB"/>
        </w:rPr>
        <w:t>The fourth gap is addressed through the reporting function, which renders the results of a screening</w:t>
      </w:r>
      <w:r>
        <w:rPr>
          <w:lang w:val="en-GB"/>
        </w:rPr>
        <w:t xml:space="preserve"> </w:t>
      </w:r>
      <w:r w:rsidRPr="00F77A78">
        <w:rPr>
          <w:lang w:val="en-GB"/>
        </w:rPr>
        <w:t xml:space="preserve">in a format that is easy to view and export, </w:t>
      </w:r>
      <w:r>
        <w:rPr>
          <w:lang w:val="en-GB"/>
        </w:rPr>
        <w:t>as well as integrate to the GSCO’s visualisation tools. This is so that a</w:t>
      </w:r>
      <w:r w:rsidRPr="00F77A78">
        <w:rPr>
          <w:lang w:val="en-GB"/>
        </w:rPr>
        <w:t xml:space="preserve"> </w:t>
      </w:r>
      <w:r>
        <w:rPr>
          <w:lang w:val="en-GB"/>
        </w:rPr>
        <w:t>policy maker or a</w:t>
      </w:r>
      <w:r w:rsidRPr="00F77A78">
        <w:rPr>
          <w:lang w:val="en-GB"/>
        </w:rPr>
        <w:t xml:space="preserve"> buyer and its suppliers can share a common record and locate the areas where improvement would matter most</w:t>
      </w:r>
      <w:r>
        <w:rPr>
          <w:lang w:val="en-GB"/>
        </w:rPr>
        <w:t>.</w:t>
      </w:r>
    </w:p>
    <w:p w14:paraId="738DEAA9" w14:textId="2130B323" w:rsidR="00514EB7" w:rsidRPr="00514EB7" w:rsidRDefault="00514EB7" w:rsidP="00514EB7">
      <w:pPr>
        <w:rPr>
          <w:lang w:val="en-GB"/>
        </w:rPr>
      </w:pPr>
      <w:r w:rsidRPr="00514EB7">
        <w:rPr>
          <w:lang w:val="en-GB"/>
        </w:rPr>
        <w:t>Underpinning all of this, the project migrates the tool from the GEE Code Editor to a standalone Python application, both to support a more substantial analytical pipeline and to allow an interface that can be aligned with the rest of the GSCO platform (the rationale is developed in Section 8.1). The scored indicators are not left as untested assertions</w:t>
      </w:r>
      <w:r>
        <w:rPr>
          <w:lang w:val="en-GB"/>
        </w:rPr>
        <w:t>;</w:t>
      </w:r>
      <w:r w:rsidRPr="00514EB7">
        <w:rPr>
          <w:lang w:val="en-GB"/>
        </w:rPr>
        <w:t xml:space="preserve"> selected indicators were validated against independent reference datasets (Section 10)</w:t>
      </w:r>
      <w:r>
        <w:rPr>
          <w:lang w:val="en-GB"/>
        </w:rPr>
        <w:t>. Finally,</w:t>
      </w:r>
      <w:r w:rsidRPr="00514EB7">
        <w:rPr>
          <w:lang w:val="en-GB"/>
        </w:rPr>
        <w:t xml:space="preserve"> attribution</w:t>
      </w:r>
      <w:r>
        <w:rPr>
          <w:lang w:val="en-GB"/>
        </w:rPr>
        <w:t xml:space="preserve"> - </w:t>
      </w:r>
      <w:r w:rsidRPr="00514EB7">
        <w:rPr>
          <w:lang w:val="en-GB"/>
        </w:rPr>
        <w:t>the question of whether an observed signal can be tied to a particular site</w:t>
      </w:r>
      <w:r>
        <w:rPr>
          <w:lang w:val="en-GB"/>
        </w:rPr>
        <w:t xml:space="preserve"> -</w:t>
      </w:r>
      <w:r w:rsidRPr="00514EB7">
        <w:rPr>
          <w:lang w:val="en-GB"/>
        </w:rPr>
        <w:t xml:space="preserve"> is </w:t>
      </w:r>
      <w:r>
        <w:rPr>
          <w:lang w:val="en-GB"/>
        </w:rPr>
        <w:t>surfaced explicitly</w:t>
      </w:r>
      <w:r w:rsidRPr="00514EB7">
        <w:rPr>
          <w:lang w:val="en-GB"/>
        </w:rPr>
        <w:t xml:space="preserve"> </w:t>
      </w:r>
      <w:r>
        <w:rPr>
          <w:lang w:val="en-GB"/>
        </w:rPr>
        <w:t>in</w:t>
      </w:r>
      <w:r w:rsidRPr="00514EB7">
        <w:rPr>
          <w:lang w:val="en-GB"/>
        </w:rPr>
        <w:t xml:space="preserve"> the analysis rather than left implicit.</w:t>
      </w:r>
    </w:p>
    <w:p w14:paraId="7BF0100F" w14:textId="5FE6A2C2" w:rsidR="00F77A78" w:rsidRDefault="00514EB7" w:rsidP="00F77A78">
      <w:pPr>
        <w:rPr>
          <w:lang w:val="en-GB"/>
        </w:rPr>
      </w:pPr>
      <w:r w:rsidRPr="00514EB7">
        <w:rPr>
          <w:lang w:val="en-GB"/>
        </w:rPr>
        <w:t xml:space="preserve">Two boundaries define what the project does not claim. The first follows directly from the logic established in Section 2.2: </w:t>
      </w:r>
      <w:r w:rsidRPr="00514EB7">
        <w:rPr>
          <w:b/>
          <w:bCs/>
          <w:i/>
          <w:iCs/>
          <w:lang w:val="en-GB"/>
        </w:rPr>
        <w:t>the tool produces a screening signal, not a determination</w:t>
      </w:r>
      <w:r w:rsidRPr="00514EB7">
        <w:rPr>
          <w:lang w:val="en-GB"/>
        </w:rPr>
        <w:t xml:space="preserve">. It localises probable impact and ranks sites for scrutiny, but it does not prove that a particular supplier caused an observed signal, nor does it establish whether any regulatory threshold has been breached. Where attribution is computed, it is </w:t>
      </w:r>
      <w:r w:rsidR="004C46F6">
        <w:rPr>
          <w:lang w:val="en-GB"/>
        </w:rPr>
        <w:t>hence</w:t>
      </w:r>
      <w:r w:rsidRPr="00514EB7">
        <w:rPr>
          <w:lang w:val="en-GB"/>
        </w:rPr>
        <w:t xml:space="preserve"> presented as indicative context that informs a judgement. The second boundary concerns the basis of the scores. The indicators </w:t>
      </w:r>
      <w:r w:rsidR="00F77A78">
        <w:rPr>
          <w:lang w:val="en-GB"/>
        </w:rPr>
        <w:t>are computed from</w:t>
      </w:r>
      <w:r w:rsidRPr="00514EB7">
        <w:rPr>
          <w:lang w:val="en-GB"/>
        </w:rPr>
        <w:t xml:space="preserve"> satellite and modelled-atmosphere data</w:t>
      </w:r>
      <w:r w:rsidR="00F77A78">
        <w:rPr>
          <w:lang w:val="en-GB"/>
        </w:rPr>
        <w:t xml:space="preserve">, </w:t>
      </w:r>
      <w:r w:rsidR="00F77A78" w:rsidRPr="00F77A78">
        <w:rPr>
          <w:lang w:val="en-GB"/>
        </w:rPr>
        <w:t>without integration of continuous ground-based instrumentation at each site.</w:t>
      </w:r>
      <w:r w:rsidR="00F77A78" w:rsidRPr="00F77A78">
        <w:t xml:space="preserve"> </w:t>
      </w:r>
      <w:r w:rsidR="00F77A78" w:rsidRPr="00F77A78">
        <w:rPr>
          <w:lang w:val="en-GB"/>
        </w:rPr>
        <w:t>This is a deliberate choice</w:t>
      </w:r>
      <w:r w:rsidR="00F77A78">
        <w:rPr>
          <w:lang w:val="en-GB"/>
        </w:rPr>
        <w:t xml:space="preserve"> to </w:t>
      </w:r>
      <w:r w:rsidR="00F77A78" w:rsidRPr="00F77A78">
        <w:rPr>
          <w:lang w:val="en-GB"/>
        </w:rPr>
        <w:t>make the tool globally and uniformly applicable</w:t>
      </w:r>
      <w:r w:rsidR="00F77A78">
        <w:rPr>
          <w:lang w:val="en-GB"/>
        </w:rPr>
        <w:t xml:space="preserve">. Beyond this, </w:t>
      </w:r>
      <w:r w:rsidR="00F77A78" w:rsidRPr="00F77A78">
        <w:rPr>
          <w:lang w:val="en-GB"/>
        </w:rPr>
        <w:t xml:space="preserve">the scoring parameters are set on </w:t>
      </w:r>
      <w:r w:rsidR="00F77A78" w:rsidRPr="00F77A78">
        <w:rPr>
          <w:lang w:val="en-GB"/>
        </w:rPr>
        <w:lastRenderedPageBreak/>
        <w:t xml:space="preserve">scientific reasoning and the resulting indicators were checked against independent on-the-ground data (Section 10). </w:t>
      </w:r>
      <w:r w:rsidR="00F77A78">
        <w:rPr>
          <w:lang w:val="en-GB"/>
        </w:rPr>
        <w:t>Individual</w:t>
      </w:r>
      <w:r w:rsidR="00F77A78" w:rsidRPr="00F77A78">
        <w:rPr>
          <w:lang w:val="en-GB"/>
        </w:rPr>
        <w:t xml:space="preserve"> thresholds</w:t>
      </w:r>
      <w:r w:rsidR="00F77A78">
        <w:rPr>
          <w:lang w:val="en-GB"/>
        </w:rPr>
        <w:t xml:space="preserve"> which</w:t>
      </w:r>
      <w:r w:rsidR="00F77A78" w:rsidRPr="00F77A78">
        <w:rPr>
          <w:lang w:val="en-GB"/>
        </w:rPr>
        <w:t xml:space="preserve"> remain </w:t>
      </w:r>
      <w:r w:rsidR="00F77A78">
        <w:rPr>
          <w:lang w:val="en-GB"/>
        </w:rPr>
        <w:t>preliminary are</w:t>
      </w:r>
      <w:r w:rsidR="00F77A78" w:rsidRPr="00F77A78">
        <w:rPr>
          <w:lang w:val="en-GB"/>
        </w:rPr>
        <w:t xml:space="preserve"> noted alongside the relevant indicator and </w:t>
      </w:r>
      <w:r w:rsidR="00F77A78">
        <w:rPr>
          <w:lang w:val="en-GB"/>
        </w:rPr>
        <w:t>reviewed</w:t>
      </w:r>
      <w:r w:rsidR="00F77A78" w:rsidRPr="00F77A78">
        <w:rPr>
          <w:lang w:val="en-GB"/>
        </w:rPr>
        <w:t xml:space="preserve"> in Section 11. </w:t>
      </w:r>
    </w:p>
    <w:p w14:paraId="4BE994C0" w14:textId="366C8326" w:rsidR="00183FC8" w:rsidRDefault="00F77A78" w:rsidP="00F77A78">
      <w:r w:rsidRPr="00F77A78">
        <w:rPr>
          <w:lang w:val="en-GB"/>
        </w:rPr>
        <w:t>Within these boundaries, the chapters that follow set out how the project was carried out, beginning with the methodology in Section 4.</w:t>
      </w:r>
      <w:r w:rsidR="00B50197">
        <w:br w:type="page"/>
      </w:r>
      <w:r w:rsidR="00B50197">
        <w:lastRenderedPageBreak/>
        <w:t>4.0</w:t>
      </w:r>
      <w:r w:rsidR="00B50197">
        <w:tab/>
        <w:t>Methodology</w:t>
      </w:r>
    </w:p>
    <w:p w14:paraId="5AFC5BA5" w14:textId="77777777" w:rsidR="00183FC8" w:rsidRDefault="00B50197">
      <w:pPr>
        <w:rPr>
          <w:i/>
          <w:color w:val="808080"/>
          <w:lang w:val="en-GB"/>
        </w:rPr>
      </w:pPr>
      <w:r>
        <w:rPr>
          <w:i/>
          <w:color w:val="808080"/>
          <w:lang w:val="en-GB"/>
        </w:rPr>
        <w:t>[Section introduction: one sentence outlining what this chapter covers.]</w:t>
      </w:r>
    </w:p>
    <w:p w14:paraId="1E54B73D" w14:textId="77777777" w:rsidR="00183FC8" w:rsidRDefault="00B50197">
      <w:pPr>
        <w:pStyle w:val="Heading3"/>
      </w:pPr>
      <w:bookmarkStart w:id="20" w:name="_Toc231372516"/>
      <w:r>
        <w:t>4.1</w:t>
      </w:r>
      <w:r>
        <w:tab/>
        <w:t>Overall approach</w:t>
      </w:r>
      <w:bookmarkEnd w:id="20"/>
    </w:p>
    <w:p w14:paraId="33066106" w14:textId="77777777" w:rsidR="00183FC8" w:rsidRDefault="00183FC8">
      <w:pPr>
        <w:rPr>
          <w:lang w:val="en-GB"/>
        </w:rPr>
      </w:pPr>
    </w:p>
    <w:p w14:paraId="16C4F00F" w14:textId="77777777" w:rsidR="00183FC8" w:rsidRDefault="00B50197">
      <w:pPr>
        <w:pStyle w:val="Heading3"/>
      </w:pPr>
      <w:bookmarkStart w:id="21" w:name="_Toc231372517"/>
      <w:r>
        <w:t>4.2</w:t>
      </w:r>
      <w:r>
        <w:tab/>
        <w:t>Stakeholder engagement</w:t>
      </w:r>
      <w:bookmarkEnd w:id="21"/>
    </w:p>
    <w:p w14:paraId="1C3A30DD" w14:textId="77777777" w:rsidR="00183FC8" w:rsidRDefault="00183FC8">
      <w:pPr>
        <w:rPr>
          <w:lang w:val="en-GB"/>
        </w:rPr>
      </w:pPr>
    </w:p>
    <w:p w14:paraId="7F7157B6" w14:textId="77777777" w:rsidR="00183FC8" w:rsidRDefault="00B50197">
      <w:pPr>
        <w:pStyle w:val="Heading3"/>
      </w:pPr>
      <w:bookmarkStart w:id="22" w:name="_Toc231372518"/>
      <w:r>
        <w:t>4.3</w:t>
      </w:r>
      <w:r>
        <w:tab/>
        <w:t>Indicator and dataset review</w:t>
      </w:r>
      <w:bookmarkEnd w:id="22"/>
    </w:p>
    <w:p w14:paraId="3A3EE19F" w14:textId="77777777" w:rsidR="00183FC8" w:rsidRDefault="00183FC8">
      <w:pPr>
        <w:rPr>
          <w:lang w:val="en-GB"/>
        </w:rPr>
      </w:pPr>
    </w:p>
    <w:p w14:paraId="19625805" w14:textId="77777777" w:rsidR="00183FC8" w:rsidRDefault="00B50197">
      <w:pPr>
        <w:pStyle w:val="Heading3"/>
      </w:pPr>
      <w:bookmarkStart w:id="23" w:name="_Toc231372519"/>
      <w:r>
        <w:t>4.4</w:t>
      </w:r>
      <w:r>
        <w:tab/>
        <w:t>Iterative design and implementation</w:t>
      </w:r>
      <w:bookmarkEnd w:id="23"/>
    </w:p>
    <w:p w14:paraId="6CD787B0" w14:textId="77777777" w:rsidR="00183FC8" w:rsidRDefault="00183FC8">
      <w:pPr>
        <w:rPr>
          <w:lang w:val="en-GB"/>
        </w:rPr>
      </w:pPr>
    </w:p>
    <w:p w14:paraId="237D5CE8" w14:textId="77777777" w:rsidR="00183FC8" w:rsidRDefault="00B50197">
      <w:pPr>
        <w:pStyle w:val="Heading3"/>
      </w:pPr>
      <w:bookmarkStart w:id="24" w:name="_Toc231372520"/>
      <w:r>
        <w:t>4.5</w:t>
      </w:r>
      <w:r>
        <w:tab/>
        <w:t>Verification and testing strategy</w:t>
      </w:r>
      <w:bookmarkEnd w:id="24"/>
    </w:p>
    <w:p w14:paraId="1B61EE66" w14:textId="77777777" w:rsidR="00183FC8" w:rsidRDefault="00183FC8">
      <w:pPr>
        <w:rPr>
          <w:lang w:val="en-GB"/>
        </w:rPr>
      </w:pPr>
    </w:p>
    <w:p w14:paraId="170388C9" w14:textId="77777777" w:rsidR="00183FC8" w:rsidRDefault="00B50197">
      <w:pPr>
        <w:pStyle w:val="Heading1"/>
      </w:pPr>
      <w:r>
        <w:br w:type="page"/>
      </w:r>
      <w:bookmarkStart w:id="25" w:name="_Toc231372521"/>
      <w:r>
        <w:lastRenderedPageBreak/>
        <w:t>5.0</w:t>
      </w:r>
      <w:r>
        <w:tab/>
        <w:t>Stakeholder Requirements</w:t>
      </w:r>
      <w:bookmarkEnd w:id="25"/>
    </w:p>
    <w:p w14:paraId="6BA458C7" w14:textId="0C385224" w:rsidR="007208FF" w:rsidRPr="00E91C85" w:rsidRDefault="007208FF" w:rsidP="007208FF">
      <w:pPr>
        <w:rPr>
          <w:i/>
          <w:iCs/>
        </w:rPr>
      </w:pPr>
      <w:r w:rsidRPr="00E91C85">
        <w:rPr>
          <w:i/>
          <w:iCs/>
        </w:rPr>
        <w:t>The preceding chapters established that satellite data</w:t>
      </w:r>
      <w:r w:rsidR="009E2B6A">
        <w:rPr>
          <w:i/>
          <w:iCs/>
        </w:rPr>
        <w:t>’s</w:t>
      </w:r>
      <w:r w:rsidRPr="00E91C85">
        <w:rPr>
          <w:i/>
          <w:iCs/>
        </w:rPr>
        <w:t xml:space="preserve"> value depends on being translated into decisions. This chapter identifies whose decisions, and what those decisions require. The requirements set out here were derived from stakeholder engagement during the project, principally consultation with the GSCO team. They define the criteria against which environmental indicators are evaluated in Section 6</w:t>
      </w:r>
      <w:r w:rsidR="009E2B6A">
        <w:rPr>
          <w:i/>
          <w:iCs/>
        </w:rPr>
        <w:t>.</w:t>
      </w:r>
    </w:p>
    <w:p w14:paraId="7E40BB2E" w14:textId="4FBB9DDF" w:rsidR="00183FC8" w:rsidRDefault="00B50197">
      <w:pPr>
        <w:pStyle w:val="Heading3"/>
      </w:pPr>
      <w:bookmarkStart w:id="26" w:name="_Toc231372522"/>
      <w:r>
        <w:t>5.1</w:t>
      </w:r>
      <w:r>
        <w:tab/>
        <w:t>User types</w:t>
      </w:r>
      <w:bookmarkEnd w:id="26"/>
    </w:p>
    <w:p w14:paraId="6EF3240F" w14:textId="0801AD58" w:rsidR="00AB1BE7" w:rsidRPr="00AB1BE7" w:rsidRDefault="00AB1BE7" w:rsidP="00AB1BE7">
      <w:pPr>
        <w:rPr>
          <w:lang w:val="en-GB"/>
        </w:rPr>
      </w:pPr>
      <w:r w:rsidRPr="00AB1BE7">
        <w:rPr>
          <w:lang w:val="en-GB"/>
        </w:rPr>
        <w:t>The Global Supply Chain Observatory is intended to serve a range of stakeholders, but two groups are prioritised in the design of the environmental tool: policy makers and regulators first, followed by multinational corporations (MNCs). This ordering follows the project brief, which identifies policy makers as GSCO's first target users, while requiring that the platform remain useful across a wider set of actors. Prioritising one group does not therefore narrow the tool to it; it determines whose needs lead the design.</w:t>
      </w:r>
    </w:p>
    <w:p w14:paraId="72E5C3BB" w14:textId="66606CDC" w:rsidR="00857028" w:rsidRDefault="00AB1BE7" w:rsidP="00AB1BE7">
      <w:pPr>
        <w:rPr>
          <w:lang w:val="en-GB"/>
        </w:rPr>
      </w:pPr>
      <w:r w:rsidRPr="00AB1BE7">
        <w:rPr>
          <w:lang w:val="en-GB"/>
        </w:rPr>
        <w:t>For policy makers, value lies in seeing the system rather than the single site: using the tool to identify environmental hotspots</w:t>
      </w:r>
      <w:r>
        <w:rPr>
          <w:lang w:val="en-GB"/>
        </w:rPr>
        <w:t xml:space="preserve"> </w:t>
      </w:r>
      <w:r w:rsidRPr="00AB1BE7">
        <w:rPr>
          <w:lang w:val="en-GB"/>
        </w:rPr>
        <w:t>and dependencies across critical supply chains, and to locate the gaps in data or standards where intervention, investment, or stronger reporting requirements are warranted. For MNCs, value is more operational: translating satellite-derived indicators into supplier-level decisions</w:t>
      </w:r>
      <w:r w:rsidR="00857028">
        <w:rPr>
          <w:lang w:val="en-GB"/>
        </w:rPr>
        <w:t xml:space="preserve"> - </w:t>
      </w:r>
      <w:r w:rsidRPr="00AB1BE7">
        <w:rPr>
          <w:lang w:val="en-GB"/>
        </w:rPr>
        <w:t xml:space="preserve">which sites to screen, which </w:t>
      </w:r>
      <w:r w:rsidR="00857028">
        <w:rPr>
          <w:lang w:val="en-GB"/>
        </w:rPr>
        <w:t>require</w:t>
      </w:r>
      <w:r w:rsidRPr="00AB1BE7">
        <w:rPr>
          <w:lang w:val="en-GB"/>
        </w:rPr>
        <w:t xml:space="preserve"> due diligence, which to monitor more closely, and where to act. </w:t>
      </w:r>
    </w:p>
    <w:p w14:paraId="1459C4A2" w14:textId="5E0A7FA7" w:rsidR="00183FC8" w:rsidRDefault="00857028" w:rsidP="00AB1BE7">
      <w:pPr>
        <w:rPr>
          <w:lang w:val="en-GB"/>
        </w:rPr>
      </w:pPr>
      <w:r>
        <w:rPr>
          <w:lang w:val="en-GB"/>
        </w:rPr>
        <w:t>The requirements of MNCs are particularly</w:t>
      </w:r>
      <w:r w:rsidR="00AB1BE7" w:rsidRPr="00AB1BE7">
        <w:rPr>
          <w:lang w:val="en-GB"/>
        </w:rPr>
        <w:t xml:space="preserve"> shaped by a changing regulatory environment. As Section 2.1 noted, mandatory sustainability disclosure increasingly extends across the value chain rather than a company's own operations alone, under frameworks such as the European Union's Corporate Sustainability Reporting Directive and its associated reporting standards (European Commission, 2025). An MNC's interest in the tool is therefore not only operational but evidentiary: its outputs must be capable of supporting due-diligence and ESG disclosure obligations</w:t>
      </w:r>
      <w:r>
        <w:rPr>
          <w:lang w:val="en-GB"/>
        </w:rPr>
        <w:t>.</w:t>
      </w:r>
      <w:r w:rsidR="00AB1BE7" w:rsidRPr="00AB1BE7">
        <w:rPr>
          <w:lang w:val="en-GB"/>
        </w:rPr>
        <w:t xml:space="preserve"> This requirement is treated as a stakeholder need here and returns as a concrete design choice in the indicator units of Chapter 6 and the reporting design of Chapter 9.</w:t>
      </w:r>
    </w:p>
    <w:p w14:paraId="52D92423" w14:textId="77777777" w:rsidR="00183FC8" w:rsidRDefault="00B50197">
      <w:pPr>
        <w:pStyle w:val="Heading3"/>
      </w:pPr>
      <w:bookmarkStart w:id="27" w:name="_Toc231372523"/>
      <w:r>
        <w:t>5.2</w:t>
      </w:r>
      <w:r>
        <w:tab/>
        <w:t>Core decisions the tool must support</w:t>
      </w:r>
      <w:bookmarkEnd w:id="27"/>
    </w:p>
    <w:p w14:paraId="0E7C5FC0" w14:textId="631EBDCA" w:rsidR="00942519" w:rsidRDefault="008D3E07" w:rsidP="00942519">
      <w:pPr>
        <w:rPr>
          <w:lang w:val="en-IT"/>
        </w:rPr>
      </w:pPr>
      <w:r w:rsidRPr="008D3E07">
        <w:rPr>
          <w:lang w:val="en-IT"/>
        </w:rPr>
        <w:t>The tool is organised around four decisions a user can make about a location or a set of locations</w:t>
      </w:r>
      <w:r>
        <w:rPr>
          <w:lang w:val="en-IT"/>
        </w:rPr>
        <w:t xml:space="preserve"> - </w:t>
      </w:r>
      <w:r w:rsidRPr="008D3E07">
        <w:rPr>
          <w:lang w:val="en-IT"/>
        </w:rPr>
        <w:t>screening, monitoring, prioritisation, and reporting</w:t>
      </w:r>
      <w:r>
        <w:rPr>
          <w:lang w:val="en-IT"/>
        </w:rPr>
        <w:t xml:space="preserve"> - </w:t>
      </w:r>
      <w:r w:rsidRPr="008D3E07">
        <w:rPr>
          <w:lang w:val="en-IT"/>
        </w:rPr>
        <w:t xml:space="preserve">connected by the workflow </w:t>
      </w:r>
      <w:r w:rsidRPr="008D3E07">
        <w:rPr>
          <w:lang w:val="en-IT"/>
        </w:rPr>
        <w:lastRenderedPageBreak/>
        <w:t>shown in Figure 5.1. These are not separate products but stages a user can move between, sharing a common starting point.</w:t>
      </w:r>
      <w:r w:rsidR="00942519" w:rsidRPr="00942519">
        <w:rPr>
          <w:lang w:val="en-IT"/>
        </w:rPr>
        <w:t>. A policy maker typically begins from the supply-chain map GSCO already provides, selecting a region or a node from a</w:t>
      </w:r>
      <w:r w:rsidR="00942519">
        <w:rPr>
          <w:lang w:val="en-IT"/>
        </w:rPr>
        <w:t>n existing</w:t>
      </w:r>
      <w:r w:rsidR="00942519" w:rsidRPr="00942519">
        <w:rPr>
          <w:lang w:val="en-IT"/>
        </w:rPr>
        <w:t xml:space="preserve"> network</w:t>
      </w:r>
      <w:r w:rsidR="00942519">
        <w:rPr>
          <w:lang w:val="en-IT"/>
        </w:rPr>
        <w:t>. A</w:t>
      </w:r>
      <w:r w:rsidR="00942519" w:rsidRPr="00942519">
        <w:rPr>
          <w:lang w:val="en-IT"/>
        </w:rPr>
        <w:t>n MNC begins from a supply chain it has uploaded itself. Either way, once a location is chosen, the same four decisions and analysis become available.</w:t>
      </w:r>
    </w:p>
    <w:p w14:paraId="68AE9CBF" w14:textId="45F2D4EE" w:rsidR="008D3E07" w:rsidRPr="006656C9" w:rsidRDefault="008D3E07" w:rsidP="00942519">
      <w:pPr>
        <w:rPr>
          <w:color w:val="EE0000"/>
          <w:lang w:val="en-IT"/>
        </w:rPr>
      </w:pPr>
      <w:r w:rsidRPr="006656C9">
        <w:rPr>
          <w:color w:val="EE0000"/>
          <w:lang w:val="en-IT"/>
        </w:rPr>
        <w:t>[Figure 5.1: Tool workflow flowchart — landing and user-type selection → scope set-up → Workflow Hub → Inspect and Prioritisation branches with their result views → save to persistent modules. To be inserted by author.]</w:t>
      </w:r>
    </w:p>
    <w:p w14:paraId="54720837" w14:textId="112DAE14" w:rsidR="00942519" w:rsidRPr="00942519" w:rsidRDefault="00942519" w:rsidP="00942519">
      <w:pPr>
        <w:rPr>
          <w:lang w:val="en-IT"/>
        </w:rPr>
      </w:pPr>
      <w:r w:rsidRPr="00942519">
        <w:rPr>
          <w:b/>
          <w:bCs/>
          <w:lang w:val="en-IT"/>
        </w:rPr>
        <w:t>Screening</w:t>
      </w:r>
      <w:r w:rsidRPr="00942519">
        <w:rPr>
          <w:lang w:val="en-IT"/>
        </w:rPr>
        <w:t xml:space="preserve"> answers the most immediate question: does this location show cause for concern now? </w:t>
      </w:r>
      <w:r w:rsidR="00FA69DB" w:rsidRPr="00FA69DB">
        <w:rPr>
          <w:lang w:val="en-IT"/>
        </w:rPr>
        <w:t>The user selects a single region or supplier and sets a radius defining the site buffer around it, choosing from a graded set of stops</w:t>
      </w:r>
      <w:r w:rsidR="00FA69DB">
        <w:rPr>
          <w:lang w:val="en-IT"/>
        </w:rPr>
        <w:t xml:space="preserve"> - </w:t>
      </w:r>
      <w:r w:rsidR="00FA69DB" w:rsidRPr="00FA69DB">
        <w:rPr>
          <w:lang w:val="en-IT"/>
        </w:rPr>
        <w:t>1, 5, 10, 25, or 50 km</w:t>
      </w:r>
      <w:r w:rsidR="00FA69DB">
        <w:rPr>
          <w:lang w:val="en-IT"/>
        </w:rPr>
        <w:t xml:space="preserve"> - </w:t>
      </w:r>
      <w:r w:rsidR="00FA69DB" w:rsidRPr="00FA69DB">
        <w:rPr>
          <w:lang w:val="en-IT"/>
        </w:rPr>
        <w:t xml:space="preserve">that range from an individual facility footprint to a broad regional extent; a 5 km buffer is suggested for a single supplier and a 25 km one for a region. The tool characterises conditions within that buffer relative to its wider surroundings, </w:t>
      </w:r>
      <w:r w:rsidR="00FA69DB">
        <w:rPr>
          <w:lang w:val="en-IT"/>
        </w:rPr>
        <w:t xml:space="preserve">within a customisable time frame; the tool defaults to the </w:t>
      </w:r>
      <w:r w:rsidR="00FA69DB" w:rsidRPr="00FA69DB">
        <w:rPr>
          <w:lang w:val="en-IT"/>
        </w:rPr>
        <w:t xml:space="preserve">most recent 90-day window so that the result reflects current conditions.. What returns is a set of scores with a traffic-light rating and a map of where the signal concentrates, supporting a rapid judgement of whether the site </w:t>
      </w:r>
      <w:r w:rsidR="00FA69DB">
        <w:rPr>
          <w:lang w:val="en-IT"/>
        </w:rPr>
        <w:t>requires</w:t>
      </w:r>
      <w:r w:rsidR="00FA69DB" w:rsidRPr="00FA69DB">
        <w:rPr>
          <w:lang w:val="en-IT"/>
        </w:rPr>
        <w:t xml:space="preserve"> closer </w:t>
      </w:r>
      <w:r w:rsidR="00FA69DB">
        <w:rPr>
          <w:lang w:val="en-IT"/>
        </w:rPr>
        <w:t>analysis</w:t>
      </w:r>
      <w:r w:rsidR="00FA69DB" w:rsidRPr="00FA69DB">
        <w:rPr>
          <w:lang w:val="en-IT"/>
        </w:rPr>
        <w:t>. This is the tool</w:t>
      </w:r>
      <w:r w:rsidR="00FA69DB">
        <w:rPr>
          <w:lang w:val="en-IT"/>
        </w:rPr>
        <w:t>’s</w:t>
      </w:r>
      <w:r w:rsidR="00FA69DB" w:rsidRPr="00FA69DB">
        <w:rPr>
          <w:lang w:val="en-IT"/>
        </w:rPr>
        <w:t xml:space="preserve"> primary role: a first-pass filter pointing to probable impact. The method by which the buffer-versus-surroundings comparison becomes a score is set out in </w:t>
      </w:r>
      <w:r w:rsidR="00FA69DB">
        <w:rPr>
          <w:lang w:val="en-IT"/>
        </w:rPr>
        <w:t>Section</w:t>
      </w:r>
      <w:r w:rsidR="00FA69DB" w:rsidRPr="00FA69DB">
        <w:rPr>
          <w:lang w:val="en-IT"/>
        </w:rPr>
        <w:t xml:space="preserve"> 7.</w:t>
      </w:r>
    </w:p>
    <w:p w14:paraId="3DD75CF5" w14:textId="0D3CF2FC" w:rsidR="00FA69DB" w:rsidRDefault="00FA69DB" w:rsidP="00942519">
      <w:pPr>
        <w:rPr>
          <w:lang w:val="en-IT"/>
        </w:rPr>
      </w:pPr>
      <w:r w:rsidRPr="00FA69DB">
        <w:rPr>
          <w:b/>
          <w:bCs/>
          <w:lang w:val="en-IT"/>
        </w:rPr>
        <w:t xml:space="preserve">Monitoring </w:t>
      </w:r>
      <w:r>
        <w:rPr>
          <w:lang w:val="en-IT"/>
        </w:rPr>
        <w:t>assesses whether</w:t>
      </w:r>
      <w:r w:rsidRPr="00FA69DB">
        <w:rPr>
          <w:lang w:val="en-IT"/>
        </w:rPr>
        <w:t xml:space="preserve"> </w:t>
      </w:r>
      <w:r>
        <w:rPr>
          <w:lang w:val="en-IT"/>
        </w:rPr>
        <w:t>conditions within the</w:t>
      </w:r>
      <w:r w:rsidRPr="00FA69DB">
        <w:rPr>
          <w:lang w:val="en-IT"/>
        </w:rPr>
        <w:t xml:space="preserve"> same location</w:t>
      </w:r>
      <w:r>
        <w:rPr>
          <w:lang w:val="en-IT"/>
        </w:rPr>
        <w:t xml:space="preserve"> are changing over time. </w:t>
      </w:r>
      <w:r w:rsidRPr="00FA69DB">
        <w:rPr>
          <w:lang w:val="en-IT"/>
        </w:rPr>
        <w:t>Rather than a single snapshot, the tool fits a trend to each indicator's history</w:t>
      </w:r>
      <w:r>
        <w:rPr>
          <w:lang w:val="en-IT"/>
        </w:rPr>
        <w:t>,</w:t>
      </w:r>
      <w:r w:rsidRPr="00FA69DB">
        <w:rPr>
          <w:lang w:val="en-IT"/>
        </w:rPr>
        <w:t xml:space="preserve"> estimating the direction and rate of change, together with a measure of whether that change is statistically distinguishable from noise. One point is worth making explicit</w:t>
      </w:r>
      <w:r>
        <w:rPr>
          <w:lang w:val="en-IT"/>
        </w:rPr>
        <w:t xml:space="preserve">. </w:t>
      </w:r>
      <w:r w:rsidRPr="00FA69DB">
        <w:rPr>
          <w:lang w:val="en-IT"/>
        </w:rPr>
        <w:t>The requirement, as first expressed</w:t>
      </w:r>
      <w:r>
        <w:rPr>
          <w:lang w:val="en-IT"/>
        </w:rPr>
        <w:t xml:space="preserve"> in the Project Brief</w:t>
      </w:r>
      <w:r w:rsidRPr="00FA69DB">
        <w:rPr>
          <w:lang w:val="en-IT"/>
        </w:rPr>
        <w:t>, asked for a single combined measure of change for a location</w:t>
      </w:r>
      <w:r>
        <w:rPr>
          <w:lang w:val="en-IT"/>
        </w:rPr>
        <w:t>.</w:t>
      </w:r>
      <w:r w:rsidRPr="00FA69DB">
        <w:rPr>
          <w:lang w:val="en-IT"/>
        </w:rPr>
        <w:t xml:space="preserve"> </w:t>
      </w:r>
      <w:r>
        <w:rPr>
          <w:lang w:val="en-IT"/>
        </w:rPr>
        <w:t>The</w:t>
      </w:r>
      <w:r w:rsidRPr="00FA69DB">
        <w:rPr>
          <w:lang w:val="en-IT"/>
        </w:rPr>
        <w:t xml:space="preserve"> tool instead reports change separately for each </w:t>
      </w:r>
      <w:r>
        <w:rPr>
          <w:lang w:val="en-IT"/>
        </w:rPr>
        <w:t>environmental indicator</w:t>
      </w:r>
      <w:r w:rsidRPr="00FA69DB">
        <w:rPr>
          <w:lang w:val="en-IT"/>
        </w:rPr>
        <w:t xml:space="preserve"> it tracks, </w:t>
      </w:r>
      <w:r>
        <w:rPr>
          <w:lang w:val="en-IT"/>
        </w:rPr>
        <w:t>since different</w:t>
      </w:r>
      <w:r w:rsidRPr="00FA69DB">
        <w:rPr>
          <w:lang w:val="en-IT"/>
        </w:rPr>
        <w:t xml:space="preserve"> signals change in different ways and are not meaningfully averaged</w:t>
      </w:r>
      <w:r>
        <w:rPr>
          <w:lang w:val="en-IT"/>
        </w:rPr>
        <w:t>.</w:t>
      </w:r>
      <w:r w:rsidRPr="00FA69DB">
        <w:rPr>
          <w:lang w:val="en-IT"/>
        </w:rPr>
        <w:t xml:space="preserve"> </w:t>
      </w:r>
      <w:r>
        <w:rPr>
          <w:lang w:val="en-IT"/>
        </w:rPr>
        <w:t>For</w:t>
      </w:r>
      <w:r w:rsidRPr="00FA69DB">
        <w:rPr>
          <w:lang w:val="en-IT"/>
        </w:rPr>
        <w:t xml:space="preserve"> the purposes of this chapter, the monitoring </w:t>
      </w:r>
      <w:r w:rsidR="006656C9">
        <w:rPr>
          <w:lang w:val="en-IT"/>
        </w:rPr>
        <w:t xml:space="preserve">features </w:t>
      </w:r>
      <w:r w:rsidRPr="00FA69DB">
        <w:rPr>
          <w:lang w:val="en-IT"/>
        </w:rPr>
        <w:t xml:space="preserve">simply </w:t>
      </w:r>
      <w:r w:rsidR="006656C9">
        <w:rPr>
          <w:lang w:val="en-IT"/>
        </w:rPr>
        <w:t xml:space="preserve">idenntifies </w:t>
      </w:r>
      <w:r w:rsidRPr="00FA69DB">
        <w:rPr>
          <w:lang w:val="en-IT"/>
        </w:rPr>
        <w:t>whether conditions at a site are getting worse.</w:t>
      </w:r>
    </w:p>
    <w:p w14:paraId="5AC28875" w14:textId="38C793CD" w:rsidR="006656C9" w:rsidRDefault="006656C9" w:rsidP="00942519">
      <w:r>
        <w:rPr>
          <w:rStyle w:val="Strong"/>
        </w:rPr>
        <w:t>Prioritisation</w:t>
      </w:r>
      <w:r>
        <w:t xml:space="preserve"> shifts from one location to many. Rather than inspecting a single site, the user runs the analysis across a set of supply chain nodes, applying the same radius around every node so that the results are comparable. The tool returns the locations ranked by the most </w:t>
      </w:r>
      <w:r>
        <w:lastRenderedPageBreak/>
        <w:t xml:space="preserve">and least pressing stand out – according to a pre-defined environmental criteria - allowing limited investigative capacity to be directed where it is most likely to be justified. To keep the satellite computation manageable, a single run covers up to 30 nodes. </w:t>
      </w:r>
    </w:p>
    <w:p w14:paraId="34F4992D" w14:textId="3F3537B5" w:rsidR="00942519" w:rsidRPr="006656C9" w:rsidRDefault="00942519" w:rsidP="00942519">
      <w:pPr>
        <w:rPr>
          <w:color w:val="EE0000"/>
          <w:lang w:val="en-IT"/>
        </w:rPr>
      </w:pPr>
      <w:r w:rsidRPr="00942519">
        <w:rPr>
          <w:b/>
          <w:bCs/>
          <w:lang w:val="en-IT"/>
        </w:rPr>
        <w:t>Reporting</w:t>
      </w:r>
      <w:r w:rsidRPr="00942519">
        <w:rPr>
          <w:lang w:val="en-IT"/>
        </w:rPr>
        <w:t xml:space="preserve"> turns any of the preceding analyses into a communicable record. The user assembles the indicators and evidence from a screening, monitoring, or prioritisation run into a structured report</w:t>
      </w:r>
      <w:r w:rsidR="006656C9">
        <w:rPr>
          <w:lang w:val="en-IT"/>
        </w:rPr>
        <w:t xml:space="preserve"> - </w:t>
      </w:r>
      <w:r w:rsidRPr="00942519">
        <w:rPr>
          <w:lang w:val="en-IT"/>
        </w:rPr>
        <w:t>framed for policy audit in the policy-maker case, and for ESG and due-diligence disclosure in the MNC case</w:t>
      </w:r>
      <w:r w:rsidR="006656C9">
        <w:rPr>
          <w:lang w:val="en-IT"/>
        </w:rPr>
        <w:t xml:space="preserve"> – and exports it.</w:t>
      </w:r>
      <w:r w:rsidRPr="00942519">
        <w:rPr>
          <w:lang w:val="en-IT"/>
        </w:rPr>
        <w:t xml:space="preserve"> </w:t>
      </w:r>
      <w:r w:rsidR="006656C9" w:rsidRPr="006656C9">
        <w:rPr>
          <w:color w:val="EE0000"/>
          <w:lang w:val="en-IT"/>
        </w:rPr>
        <w:t>XXX</w:t>
      </w:r>
    </w:p>
    <w:p w14:paraId="6F4C2FC6" w14:textId="1B528476" w:rsidR="00183FC8" w:rsidRPr="00942519" w:rsidRDefault="00942519" w:rsidP="00942519">
      <w:pPr>
        <w:rPr>
          <w:lang w:val="en-IT"/>
        </w:rPr>
      </w:pPr>
      <w:r w:rsidRPr="00942519">
        <w:rPr>
          <w:lang w:val="en-IT"/>
        </w:rPr>
        <w:t>Taken together, these four decisions define what the tool must do; the next section consolidates them, with their associated indicators and outputs, into the requirements matrix that guided the design.</w:t>
      </w:r>
    </w:p>
    <w:p w14:paraId="58D1AFB2" w14:textId="77777777" w:rsidR="00183FC8" w:rsidRDefault="00B50197">
      <w:pPr>
        <w:pStyle w:val="Heading3"/>
      </w:pPr>
      <w:bookmarkStart w:id="28" w:name="_Toc231372524"/>
      <w:r>
        <w:t>5.3</w:t>
      </w:r>
      <w:r>
        <w:tab/>
        <w:t>Requirements summary</w:t>
      </w:r>
      <w:bookmarkEnd w:id="28"/>
    </w:p>
    <w:p w14:paraId="757EF20B" w14:textId="77777777" w:rsidR="006656C9" w:rsidRDefault="006656C9">
      <w:pPr>
        <w:rPr>
          <w:lang w:val="en-GB"/>
        </w:rPr>
      </w:pPr>
      <w:r w:rsidRPr="006656C9">
        <w:rPr>
          <w:lang w:val="en-GB"/>
        </w:rPr>
        <w:t xml:space="preserve">The requirements set out above can be consolidated into a single matrix relating each stakeholder group to each decision it needs to make. </w:t>
      </w:r>
    </w:p>
    <w:p w14:paraId="750ED675" w14:textId="0273AD02" w:rsidR="0046028A" w:rsidRDefault="006656C9" w:rsidP="00296AE8">
      <w:pPr>
        <w:rPr>
          <w:lang w:val="en-GB"/>
        </w:rPr>
      </w:pPr>
      <w:r w:rsidRPr="006656C9">
        <w:rPr>
          <w:lang w:val="en-GB"/>
        </w:rPr>
        <w:t>The tool produces the same analytical outputs for both user groups; what changes is scope and labelling, not computation. A screening run over a region and a screening run over a single supplier site use the same underlying engine, and the result is presented to a policy maker as a "Regional" score and to an MNC as the "Supplier" equivalents. The distinctions in the table are therefore distinctions of who is asking and at what scope</w:t>
      </w:r>
      <w:r>
        <w:rPr>
          <w:lang w:val="en-GB"/>
        </w:rPr>
        <w:t>.</w:t>
      </w:r>
    </w:p>
    <w:p w14:paraId="4492C378" w14:textId="77777777" w:rsidR="00296AE8" w:rsidRPr="00296AE8" w:rsidRDefault="00296AE8" w:rsidP="00296AE8">
      <w:pPr>
        <w:rPr>
          <w:lang w:val="en-GB"/>
        </w:rPr>
      </w:pPr>
    </w:p>
    <w:tbl>
      <w:tblPr>
        <w:tblStyle w:val="TableGrid"/>
        <w:tblW w:w="0" w:type="auto"/>
        <w:tblCellMar>
          <w:top w:w="142" w:type="dxa"/>
        </w:tblCellMar>
        <w:tblLook w:val="04A0" w:firstRow="1" w:lastRow="0" w:firstColumn="1" w:lastColumn="0" w:noHBand="0" w:noVBand="1"/>
      </w:tblPr>
      <w:tblGrid>
        <w:gridCol w:w="1843"/>
        <w:gridCol w:w="3969"/>
        <w:gridCol w:w="3248"/>
      </w:tblGrid>
      <w:tr w:rsidR="0046028A" w14:paraId="0335735E" w14:textId="77777777" w:rsidTr="00296AE8">
        <w:tc>
          <w:tcPr>
            <w:tcW w:w="1843" w:type="dxa"/>
            <w:tcBorders>
              <w:top w:val="single" w:sz="4" w:space="0" w:color="auto"/>
              <w:left w:val="nil"/>
            </w:tcBorders>
            <w:vAlign w:val="center"/>
          </w:tcPr>
          <w:p w14:paraId="38FCA89D" w14:textId="4F268503" w:rsidR="0046028A" w:rsidRPr="00F77A78" w:rsidRDefault="0046028A" w:rsidP="00296AE8">
            <w:pPr>
              <w:pStyle w:val="Tabletext"/>
              <w:rPr>
                <w:b/>
                <w:bCs/>
                <w:sz w:val="22"/>
                <w:szCs w:val="22"/>
              </w:rPr>
            </w:pPr>
            <w:r w:rsidRPr="00F77A78">
              <w:rPr>
                <w:b/>
                <w:bCs/>
                <w:sz w:val="22"/>
                <w:szCs w:val="22"/>
              </w:rPr>
              <w:t>Decision Stage</w:t>
            </w:r>
          </w:p>
        </w:tc>
        <w:tc>
          <w:tcPr>
            <w:tcW w:w="3969" w:type="dxa"/>
            <w:tcBorders>
              <w:top w:val="single" w:sz="4" w:space="0" w:color="auto"/>
            </w:tcBorders>
            <w:vAlign w:val="center"/>
          </w:tcPr>
          <w:p w14:paraId="4FDD53E5" w14:textId="6EF91167" w:rsidR="0046028A" w:rsidRPr="00F77A78" w:rsidRDefault="0046028A" w:rsidP="00296AE8">
            <w:pPr>
              <w:pStyle w:val="Tabletext"/>
              <w:rPr>
                <w:b/>
                <w:bCs/>
                <w:sz w:val="22"/>
                <w:szCs w:val="22"/>
              </w:rPr>
            </w:pPr>
            <w:r w:rsidRPr="00F77A78">
              <w:rPr>
                <w:b/>
                <w:bCs/>
                <w:sz w:val="22"/>
                <w:szCs w:val="22"/>
              </w:rPr>
              <w:t>Output (policy-maker / MNC label)</w:t>
            </w:r>
          </w:p>
        </w:tc>
        <w:tc>
          <w:tcPr>
            <w:tcW w:w="3248" w:type="dxa"/>
            <w:tcBorders>
              <w:top w:val="single" w:sz="4" w:space="0" w:color="auto"/>
              <w:right w:val="nil"/>
            </w:tcBorders>
            <w:vAlign w:val="center"/>
          </w:tcPr>
          <w:p w14:paraId="78E84F41" w14:textId="63C7141D" w:rsidR="0046028A" w:rsidRPr="00F77A78" w:rsidRDefault="0046028A" w:rsidP="00296AE8">
            <w:pPr>
              <w:pStyle w:val="Tabletext"/>
              <w:rPr>
                <w:b/>
                <w:bCs/>
                <w:sz w:val="22"/>
                <w:szCs w:val="22"/>
              </w:rPr>
            </w:pPr>
            <w:r w:rsidRPr="00F77A78">
              <w:rPr>
                <w:b/>
                <w:bCs/>
                <w:sz w:val="22"/>
                <w:szCs w:val="22"/>
              </w:rPr>
              <w:t>What the user is deciding</w:t>
            </w:r>
          </w:p>
        </w:tc>
      </w:tr>
      <w:tr w:rsidR="0046028A" w14:paraId="4214E35F" w14:textId="77777777" w:rsidTr="00296AE8">
        <w:tc>
          <w:tcPr>
            <w:tcW w:w="1843" w:type="dxa"/>
            <w:tcBorders>
              <w:left w:val="nil"/>
            </w:tcBorders>
            <w:vAlign w:val="center"/>
          </w:tcPr>
          <w:p w14:paraId="34978F47" w14:textId="62CFE5EF" w:rsidR="0046028A" w:rsidRPr="00F77A78" w:rsidRDefault="0046028A" w:rsidP="00296AE8">
            <w:pPr>
              <w:pStyle w:val="Tabletext"/>
              <w:rPr>
                <w:b/>
                <w:bCs/>
                <w:sz w:val="22"/>
                <w:szCs w:val="22"/>
              </w:rPr>
            </w:pPr>
            <w:r w:rsidRPr="00F77A78">
              <w:rPr>
                <w:b/>
                <w:bCs/>
                <w:sz w:val="22"/>
                <w:szCs w:val="22"/>
              </w:rPr>
              <w:t>Screening</w:t>
            </w:r>
          </w:p>
        </w:tc>
        <w:tc>
          <w:tcPr>
            <w:tcW w:w="3969" w:type="dxa"/>
            <w:vAlign w:val="center"/>
          </w:tcPr>
          <w:p w14:paraId="35605E21" w14:textId="74E3E29F" w:rsidR="0046028A" w:rsidRPr="00F77A78" w:rsidRDefault="0046028A" w:rsidP="00296AE8">
            <w:pPr>
              <w:pStyle w:val="Tabletext"/>
              <w:rPr>
                <w:sz w:val="22"/>
                <w:szCs w:val="22"/>
              </w:rPr>
            </w:pPr>
            <w:r w:rsidRPr="00F77A78">
              <w:rPr>
                <w:sz w:val="22"/>
                <w:szCs w:val="22"/>
              </w:rPr>
              <w:t>Environmental Screening Score</w:t>
            </w:r>
          </w:p>
        </w:tc>
        <w:tc>
          <w:tcPr>
            <w:tcW w:w="3248" w:type="dxa"/>
            <w:tcBorders>
              <w:right w:val="nil"/>
            </w:tcBorders>
            <w:vAlign w:val="center"/>
          </w:tcPr>
          <w:p w14:paraId="4D07DF78" w14:textId="04646891" w:rsidR="0046028A" w:rsidRPr="00F77A78" w:rsidRDefault="0046028A" w:rsidP="00296AE8">
            <w:pPr>
              <w:pStyle w:val="Tabletext"/>
              <w:rPr>
                <w:sz w:val="22"/>
                <w:szCs w:val="22"/>
              </w:rPr>
            </w:pPr>
            <w:r w:rsidRPr="00F77A78">
              <w:rPr>
                <w:sz w:val="22"/>
                <w:szCs w:val="22"/>
              </w:rPr>
              <w:t>Whether a location shows cause for concern now</w:t>
            </w:r>
          </w:p>
        </w:tc>
      </w:tr>
      <w:tr w:rsidR="0046028A" w14:paraId="6B887E31" w14:textId="77777777" w:rsidTr="00296AE8">
        <w:tc>
          <w:tcPr>
            <w:tcW w:w="1843" w:type="dxa"/>
            <w:tcBorders>
              <w:left w:val="nil"/>
            </w:tcBorders>
            <w:vAlign w:val="center"/>
          </w:tcPr>
          <w:p w14:paraId="3663991E" w14:textId="68735FD7" w:rsidR="0046028A" w:rsidRPr="00F77A78" w:rsidRDefault="0046028A" w:rsidP="00296AE8">
            <w:pPr>
              <w:pStyle w:val="Tabletext"/>
              <w:rPr>
                <w:b/>
                <w:bCs/>
                <w:sz w:val="22"/>
                <w:szCs w:val="22"/>
              </w:rPr>
            </w:pPr>
            <w:r w:rsidRPr="00F77A78">
              <w:rPr>
                <w:b/>
                <w:bCs/>
                <w:sz w:val="22"/>
                <w:szCs w:val="22"/>
              </w:rPr>
              <w:t>Monitoring</w:t>
            </w:r>
          </w:p>
        </w:tc>
        <w:tc>
          <w:tcPr>
            <w:tcW w:w="3969" w:type="dxa"/>
            <w:vAlign w:val="center"/>
          </w:tcPr>
          <w:p w14:paraId="25F5D311" w14:textId="2D5FB681" w:rsidR="0046028A" w:rsidRPr="00F77A78" w:rsidRDefault="0046028A" w:rsidP="00296AE8">
            <w:pPr>
              <w:pStyle w:val="Tabletext"/>
              <w:rPr>
                <w:sz w:val="22"/>
                <w:szCs w:val="22"/>
              </w:rPr>
            </w:pPr>
            <w:r w:rsidRPr="00F77A78">
              <w:rPr>
                <w:sz w:val="22"/>
                <w:szCs w:val="22"/>
              </w:rPr>
              <w:t>Per-indicator environmental trends</w:t>
            </w:r>
          </w:p>
        </w:tc>
        <w:tc>
          <w:tcPr>
            <w:tcW w:w="3248" w:type="dxa"/>
            <w:tcBorders>
              <w:right w:val="nil"/>
            </w:tcBorders>
            <w:vAlign w:val="center"/>
          </w:tcPr>
          <w:p w14:paraId="62AEEB5F" w14:textId="2810D3A6" w:rsidR="0046028A" w:rsidRPr="00F77A78" w:rsidRDefault="0046028A" w:rsidP="00296AE8">
            <w:pPr>
              <w:pStyle w:val="Tabletext"/>
              <w:rPr>
                <w:sz w:val="22"/>
                <w:szCs w:val="22"/>
              </w:rPr>
            </w:pPr>
            <w:r w:rsidRPr="00F77A78">
              <w:rPr>
                <w:sz w:val="22"/>
                <w:szCs w:val="22"/>
              </w:rPr>
              <w:t>Whether conditions at a location are changing over time</w:t>
            </w:r>
          </w:p>
        </w:tc>
      </w:tr>
      <w:tr w:rsidR="0046028A" w14:paraId="28597897" w14:textId="77777777" w:rsidTr="00296AE8">
        <w:tc>
          <w:tcPr>
            <w:tcW w:w="1843" w:type="dxa"/>
            <w:tcBorders>
              <w:left w:val="nil"/>
              <w:bottom w:val="single" w:sz="4" w:space="0" w:color="auto"/>
            </w:tcBorders>
            <w:vAlign w:val="center"/>
          </w:tcPr>
          <w:p w14:paraId="6E5E001B" w14:textId="46A1B1B4" w:rsidR="0046028A" w:rsidRPr="00F77A78" w:rsidRDefault="0046028A" w:rsidP="00296AE8">
            <w:pPr>
              <w:pStyle w:val="Tabletext"/>
              <w:rPr>
                <w:b/>
                <w:bCs/>
                <w:sz w:val="22"/>
                <w:szCs w:val="22"/>
              </w:rPr>
            </w:pPr>
            <w:r w:rsidRPr="00F77A78">
              <w:rPr>
                <w:b/>
                <w:bCs/>
                <w:sz w:val="22"/>
                <w:szCs w:val="22"/>
              </w:rPr>
              <w:t>Prioritisation</w:t>
            </w:r>
          </w:p>
        </w:tc>
        <w:tc>
          <w:tcPr>
            <w:tcW w:w="3969" w:type="dxa"/>
            <w:tcBorders>
              <w:bottom w:val="single" w:sz="4" w:space="0" w:color="auto"/>
            </w:tcBorders>
            <w:vAlign w:val="center"/>
          </w:tcPr>
          <w:p w14:paraId="2736F1A3" w14:textId="674198BB" w:rsidR="0046028A" w:rsidRPr="00F77A78" w:rsidRDefault="0046028A" w:rsidP="00296AE8">
            <w:pPr>
              <w:pStyle w:val="Tabletext"/>
              <w:rPr>
                <w:sz w:val="22"/>
                <w:szCs w:val="22"/>
              </w:rPr>
            </w:pPr>
            <w:r w:rsidRPr="00F77A78">
              <w:rPr>
                <w:sz w:val="22"/>
                <w:szCs w:val="22"/>
              </w:rPr>
              <w:t>Environmental Audit Priority Score</w:t>
            </w:r>
          </w:p>
        </w:tc>
        <w:tc>
          <w:tcPr>
            <w:tcW w:w="3248" w:type="dxa"/>
            <w:tcBorders>
              <w:bottom w:val="single" w:sz="4" w:space="0" w:color="auto"/>
              <w:right w:val="nil"/>
            </w:tcBorders>
            <w:vAlign w:val="center"/>
          </w:tcPr>
          <w:p w14:paraId="01E0CE5D" w14:textId="7715D5EC" w:rsidR="0046028A" w:rsidRPr="00F77A78" w:rsidRDefault="0046028A" w:rsidP="00296AE8">
            <w:pPr>
              <w:pStyle w:val="Tabletext"/>
              <w:rPr>
                <w:sz w:val="22"/>
                <w:szCs w:val="22"/>
              </w:rPr>
            </w:pPr>
            <w:r w:rsidRPr="00F77A78">
              <w:rPr>
                <w:sz w:val="22"/>
                <w:szCs w:val="22"/>
              </w:rPr>
              <w:t>Which sites, among many, to investigate first</w:t>
            </w:r>
          </w:p>
        </w:tc>
      </w:tr>
      <w:tr w:rsidR="0046028A" w14:paraId="25D3ADA9" w14:textId="77777777" w:rsidTr="00296AE8">
        <w:tc>
          <w:tcPr>
            <w:tcW w:w="1843" w:type="dxa"/>
            <w:tcBorders>
              <w:left w:val="nil"/>
              <w:bottom w:val="single" w:sz="4" w:space="0" w:color="auto"/>
            </w:tcBorders>
            <w:vAlign w:val="center"/>
          </w:tcPr>
          <w:p w14:paraId="0B73F22E" w14:textId="745D1190" w:rsidR="0046028A" w:rsidRPr="00F77A78" w:rsidRDefault="0046028A" w:rsidP="00296AE8">
            <w:pPr>
              <w:pStyle w:val="Tabletext"/>
              <w:rPr>
                <w:b/>
                <w:bCs/>
                <w:sz w:val="22"/>
                <w:szCs w:val="22"/>
              </w:rPr>
            </w:pPr>
            <w:r w:rsidRPr="00F77A78">
              <w:rPr>
                <w:b/>
                <w:bCs/>
                <w:sz w:val="22"/>
                <w:szCs w:val="22"/>
              </w:rPr>
              <w:t>Reporting</w:t>
            </w:r>
          </w:p>
        </w:tc>
        <w:tc>
          <w:tcPr>
            <w:tcW w:w="3969" w:type="dxa"/>
            <w:tcBorders>
              <w:bottom w:val="single" w:sz="4" w:space="0" w:color="auto"/>
            </w:tcBorders>
            <w:vAlign w:val="center"/>
          </w:tcPr>
          <w:p w14:paraId="7A1E9777" w14:textId="5B95ECEB" w:rsidR="0046028A" w:rsidRPr="00F77A78" w:rsidRDefault="0046028A" w:rsidP="00296AE8">
            <w:pPr>
              <w:pStyle w:val="Tabletext"/>
              <w:rPr>
                <w:sz w:val="22"/>
                <w:szCs w:val="22"/>
              </w:rPr>
            </w:pPr>
            <w:r w:rsidRPr="00F77A78">
              <w:rPr>
                <w:sz w:val="22"/>
                <w:szCs w:val="22"/>
              </w:rPr>
              <w:t>Policy audit / ESG &amp; due-diligence report</w:t>
            </w:r>
          </w:p>
        </w:tc>
        <w:tc>
          <w:tcPr>
            <w:tcW w:w="3248" w:type="dxa"/>
            <w:tcBorders>
              <w:bottom w:val="single" w:sz="4" w:space="0" w:color="auto"/>
              <w:right w:val="nil"/>
            </w:tcBorders>
            <w:vAlign w:val="center"/>
          </w:tcPr>
          <w:p w14:paraId="02A59863" w14:textId="1BB68EBB" w:rsidR="0046028A" w:rsidRPr="00F77A78" w:rsidRDefault="0046028A" w:rsidP="00296AE8">
            <w:pPr>
              <w:pStyle w:val="Tabletext"/>
              <w:rPr>
                <w:sz w:val="22"/>
                <w:szCs w:val="22"/>
              </w:rPr>
            </w:pPr>
            <w:r w:rsidRPr="00F77A78">
              <w:rPr>
                <w:sz w:val="22"/>
                <w:szCs w:val="22"/>
              </w:rPr>
              <w:t>How to communicate findings as defensible evidence</w:t>
            </w:r>
          </w:p>
        </w:tc>
      </w:tr>
    </w:tbl>
    <w:p w14:paraId="0B0A1C4A" w14:textId="5DC35836" w:rsidR="0046028A" w:rsidRPr="00F77A78" w:rsidRDefault="00296AE8" w:rsidP="00F77A78">
      <w:pPr>
        <w:pStyle w:val="Caption"/>
      </w:pPr>
      <w:r w:rsidRPr="00F77A78">
        <w:t xml:space="preserve">Table </w:t>
      </w:r>
      <w:r w:rsidRPr="00F77A78">
        <w:fldChar w:fldCharType="begin"/>
      </w:r>
      <w:r w:rsidRPr="00F77A78">
        <w:instrText xml:space="preserve"> SEQ Table \* ARABIC </w:instrText>
      </w:r>
      <w:r w:rsidRPr="00F77A78">
        <w:fldChar w:fldCharType="separate"/>
      </w:r>
      <w:r w:rsidRPr="00F77A78">
        <w:t>2</w:t>
      </w:r>
      <w:r w:rsidRPr="00F77A78">
        <w:fldChar w:fldCharType="end"/>
      </w:r>
      <w:r w:rsidRPr="00F77A78">
        <w:t>:</w:t>
      </w:r>
      <w:r w:rsidRPr="00F77A78">
        <w:rPr>
          <w:rStyle w:val="Strong"/>
          <w:b w:val="0"/>
          <w:bCs w:val="0"/>
        </w:rPr>
        <w:t xml:space="preserve"> Stakeholder decisions and corresponding outputs.</w:t>
      </w:r>
      <w:r w:rsidRPr="00F77A78">
        <w:t xml:space="preserve"> </w:t>
      </w:r>
      <w:r w:rsidRPr="00F77A78">
        <w:rPr>
          <w:rStyle w:val="Emphasis"/>
          <w:i/>
          <w:iCs w:val="0"/>
        </w:rPr>
        <w:t xml:space="preserve">The same analytical output is labelled "Regional" for policy makers and "Supplier" for MNCs; the difference is scope and framing, not </w:t>
      </w:r>
      <w:r w:rsidRPr="00F77A78">
        <w:rPr>
          <w:rStyle w:val="Emphasis"/>
          <w:i/>
          <w:iCs w:val="0"/>
        </w:rPr>
        <w:lastRenderedPageBreak/>
        <w:t xml:space="preserve">computation. The full requirements matrix - environmental indicators, visualisations, and report types for each row - is given in </w:t>
      </w:r>
      <w:r w:rsidRPr="00F77A78">
        <w:rPr>
          <w:rStyle w:val="Emphasis"/>
          <w:i/>
          <w:iCs w:val="0"/>
          <w:color w:val="EE0000"/>
        </w:rPr>
        <w:t>Appendix [</w:t>
      </w:r>
      <w:r w:rsidRPr="00E91C85">
        <w:rPr>
          <w:rStyle w:val="Emphasis"/>
          <w:i/>
          <w:iCs w:val="0"/>
          <w:color w:val="EE0000"/>
        </w:rPr>
        <w:t>X].</w:t>
      </w:r>
    </w:p>
    <w:p w14:paraId="17E5C84A" w14:textId="0A16085F" w:rsidR="006656C9" w:rsidRPr="006656C9" w:rsidRDefault="006656C9" w:rsidP="006656C9">
      <w:pPr>
        <w:rPr>
          <w:lang w:val="en-IT"/>
        </w:rPr>
      </w:pPr>
      <w:r w:rsidRPr="006656C9">
        <w:rPr>
          <w:lang w:val="en-IT"/>
        </w:rPr>
        <w:t xml:space="preserve">The </w:t>
      </w:r>
      <w:r>
        <w:rPr>
          <w:lang w:val="en-IT"/>
        </w:rPr>
        <w:t xml:space="preserve"> full requirements </w:t>
      </w:r>
      <w:r w:rsidRPr="006656C9">
        <w:rPr>
          <w:lang w:val="en-IT"/>
        </w:rPr>
        <w:t xml:space="preserve">matrix </w:t>
      </w:r>
      <w:r>
        <w:rPr>
          <w:lang w:val="en-IT"/>
        </w:rPr>
        <w:t>outlines</w:t>
      </w:r>
      <w:r w:rsidRPr="006656C9">
        <w:rPr>
          <w:lang w:val="en-IT"/>
        </w:rPr>
        <w:t>, for each combination of stakeholder and decision, the environmental indicators drawn on, the decision indicator produced, the visualisation that presents it, and the report it feeds. It represents requirements as elicited during stakeholder engagement rather than the state of the delivered tool</w:t>
      </w:r>
      <w:r w:rsidR="0046028A">
        <w:rPr>
          <w:lang w:val="en-IT"/>
        </w:rPr>
        <w:t xml:space="preserve"> which </w:t>
      </w:r>
      <w:r w:rsidRPr="006656C9">
        <w:rPr>
          <w:lang w:val="en-IT"/>
        </w:rPr>
        <w:t xml:space="preserve">is the subject of </w:t>
      </w:r>
      <w:r w:rsidR="0046028A">
        <w:rPr>
          <w:lang w:val="en-IT"/>
        </w:rPr>
        <w:t>Section</w:t>
      </w:r>
      <w:r w:rsidRPr="006656C9">
        <w:rPr>
          <w:lang w:val="en-IT"/>
        </w:rPr>
        <w:t xml:space="preserve"> 6, </w:t>
      </w:r>
      <w:r w:rsidR="0046028A">
        <w:rPr>
          <w:lang w:val="en-IT"/>
        </w:rPr>
        <w:t>instead</w:t>
      </w:r>
      <w:r w:rsidRPr="006656C9">
        <w:rPr>
          <w:lang w:val="en-IT"/>
        </w:rPr>
        <w:t>.</w:t>
      </w:r>
    </w:p>
    <w:p w14:paraId="7DE32538" w14:textId="0771C633" w:rsidR="006656C9" w:rsidRPr="006656C9" w:rsidRDefault="006656C9" w:rsidP="006656C9">
      <w:pPr>
        <w:rPr>
          <w:lang w:val="en-IT"/>
        </w:rPr>
      </w:pPr>
      <w:r w:rsidRPr="006656C9">
        <w:rPr>
          <w:lang w:val="en-IT"/>
        </w:rPr>
        <w:t xml:space="preserve">Together, the four decisions and the matrix below them set the criteria against which the environmental indicators are evaluated in the next </w:t>
      </w:r>
      <w:r w:rsidR="00E91C85">
        <w:rPr>
          <w:lang w:val="en-IT"/>
        </w:rPr>
        <w:t>s</w:t>
      </w:r>
      <w:r w:rsidR="0046028A">
        <w:rPr>
          <w:lang w:val="en-IT"/>
        </w:rPr>
        <w:t>ection</w:t>
      </w:r>
      <w:r w:rsidRPr="006656C9">
        <w:rPr>
          <w:lang w:val="en-IT"/>
        </w:rPr>
        <w:t>.</w:t>
      </w:r>
    </w:p>
    <w:p w14:paraId="745762F6" w14:textId="77777777" w:rsidR="00183FC8" w:rsidRDefault="00B50197">
      <w:pPr>
        <w:pStyle w:val="Heading1"/>
      </w:pPr>
      <w:r>
        <w:br w:type="page"/>
      </w:r>
      <w:bookmarkStart w:id="29" w:name="_Toc231372525"/>
      <w:r>
        <w:lastRenderedPageBreak/>
        <w:t>6.0</w:t>
      </w:r>
      <w:r>
        <w:tab/>
        <w:t>Environmental Indicator Evaluation</w:t>
      </w:r>
      <w:bookmarkEnd w:id="29"/>
    </w:p>
    <w:p w14:paraId="338E5802" w14:textId="18B9B8DD" w:rsidR="00E91C85" w:rsidRPr="00E91C85" w:rsidRDefault="00E91C85" w:rsidP="00E91C85">
      <w:pPr>
        <w:rPr>
          <w:i/>
          <w:iCs/>
          <w:lang w:val="en-GB"/>
        </w:rPr>
      </w:pPr>
      <w:r w:rsidRPr="00E91C85">
        <w:rPr>
          <w:i/>
          <w:iCs/>
          <w:lang w:val="en-GB"/>
        </w:rPr>
        <w:t xml:space="preserve">This </w:t>
      </w:r>
      <w:r>
        <w:rPr>
          <w:i/>
          <w:iCs/>
          <w:lang w:val="en-GB"/>
        </w:rPr>
        <w:t>section</w:t>
      </w:r>
      <w:r w:rsidRPr="00E91C85">
        <w:rPr>
          <w:i/>
          <w:iCs/>
          <w:lang w:val="en-GB"/>
        </w:rPr>
        <w:t xml:space="preserve"> sets out how candidate indicators were evaluated against the requirements established in Section 5, the three-pillar structure adopted as a result,</w:t>
      </w:r>
      <w:r>
        <w:rPr>
          <w:i/>
          <w:iCs/>
          <w:lang w:val="en-GB"/>
        </w:rPr>
        <w:t xml:space="preserve"> and</w:t>
      </w:r>
      <w:r w:rsidRPr="00E91C85">
        <w:rPr>
          <w:i/>
          <w:iCs/>
          <w:lang w:val="en-GB"/>
        </w:rPr>
        <w:t xml:space="preserve"> the indicators that populate each pillar.</w:t>
      </w:r>
    </w:p>
    <w:p w14:paraId="5A9709B8" w14:textId="77777777" w:rsidR="00183FC8" w:rsidRDefault="00B50197">
      <w:pPr>
        <w:pStyle w:val="Heading3"/>
      </w:pPr>
      <w:bookmarkStart w:id="30" w:name="_Toc231372526"/>
      <w:r>
        <w:t>6.1</w:t>
      </w:r>
      <w:r>
        <w:tab/>
        <w:t>Evaluation criteria</w:t>
      </w:r>
      <w:bookmarkEnd w:id="30"/>
    </w:p>
    <w:p w14:paraId="6B9CF3DD" w14:textId="292B80B0" w:rsidR="00E91C85" w:rsidRPr="00E91C85" w:rsidRDefault="00E91C85" w:rsidP="00E91C85">
      <w:pPr>
        <w:rPr>
          <w:lang w:val="en-GB"/>
        </w:rPr>
      </w:pPr>
      <w:r w:rsidRPr="00E91C85">
        <w:rPr>
          <w:lang w:val="en-GB"/>
        </w:rPr>
        <w:t xml:space="preserve">The scoping phase had identified that the difficulty in this domain is not a </w:t>
      </w:r>
      <w:r>
        <w:rPr>
          <w:lang w:val="en-GB"/>
        </w:rPr>
        <w:t>lack</w:t>
      </w:r>
      <w:r w:rsidRPr="00E91C85">
        <w:rPr>
          <w:lang w:val="en-GB"/>
        </w:rPr>
        <w:t xml:space="preserve"> of environmental data but the absence of a </w:t>
      </w:r>
      <w:r>
        <w:rPr>
          <w:lang w:val="en-GB"/>
        </w:rPr>
        <w:t>structured</w:t>
      </w:r>
      <w:r w:rsidRPr="00E91C85">
        <w:rPr>
          <w:lang w:val="en-GB"/>
        </w:rPr>
        <w:t xml:space="preserve"> basis for deciding which indicators are useful (Section 3.2). An indicator can be scientifically sound yet contribute nothing to a procurement or policy decision. Before any indicator was selected, therefore, a formal evaluation scorecard was constructed so that every candidate </w:t>
      </w:r>
      <w:r>
        <w:rPr>
          <w:lang w:val="en-GB"/>
        </w:rPr>
        <w:t>-</w:t>
      </w:r>
      <w:r w:rsidRPr="00E91C85">
        <w:rPr>
          <w:lang w:val="en-GB"/>
        </w:rPr>
        <w:t xml:space="preserve"> whether inherited</w:t>
      </w:r>
      <w:r>
        <w:rPr>
          <w:lang w:val="en-GB"/>
        </w:rPr>
        <w:t xml:space="preserve"> </w:t>
      </w:r>
      <w:r w:rsidRPr="00E91C85">
        <w:rPr>
          <w:lang w:val="en-GB"/>
        </w:rPr>
        <w:t xml:space="preserve">or newly proposed </w:t>
      </w:r>
      <w:r>
        <w:rPr>
          <w:lang w:val="en-GB"/>
        </w:rPr>
        <w:t>-</w:t>
      </w:r>
      <w:r w:rsidRPr="00E91C85">
        <w:rPr>
          <w:lang w:val="en-GB"/>
        </w:rPr>
        <w:t xml:space="preserve"> was judged against the same criteria</w:t>
      </w:r>
      <w:r>
        <w:rPr>
          <w:lang w:val="en-GB"/>
        </w:rPr>
        <w:t>. I</w:t>
      </w:r>
      <w:r w:rsidRPr="00E91C85">
        <w:rPr>
          <w:lang w:val="en-GB"/>
        </w:rPr>
        <w:t xml:space="preserve">ndicators were </w:t>
      </w:r>
      <w:r>
        <w:rPr>
          <w:lang w:val="en-GB"/>
        </w:rPr>
        <w:t xml:space="preserve">then </w:t>
      </w:r>
      <w:r w:rsidRPr="00E91C85">
        <w:rPr>
          <w:lang w:val="en-GB"/>
        </w:rPr>
        <w:t>admitted on the</w:t>
      </w:r>
      <w:r>
        <w:rPr>
          <w:lang w:val="en-GB"/>
        </w:rPr>
        <w:t>ir contribution to decision-making</w:t>
      </w:r>
      <w:r w:rsidRPr="00E91C85">
        <w:rPr>
          <w:lang w:val="en-GB"/>
        </w:rPr>
        <w:t xml:space="preserve"> rather than their novelty.</w:t>
      </w:r>
    </w:p>
    <w:p w14:paraId="2F98B27A" w14:textId="77777777" w:rsidR="00E91C85" w:rsidRDefault="00E91C85" w:rsidP="00E91C85">
      <w:pPr>
        <w:rPr>
          <w:lang w:val="en-GB"/>
        </w:rPr>
      </w:pPr>
      <w:r w:rsidRPr="00E91C85">
        <w:rPr>
          <w:lang w:val="en-GB"/>
        </w:rPr>
        <w:t>The scorecard assesses each candidate against ten criteria, which fall into four groups.</w:t>
      </w:r>
    </w:p>
    <w:p w14:paraId="37FFA81A" w14:textId="77777777" w:rsidR="00E91C85" w:rsidRDefault="00E91C85" w:rsidP="00E91C85">
      <w:pPr>
        <w:pStyle w:val="ListParagraph"/>
        <w:numPr>
          <w:ilvl w:val="0"/>
          <w:numId w:val="6"/>
        </w:numPr>
        <w:rPr>
          <w:lang w:val="en-GB"/>
        </w:rPr>
      </w:pPr>
      <w:r w:rsidRPr="00E91C85">
        <w:rPr>
          <w:b/>
          <w:bCs/>
          <w:lang w:val="en-GB"/>
        </w:rPr>
        <w:t>Relevance</w:t>
      </w:r>
      <w:r w:rsidRPr="00E91C85">
        <w:rPr>
          <w:lang w:val="en-GB"/>
        </w:rPr>
        <w:t xml:space="preserve"> asks whether the indicator bears on a recognised environmental-reporting concern (e.g. greenhouse gases) and whether it supports one of the four decisions of Section 5</w:t>
      </w:r>
      <w:r>
        <w:rPr>
          <w:rStyle w:val="FootnoteReference"/>
          <w:lang w:val="en-GB"/>
        </w:rPr>
        <w:footnoteReference w:id="1"/>
      </w:r>
      <w:r w:rsidRPr="00E91C85">
        <w:rPr>
          <w:lang w:val="en-GB"/>
        </w:rPr>
        <w:t xml:space="preserve">. </w:t>
      </w:r>
    </w:p>
    <w:p w14:paraId="7C6C6020" w14:textId="77777777" w:rsidR="00E91C85" w:rsidRDefault="00E91C85" w:rsidP="00E91C85">
      <w:pPr>
        <w:pStyle w:val="ListParagraph"/>
        <w:numPr>
          <w:ilvl w:val="0"/>
          <w:numId w:val="6"/>
        </w:numPr>
        <w:rPr>
          <w:lang w:val="en-GB"/>
        </w:rPr>
      </w:pPr>
      <w:r w:rsidRPr="00E91C85">
        <w:rPr>
          <w:b/>
          <w:bCs/>
          <w:lang w:val="en-GB"/>
        </w:rPr>
        <w:t>Feasibility</w:t>
      </w:r>
      <w:r w:rsidRPr="00E91C85">
        <w:rPr>
          <w:lang w:val="en-GB"/>
        </w:rPr>
        <w:t xml:space="preserve"> covers whether the indicator can be accurately computed: its availability in Google Earth Engine, whether the tool can derive it from raw data, and how frequently it updates. </w:t>
      </w:r>
    </w:p>
    <w:p w14:paraId="6988CCA7" w14:textId="77777777" w:rsidR="00E91C85" w:rsidRDefault="00E91C85" w:rsidP="00E91C85">
      <w:pPr>
        <w:pStyle w:val="ListParagraph"/>
        <w:numPr>
          <w:ilvl w:val="0"/>
          <w:numId w:val="6"/>
        </w:numPr>
        <w:rPr>
          <w:lang w:val="en-GB"/>
        </w:rPr>
      </w:pPr>
      <w:r w:rsidRPr="00E91C85">
        <w:rPr>
          <w:b/>
          <w:bCs/>
          <w:lang w:val="en-GB"/>
        </w:rPr>
        <w:t>Trustworthiness</w:t>
      </w:r>
      <w:r w:rsidRPr="00E91C85">
        <w:rPr>
          <w:lang w:val="en-GB"/>
        </w:rPr>
        <w:t xml:space="preserve"> covers whether the indicator can be tied to a specific site, whether its uncertainty and attribution risks are understood, and whether it supports comparison across sites and time. </w:t>
      </w:r>
    </w:p>
    <w:p w14:paraId="2A5148EC" w14:textId="6065F8E9" w:rsidR="00E91C85" w:rsidRDefault="00E91C85" w:rsidP="00E91C85">
      <w:pPr>
        <w:pStyle w:val="ListParagraph"/>
        <w:numPr>
          <w:ilvl w:val="0"/>
          <w:numId w:val="6"/>
        </w:numPr>
        <w:rPr>
          <w:lang w:val="en-GB"/>
        </w:rPr>
      </w:pPr>
      <w:r w:rsidRPr="00E91C85">
        <w:rPr>
          <w:b/>
          <w:bCs/>
          <w:lang w:val="en-GB"/>
        </w:rPr>
        <w:t>Communicability</w:t>
      </w:r>
      <w:r w:rsidRPr="00E91C85">
        <w:rPr>
          <w:lang w:val="en-GB"/>
        </w:rPr>
        <w:t xml:space="preserve"> asks whether a non-technical user can interpret the output and </w:t>
      </w:r>
      <w:r>
        <w:rPr>
          <w:lang w:val="en-GB"/>
        </w:rPr>
        <w:t>insert it in</w:t>
      </w:r>
      <w:r w:rsidRPr="00E91C85">
        <w:rPr>
          <w:lang w:val="en-GB"/>
        </w:rPr>
        <w:t xml:space="preserve"> a structured report. </w:t>
      </w:r>
    </w:p>
    <w:p w14:paraId="6F5CBFFE" w14:textId="7B913FAB" w:rsidR="00183FC8" w:rsidRPr="00E91C85" w:rsidRDefault="00E91C85" w:rsidP="00E91C85">
      <w:pPr>
        <w:rPr>
          <w:lang w:val="en-GB"/>
        </w:rPr>
      </w:pPr>
      <w:r w:rsidRPr="00E91C85">
        <w:rPr>
          <w:lang w:val="en-GB"/>
        </w:rPr>
        <w:t>An indicator had to perform across all four groups</w:t>
      </w:r>
      <w:r>
        <w:rPr>
          <w:lang w:val="en-GB"/>
        </w:rPr>
        <w:t xml:space="preserve">. </w:t>
      </w:r>
      <w:r w:rsidRPr="00E91C85">
        <w:rPr>
          <w:lang w:val="en-GB"/>
        </w:rPr>
        <w:t xml:space="preserve">The full scorecard, with every candidate indicator scored against the ten criteria, is given in </w:t>
      </w:r>
      <w:r w:rsidRPr="00E91C85">
        <w:rPr>
          <w:color w:val="EE0000"/>
          <w:lang w:val="en-GB"/>
        </w:rPr>
        <w:t>Appendix C</w:t>
      </w:r>
      <w:r w:rsidRPr="00E91C85">
        <w:rPr>
          <w:lang w:val="en-GB"/>
        </w:rPr>
        <w:t>.</w:t>
      </w:r>
    </w:p>
    <w:p w14:paraId="543E5F8B" w14:textId="77777777" w:rsidR="00183FC8" w:rsidRDefault="00B50197">
      <w:pPr>
        <w:pStyle w:val="Heading3"/>
      </w:pPr>
      <w:bookmarkStart w:id="31" w:name="_Toc231372527"/>
      <w:r>
        <w:lastRenderedPageBreak/>
        <w:t>6.2</w:t>
      </w:r>
      <w:r>
        <w:tab/>
        <w:t>The three-pillar structure</w:t>
      </w:r>
      <w:bookmarkEnd w:id="31"/>
    </w:p>
    <w:p w14:paraId="24135DB6" w14:textId="45AF8C16" w:rsidR="00626E92" w:rsidRDefault="00626E92" w:rsidP="00626E92">
      <w:pPr>
        <w:rPr>
          <w:lang w:val="en-GB"/>
        </w:rPr>
      </w:pPr>
      <w:r w:rsidRPr="00626E92">
        <w:rPr>
          <w:lang w:val="en-GB"/>
        </w:rPr>
        <w:t xml:space="preserve">The evaluation organised the </w:t>
      </w:r>
      <w:r>
        <w:rPr>
          <w:lang w:val="en-GB"/>
        </w:rPr>
        <w:t>selected</w:t>
      </w:r>
      <w:r w:rsidRPr="00626E92">
        <w:rPr>
          <w:lang w:val="en-GB"/>
        </w:rPr>
        <w:t xml:space="preserve"> indicators into three environmental pillars: </w:t>
      </w:r>
      <w:r w:rsidRPr="00626E92">
        <w:rPr>
          <w:b/>
          <w:bCs/>
          <w:lang w:val="en-GB"/>
        </w:rPr>
        <w:t>Air Pollution, Greenhouse Gas (GHG), and Nature and Land</w:t>
      </w:r>
      <w:r w:rsidRPr="00626E92">
        <w:rPr>
          <w:lang w:val="en-GB"/>
        </w:rPr>
        <w:t xml:space="preserve">. This structure extends the </w:t>
      </w:r>
      <w:r>
        <w:rPr>
          <w:lang w:val="en-GB"/>
        </w:rPr>
        <w:t>current</w:t>
      </w:r>
      <w:r w:rsidRPr="00626E92">
        <w:rPr>
          <w:lang w:val="en-GB"/>
        </w:rPr>
        <w:t xml:space="preserve"> tool's division between atmospheric and land indicators, but with a refinement: the single atmospheric category is split into Air Pollution and Greenhouse Gas. The two answer different questions</w:t>
      </w:r>
      <w:r>
        <w:rPr>
          <w:lang w:val="en-GB"/>
        </w:rPr>
        <w:t xml:space="preserve">; </w:t>
      </w:r>
      <w:r w:rsidRPr="00626E92">
        <w:rPr>
          <w:lang w:val="en-GB"/>
        </w:rPr>
        <w:t>local air pollution concerns the pollutants that affect health and regulatory air quality around a site, whereas greenhouse-gas relevance concerns a site's contribution to climate impact</w:t>
      </w:r>
      <w:r>
        <w:rPr>
          <w:lang w:val="en-GB"/>
        </w:rPr>
        <w:t xml:space="preserve">. Equally, </w:t>
      </w:r>
      <w:r w:rsidRPr="00626E92">
        <w:rPr>
          <w:lang w:val="en-GB"/>
        </w:rPr>
        <w:t xml:space="preserve">they map to distinct strands of environmental disclosure. </w:t>
      </w:r>
      <w:r>
        <w:rPr>
          <w:lang w:val="en-GB"/>
        </w:rPr>
        <w:t xml:space="preserve"> In fact, t</w:t>
      </w:r>
      <w:r w:rsidRPr="00626E92">
        <w:rPr>
          <w:lang w:val="en-GB"/>
        </w:rPr>
        <w:t xml:space="preserve">he three pillars </w:t>
      </w:r>
      <w:r w:rsidRPr="00626E92">
        <w:rPr>
          <w:b/>
          <w:bCs/>
          <w:lang w:val="en-GB"/>
        </w:rPr>
        <w:t>align with the principal environmental topics of the European Sustainability Reporting Standards</w:t>
      </w:r>
      <w:r w:rsidRPr="00626E92">
        <w:rPr>
          <w:lang w:val="en-GB"/>
        </w:rPr>
        <w:t xml:space="preserve"> (Section 2.1): pollution (ESRS E2), climate change (ESRS E1), and biodiversity and ecosystems (ESRS E4). </w:t>
      </w:r>
      <w:r>
        <w:rPr>
          <w:lang w:val="en-GB"/>
        </w:rPr>
        <w:t>Thus, s</w:t>
      </w:r>
      <w:r w:rsidRPr="00626E92">
        <w:rPr>
          <w:lang w:val="en-GB"/>
        </w:rPr>
        <w:t xml:space="preserve">tructuring the tool around these </w:t>
      </w:r>
      <w:r>
        <w:rPr>
          <w:lang w:val="en-GB"/>
        </w:rPr>
        <w:t>impact-areas</w:t>
      </w:r>
      <w:r w:rsidRPr="00626E92">
        <w:rPr>
          <w:lang w:val="en-GB"/>
        </w:rPr>
        <w:t xml:space="preserve"> </w:t>
      </w:r>
      <w:r>
        <w:rPr>
          <w:lang w:val="en-GB"/>
        </w:rPr>
        <w:t>allows the</w:t>
      </w:r>
      <w:r w:rsidRPr="00626E92">
        <w:rPr>
          <w:lang w:val="en-GB"/>
        </w:rPr>
        <w:t xml:space="preserve"> screening result </w:t>
      </w:r>
      <w:r>
        <w:rPr>
          <w:lang w:val="en-GB"/>
        </w:rPr>
        <w:t xml:space="preserve">to </w:t>
      </w:r>
      <w:r w:rsidRPr="00626E92">
        <w:rPr>
          <w:lang w:val="en-GB"/>
        </w:rPr>
        <w:t>ma</w:t>
      </w:r>
      <w:r>
        <w:rPr>
          <w:lang w:val="en-GB"/>
        </w:rPr>
        <w:t>p</w:t>
      </w:r>
      <w:r w:rsidRPr="00626E92">
        <w:rPr>
          <w:lang w:val="en-GB"/>
        </w:rPr>
        <w:t xml:space="preserve"> onto the categories its users must already report against</w:t>
      </w:r>
      <w:r>
        <w:rPr>
          <w:lang w:val="en-GB"/>
        </w:rPr>
        <w:t>.</w:t>
      </w:r>
    </w:p>
    <w:p w14:paraId="4C1CF458" w14:textId="1E1B500C" w:rsidR="00D52E65" w:rsidRPr="00D52E65" w:rsidRDefault="00D52E65" w:rsidP="00626E92">
      <w:pPr>
        <w:rPr>
          <w:color w:val="EE0000"/>
          <w:lang w:val="en-GB"/>
        </w:rPr>
      </w:pPr>
      <w:r w:rsidRPr="00D52E65">
        <w:rPr>
          <w:color w:val="EE0000"/>
          <w:lang w:val="en-GB"/>
        </w:rPr>
        <w:t>[Figure 6.1: The three-pillar structure. A simple schematic showing the three pillars — Air Pollution, Greenhouse Gas, Nature and Land — each mapped to its ESRS topic (E2 Pollution, E1 Climate, E4 Biodiversity), the indicators feeding it, and the three pillar follow-up-priority scores converging into a single composite. To be inserted by author; can be drawn from the engine pillar/composite structure.]</w:t>
      </w:r>
    </w:p>
    <w:p w14:paraId="3A394591" w14:textId="422EA7B0" w:rsidR="00D52E65" w:rsidRDefault="00626E92" w:rsidP="00626E92">
      <w:pPr>
        <w:rPr>
          <w:lang w:val="en-GB"/>
        </w:rPr>
      </w:pPr>
      <w:r w:rsidRPr="00626E92">
        <w:rPr>
          <w:lang w:val="en-GB"/>
        </w:rPr>
        <w:t xml:space="preserve">The three pillars are scored </w:t>
      </w:r>
      <w:r>
        <w:rPr>
          <w:lang w:val="en-GB"/>
        </w:rPr>
        <w:t>differently</w:t>
      </w:r>
      <w:r w:rsidRPr="00626E92">
        <w:rPr>
          <w:lang w:val="en-GB"/>
        </w:rPr>
        <w:t>, because they ask physically different questions</w:t>
      </w:r>
      <w:r>
        <w:rPr>
          <w:lang w:val="en-GB"/>
        </w:rPr>
        <w:t xml:space="preserve">. </w:t>
      </w:r>
      <w:r w:rsidRPr="00626E92">
        <w:rPr>
          <w:lang w:val="en-GB"/>
        </w:rPr>
        <w:t xml:space="preserve">Air pollution is assessed </w:t>
      </w:r>
      <w:r>
        <w:rPr>
          <w:lang w:val="en-GB"/>
        </w:rPr>
        <w:t>based on</w:t>
      </w:r>
      <w:r w:rsidRPr="00626E92">
        <w:rPr>
          <w:lang w:val="en-GB"/>
        </w:rPr>
        <w:t xml:space="preserve"> how far conditions at a site rise above its surroundings</w:t>
      </w:r>
      <w:r>
        <w:rPr>
          <w:lang w:val="en-GB"/>
        </w:rPr>
        <w:t>. G</w:t>
      </w:r>
      <w:r w:rsidRPr="00626E92">
        <w:rPr>
          <w:lang w:val="en-GB"/>
        </w:rPr>
        <w:t>reenhouse-gas relevance is assessed against absolute markers of</w:t>
      </w:r>
      <w:r>
        <w:rPr>
          <w:lang w:val="en-GB"/>
        </w:rPr>
        <w:t xml:space="preserve"> “emitting” activity</w:t>
      </w:r>
      <w:r w:rsidRPr="00626E92">
        <w:rPr>
          <w:lang w:val="en-GB"/>
        </w:rPr>
        <w:t xml:space="preserve">; and nature is assessed as a combination of </w:t>
      </w:r>
      <w:r>
        <w:rPr>
          <w:lang w:val="en-GB"/>
        </w:rPr>
        <w:t xml:space="preserve">biodiversity </w:t>
      </w:r>
      <w:r w:rsidRPr="00626E92">
        <w:rPr>
          <w:lang w:val="en-GB"/>
        </w:rPr>
        <w:t xml:space="preserve">exposure, </w:t>
      </w:r>
      <w:r>
        <w:rPr>
          <w:lang w:val="en-GB"/>
        </w:rPr>
        <w:t xml:space="preserve">vegetation </w:t>
      </w:r>
      <w:r w:rsidRPr="00626E92">
        <w:rPr>
          <w:lang w:val="en-GB"/>
        </w:rPr>
        <w:t xml:space="preserve">change, and condition. The mechanics of each are the subject of Section 7; what matters </w:t>
      </w:r>
      <w:r>
        <w:rPr>
          <w:lang w:val="en-GB"/>
        </w:rPr>
        <w:t>at this stage</w:t>
      </w:r>
      <w:r w:rsidRPr="00626E92">
        <w:rPr>
          <w:lang w:val="en-GB"/>
        </w:rPr>
        <w:t xml:space="preserve"> is that the pillars are not forced onto a common scale prematurely. Each pillar yields its own follow-up-priority score, and only at the final stage are the three combined into a single composite (Section 7.3), so that a user can read the </w:t>
      </w:r>
      <w:r>
        <w:rPr>
          <w:lang w:val="en-GB"/>
        </w:rPr>
        <w:t>composite</w:t>
      </w:r>
      <w:r w:rsidRPr="00626E92">
        <w:rPr>
          <w:lang w:val="en-GB"/>
        </w:rPr>
        <w:t xml:space="preserve"> figure or </w:t>
      </w:r>
      <w:r>
        <w:rPr>
          <w:lang w:val="en-GB"/>
        </w:rPr>
        <w:t>analyse</w:t>
      </w:r>
      <w:r w:rsidRPr="00626E92">
        <w:rPr>
          <w:lang w:val="en-GB"/>
        </w:rPr>
        <w:t xml:space="preserve"> any one pillar without the scores having been </w:t>
      </w:r>
      <w:r>
        <w:rPr>
          <w:lang w:val="en-GB"/>
        </w:rPr>
        <w:t xml:space="preserve">implicitly </w:t>
      </w:r>
      <w:r w:rsidRPr="00626E92">
        <w:rPr>
          <w:lang w:val="en-GB"/>
        </w:rPr>
        <w:t>averaged together.</w:t>
      </w:r>
    </w:p>
    <w:p w14:paraId="0AFD229F" w14:textId="77777777" w:rsidR="00183FC8" w:rsidRDefault="00B50197">
      <w:pPr>
        <w:pStyle w:val="Heading3"/>
      </w:pPr>
      <w:bookmarkStart w:id="32" w:name="_Toc231372528"/>
      <w:r>
        <w:t>6.3</w:t>
      </w:r>
      <w:r>
        <w:tab/>
        <w:t>Air Pollution pillar</w:t>
      </w:r>
      <w:bookmarkEnd w:id="32"/>
    </w:p>
    <w:p w14:paraId="5FE08516" w14:textId="77777777" w:rsidR="00B9558D" w:rsidRDefault="00B9558D" w:rsidP="00B9558D">
      <w:pPr>
        <w:rPr>
          <w:lang w:val="en-IT"/>
        </w:rPr>
      </w:pPr>
      <w:r w:rsidRPr="002F008A">
        <w:rPr>
          <w:lang w:val="en-IT"/>
        </w:rPr>
        <w:t>The Air Pollution pillar draws on the Sentinel-5P satellite's TROPOMI instrument</w:t>
      </w:r>
      <w:r>
        <w:rPr>
          <w:lang w:val="en-IT"/>
        </w:rPr>
        <w:t xml:space="preserve">, </w:t>
      </w:r>
      <w:r w:rsidRPr="002F008A">
        <w:rPr>
          <w:lang w:val="en-IT"/>
        </w:rPr>
        <w:t>but reframes its outputs as screening proxies for industrial activity rather than as raw concentrations. Six measures populate the pillar</w:t>
      </w:r>
      <w:r>
        <w:rPr>
          <w:lang w:val="en-IT"/>
        </w:rPr>
        <w:t>.</w:t>
      </w:r>
    </w:p>
    <w:p w14:paraId="435E8106" w14:textId="718711BF" w:rsidR="00B9558D" w:rsidRPr="002F008A" w:rsidRDefault="00B9558D" w:rsidP="00B9558D">
      <w:pPr>
        <w:rPr>
          <w:lang w:val="en-IT"/>
        </w:rPr>
      </w:pPr>
      <w:r w:rsidRPr="002F008A">
        <w:rPr>
          <w:b/>
          <w:bCs/>
          <w:lang w:val="en-IT"/>
        </w:rPr>
        <w:lastRenderedPageBreak/>
        <w:t>Nitrogen dioxide (NO₂)</w:t>
      </w:r>
      <w:r w:rsidRPr="002F008A">
        <w:rPr>
          <w:lang w:val="en-IT"/>
        </w:rPr>
        <w:t xml:space="preserve"> and </w:t>
      </w:r>
      <w:r w:rsidRPr="002F008A">
        <w:rPr>
          <w:b/>
          <w:bCs/>
          <w:lang w:val="en-IT"/>
        </w:rPr>
        <w:t>carbon monoxide (CO)</w:t>
      </w:r>
      <w:r w:rsidRPr="002F008A">
        <w:rPr>
          <w:lang w:val="en-IT"/>
        </w:rPr>
        <w:t xml:space="preserve"> are combustion proxies: NO₂ is a comparatively short-lived, more spatially localised signal of combustion and traffic, while CO is longer-lived and travels regionally, making it weaker for site attribution but useful as corroboration. </w:t>
      </w:r>
      <w:r w:rsidR="00F70BE4" w:rsidRPr="00F70BE4">
        <w:rPr>
          <w:lang w:val="en-IT"/>
        </w:rPr>
        <w:t>TROPOMI's resolution is fine enough that NO₂ plumes from individual large sources, such as power plants and industrial complexes, can be distinguished (Liu et al., 2024).</w:t>
      </w:r>
    </w:p>
    <w:p w14:paraId="1B888977" w14:textId="1A1B498C" w:rsidR="00B9558D" w:rsidRPr="002F008A" w:rsidRDefault="00B9558D" w:rsidP="00B9558D">
      <w:pPr>
        <w:rPr>
          <w:lang w:val="en-IT"/>
        </w:rPr>
      </w:pPr>
      <w:r w:rsidRPr="002F008A">
        <w:rPr>
          <w:b/>
          <w:bCs/>
          <w:lang w:val="en-IT"/>
        </w:rPr>
        <w:t>Sulphur dioxide (SO₂)</w:t>
      </w:r>
      <w:r w:rsidRPr="002F008A">
        <w:rPr>
          <w:lang w:val="en-IT"/>
        </w:rPr>
        <w:t xml:space="preserve"> is a proxy for heavy industry</w:t>
      </w:r>
      <w:r w:rsidR="00F70BE4">
        <w:rPr>
          <w:lang w:val="en-IT"/>
        </w:rPr>
        <w:t xml:space="preserve"> -</w:t>
      </w:r>
      <w:r w:rsidRPr="002F008A">
        <w:rPr>
          <w:lang w:val="en-IT"/>
        </w:rPr>
        <w:t xml:space="preserve"> smelting, coal combustion, refining</w:t>
      </w:r>
      <w:r w:rsidR="00F70BE4">
        <w:rPr>
          <w:lang w:val="en-IT"/>
        </w:rPr>
        <w:t>. S</w:t>
      </w:r>
      <w:r w:rsidR="00F70BE4" w:rsidRPr="00F70BE4">
        <w:rPr>
          <w:lang w:val="en-IT"/>
        </w:rPr>
        <w:t>atellite SO₂ retrievals have been used to compile global catalogues of exactly these point sources, dominated by power plants, smelters, and oil-and-gas operations (Fioletov et al., 2020)</w:t>
      </w:r>
      <w:r w:rsidR="00F70BE4">
        <w:rPr>
          <w:lang w:val="en-IT"/>
        </w:rPr>
        <w:t>, and</w:t>
      </w:r>
      <w:r w:rsidR="00F70BE4" w:rsidRPr="00F70BE4">
        <w:rPr>
          <w:lang w:val="en-IT"/>
        </w:rPr>
        <w:t xml:space="preserve"> is</w:t>
      </w:r>
      <w:r w:rsidR="00F70BE4">
        <w:rPr>
          <w:lang w:val="en-IT"/>
        </w:rPr>
        <w:t xml:space="preserve"> thus</w:t>
      </w:r>
      <w:r w:rsidR="00F70BE4" w:rsidRPr="00F70BE4">
        <w:rPr>
          <w:lang w:val="en-IT"/>
        </w:rPr>
        <w:t xml:space="preserve"> the most diagnostic of metals and mining </w:t>
      </w:r>
      <w:r w:rsidR="00F70BE4">
        <w:rPr>
          <w:lang w:val="en-IT"/>
        </w:rPr>
        <w:t>activities.</w:t>
      </w:r>
      <w:r w:rsidRPr="002F008A">
        <w:rPr>
          <w:lang w:val="en-IT"/>
        </w:rPr>
        <w:t xml:space="preserve"> </w:t>
      </w:r>
    </w:p>
    <w:p w14:paraId="600E5C3E" w14:textId="77777777" w:rsidR="00B9558D" w:rsidRPr="002F008A" w:rsidRDefault="00B9558D" w:rsidP="00B9558D">
      <w:pPr>
        <w:rPr>
          <w:lang w:val="en-IT"/>
        </w:rPr>
      </w:pPr>
      <w:r w:rsidRPr="002F008A">
        <w:rPr>
          <w:b/>
          <w:bCs/>
          <w:lang w:val="en-IT"/>
        </w:rPr>
        <w:t>Formaldehyde (HCHO)</w:t>
      </w:r>
      <w:r w:rsidRPr="002F008A">
        <w:rPr>
          <w:lang w:val="en-IT"/>
        </w:rPr>
        <w:t xml:space="preserve"> is a proxy for volatile-organic-compound and photochemical activity. </w:t>
      </w:r>
    </w:p>
    <w:p w14:paraId="21F59157" w14:textId="77777777" w:rsidR="00B9558D" w:rsidRPr="002F008A" w:rsidRDefault="00B9558D" w:rsidP="00B9558D">
      <w:pPr>
        <w:rPr>
          <w:lang w:val="en-IT"/>
        </w:rPr>
      </w:pPr>
      <w:r w:rsidRPr="002F008A">
        <w:rPr>
          <w:b/>
          <w:bCs/>
          <w:lang w:val="en-IT"/>
        </w:rPr>
        <w:t>Ozone (O₃)</w:t>
      </w:r>
      <w:r w:rsidRPr="002F008A">
        <w:rPr>
          <w:lang w:val="en-IT"/>
        </w:rPr>
        <w:t xml:space="preserve"> is included only as regional air-quality context: it is a secondary pollutant not directly emitted by a facility, so its contribution to the score is deliberately capped to prevent it driving a site-level result it cannot legitimately explain. </w:t>
      </w:r>
    </w:p>
    <w:p w14:paraId="64D56FC6" w14:textId="190FA8FD" w:rsidR="00B9558D" w:rsidRDefault="00B9558D" w:rsidP="00B9558D">
      <w:pPr>
        <w:rPr>
          <w:lang w:val="en-IT"/>
        </w:rPr>
      </w:pPr>
      <w:r w:rsidRPr="002F008A">
        <w:rPr>
          <w:lang w:val="en-IT"/>
        </w:rPr>
        <w:t xml:space="preserve">The sixth measure addresses particulate matter, the pollutant most directly tied to air-quality regulation and absent from the current tool. Particulate matter cannot be measured directly by </w:t>
      </w:r>
      <w:r>
        <w:rPr>
          <w:lang w:val="en-IT"/>
        </w:rPr>
        <w:t>satellites</w:t>
      </w:r>
      <w:r w:rsidRPr="002F008A">
        <w:rPr>
          <w:lang w:val="en-IT"/>
        </w:rPr>
        <w:t xml:space="preserve">, so the pillar uses two related aerosol signals as proxies. The </w:t>
      </w:r>
      <w:r w:rsidRPr="002F008A">
        <w:rPr>
          <w:b/>
          <w:bCs/>
          <w:lang w:val="en-IT"/>
        </w:rPr>
        <w:t>Absorbing Aerosol Index (AAI)</w:t>
      </w:r>
      <w:r w:rsidRPr="002F008A">
        <w:rPr>
          <w:lang w:val="en-IT"/>
        </w:rPr>
        <w:t xml:space="preserve"> flags smoke, dust, and ash, and </w:t>
      </w:r>
      <w:r w:rsidRPr="002F008A">
        <w:rPr>
          <w:b/>
          <w:bCs/>
          <w:lang w:val="en-IT"/>
        </w:rPr>
        <w:t>aerosol optical depth (AOD)</w:t>
      </w:r>
      <w:r w:rsidRPr="002F008A">
        <w:rPr>
          <w:lang w:val="en-IT"/>
        </w:rPr>
        <w:t xml:space="preserve"> measures the total aerosol burden in the atmospheric column. Satellite-derived AOD is well established in the literature as a proxy for surface PM₂.₅, the correlation having been demonstrated across many regions and sensor types (Chu et al., 2023), including specifically from Sentinel-5P TROPOMI retrievals (Mamić et al., 2023), although the relationship is sensitive to humidity, boundary-layer height, and aerosol type and so varies geographically </w:t>
      </w:r>
      <w:r w:rsidR="00E560B9" w:rsidRPr="00E560B9">
        <w:rPr>
          <w:lang w:val="en-IT"/>
        </w:rPr>
        <w:t>(Amiri and Shahne, 2025)</w:t>
      </w:r>
      <w:r w:rsidRPr="002F008A">
        <w:rPr>
          <w:lang w:val="en-IT"/>
        </w:rPr>
        <w:t xml:space="preserve">. For this reason the pillar also incorporates a </w:t>
      </w:r>
      <w:r w:rsidRPr="002F008A">
        <w:rPr>
          <w:b/>
          <w:bCs/>
          <w:lang w:val="en-IT"/>
        </w:rPr>
        <w:t>modelled PM₂.₅</w:t>
      </w:r>
      <w:r w:rsidRPr="002F008A">
        <w:rPr>
          <w:lang w:val="en-IT"/>
        </w:rPr>
        <w:t xml:space="preserve"> field from the CAMS atmospheric model; because that field is coarse, it is treated as regional context rather than a fenceline measurement, a limitation examined in Section 11. </w:t>
      </w:r>
    </w:p>
    <w:p w14:paraId="6B2DEF78" w14:textId="77777777" w:rsidR="00B9558D" w:rsidRDefault="00B9558D" w:rsidP="00B9558D">
      <w:pPr>
        <w:rPr>
          <w:lang w:val="en-IT"/>
        </w:rPr>
      </w:pPr>
      <w:r w:rsidRPr="002F008A">
        <w:rPr>
          <w:lang w:val="en-IT"/>
        </w:rPr>
        <w:t>These six measures combine into interpretable sub-aggregates</w:t>
      </w:r>
      <w:r>
        <w:rPr>
          <w:lang w:val="en-IT"/>
        </w:rPr>
        <w:t>:</w:t>
      </w:r>
    </w:p>
    <w:p w14:paraId="5C48C80D" w14:textId="77777777" w:rsidR="00B9558D" w:rsidRDefault="00B9558D" w:rsidP="00B9558D">
      <w:pPr>
        <w:pStyle w:val="ListParagraph"/>
        <w:numPr>
          <w:ilvl w:val="0"/>
          <w:numId w:val="8"/>
        </w:numPr>
        <w:rPr>
          <w:lang w:val="en-IT"/>
        </w:rPr>
      </w:pPr>
      <w:r w:rsidRPr="002F008A">
        <w:rPr>
          <w:lang w:val="en-IT"/>
        </w:rPr>
        <w:t>combustion proxy</w:t>
      </w:r>
      <w:r>
        <w:rPr>
          <w:lang w:val="en-IT"/>
        </w:rPr>
        <w:t>,</w:t>
      </w:r>
    </w:p>
    <w:p w14:paraId="6F2F857E" w14:textId="77777777" w:rsidR="00B9558D" w:rsidRDefault="00B9558D" w:rsidP="00B9558D">
      <w:pPr>
        <w:pStyle w:val="ListParagraph"/>
        <w:numPr>
          <w:ilvl w:val="0"/>
          <w:numId w:val="8"/>
        </w:numPr>
        <w:rPr>
          <w:lang w:val="en-IT"/>
        </w:rPr>
      </w:pPr>
      <w:r w:rsidRPr="002F008A">
        <w:rPr>
          <w:lang w:val="en-IT"/>
        </w:rPr>
        <w:t>heavy-industry score</w:t>
      </w:r>
      <w:r>
        <w:rPr>
          <w:lang w:val="en-IT"/>
        </w:rPr>
        <w:t>,</w:t>
      </w:r>
    </w:p>
    <w:p w14:paraId="0D212CC3" w14:textId="77777777" w:rsidR="00B9558D" w:rsidRDefault="00B9558D" w:rsidP="00B9558D">
      <w:pPr>
        <w:pStyle w:val="ListParagraph"/>
        <w:numPr>
          <w:ilvl w:val="0"/>
          <w:numId w:val="8"/>
        </w:numPr>
        <w:rPr>
          <w:lang w:val="en-IT"/>
        </w:rPr>
      </w:pPr>
      <w:r w:rsidRPr="002F008A">
        <w:rPr>
          <w:lang w:val="en-IT"/>
        </w:rPr>
        <w:t>particulate/aerosol score</w:t>
      </w:r>
      <w:r>
        <w:rPr>
          <w:lang w:val="en-IT"/>
        </w:rPr>
        <w:t>,</w:t>
      </w:r>
    </w:p>
    <w:p w14:paraId="4CBEDD3A" w14:textId="77777777" w:rsidR="00B9558D" w:rsidRDefault="00B9558D" w:rsidP="00B9558D">
      <w:pPr>
        <w:rPr>
          <w:lang w:val="en-IT"/>
        </w:rPr>
      </w:pPr>
      <w:r w:rsidRPr="002F008A">
        <w:rPr>
          <w:lang w:val="en-IT"/>
        </w:rPr>
        <w:lastRenderedPageBreak/>
        <w:t>and then into the pillar's headline air follow-up priority. The pollutants and their proxy roles are summarised in Table 6.1.</w:t>
      </w:r>
    </w:p>
    <w:p w14:paraId="2FEADB01" w14:textId="31F689A8" w:rsidR="00B9558D" w:rsidRPr="00B9558D" w:rsidRDefault="00B9558D" w:rsidP="00B9558D">
      <w:pPr>
        <w:rPr>
          <w:color w:val="EE0000"/>
          <w:lang w:val="en-IT"/>
        </w:rPr>
      </w:pPr>
      <w:r w:rsidRPr="0038510B">
        <w:rPr>
          <w:color w:val="EE0000"/>
        </w:rPr>
        <w:t>[Table 6.1: Air Pollution pillar — for each measure (NO₂, SO₂, CO, HCHO, O₃, PM/aerosol via AAI and AOD/CAMS): the activity it proxies, its principal attribution confounders, and the Earth Engine source dataset. To be drawn from the Final Indicators List "quality/attributability" column. To be inserted by author.]</w:t>
      </w:r>
    </w:p>
    <w:p w14:paraId="44333359" w14:textId="77777777" w:rsidR="00183FC8" w:rsidRDefault="00B50197">
      <w:pPr>
        <w:pStyle w:val="Heading3"/>
      </w:pPr>
      <w:bookmarkStart w:id="33" w:name="_Toc231372529"/>
      <w:r>
        <w:t>6.4</w:t>
      </w:r>
      <w:r>
        <w:tab/>
        <w:t>Greenhouse Gas pillar</w:t>
      </w:r>
      <w:bookmarkEnd w:id="33"/>
    </w:p>
    <w:p w14:paraId="4BBA426E" w14:textId="77777777" w:rsidR="00B9558D" w:rsidRDefault="00B9558D" w:rsidP="00B9558D">
      <w:pPr>
        <w:rPr>
          <w:lang w:val="en-GB"/>
        </w:rPr>
      </w:pPr>
      <w:r>
        <w:rPr>
          <w:lang w:val="en-GB"/>
        </w:rPr>
        <w:t>For the</w:t>
      </w:r>
      <w:r w:rsidRPr="0038510B">
        <w:rPr>
          <w:lang w:val="en-GB"/>
        </w:rPr>
        <w:t xml:space="preserve"> Greenhouse Gas pillar</w:t>
      </w:r>
      <w:r>
        <w:rPr>
          <w:lang w:val="en-GB"/>
        </w:rPr>
        <w:t>, t</w:t>
      </w:r>
      <w:r w:rsidRPr="0038510B">
        <w:rPr>
          <w:lang w:val="en-GB"/>
        </w:rPr>
        <w:t xml:space="preserve">he scoping phase identified the complete absence of any </w:t>
      </w:r>
      <w:r>
        <w:rPr>
          <w:lang w:val="en-GB"/>
        </w:rPr>
        <w:t>CO</w:t>
      </w:r>
      <w:r>
        <w:rPr>
          <w:vertAlign w:val="subscript"/>
          <w:lang w:val="en-GB"/>
        </w:rPr>
        <w:t>2</w:t>
      </w:r>
      <w:r w:rsidRPr="0038510B">
        <w:rPr>
          <w:lang w:val="en-GB"/>
        </w:rPr>
        <w:t xml:space="preserve"> representation as the most important indicator gap</w:t>
      </w:r>
      <w:r>
        <w:rPr>
          <w:lang w:val="en-GB"/>
        </w:rPr>
        <w:t>;</w:t>
      </w:r>
      <w:r w:rsidRPr="0038510B">
        <w:rPr>
          <w:lang w:val="en-GB"/>
        </w:rPr>
        <w:t xml:space="preserve"> the </w:t>
      </w:r>
      <w:r>
        <w:rPr>
          <w:lang w:val="en-GB"/>
        </w:rPr>
        <w:t>current</w:t>
      </w:r>
      <w:r w:rsidRPr="0038510B">
        <w:rPr>
          <w:lang w:val="en-GB"/>
        </w:rPr>
        <w:t xml:space="preserve"> tool offered no signal for the principal greenhouse gas, and therefore could say nothing about a site's climate relevance</w:t>
      </w:r>
      <w:r>
        <w:rPr>
          <w:lang w:val="en-GB"/>
        </w:rPr>
        <w:t xml:space="preserve">. This, however, is </w:t>
      </w:r>
      <w:r w:rsidRPr="0038510B">
        <w:rPr>
          <w:lang w:val="en-GB"/>
        </w:rPr>
        <w:t xml:space="preserve">the dimension that mandatory disclosure (ESRS E1, the GHG Protocol's Scope 1–3 framing) demands. The pillar was introduced to fill that gap, with the explicit caveat that it identifies sites where </w:t>
      </w:r>
      <w:r>
        <w:rPr>
          <w:lang w:val="en-GB"/>
        </w:rPr>
        <w:t>GHG</w:t>
      </w:r>
      <w:r w:rsidRPr="0038510B">
        <w:rPr>
          <w:lang w:val="en-GB"/>
        </w:rPr>
        <w:t xml:space="preserve"> emissions verification should be prioritised, and does not estimate Scope 1, 2, or 3 emissions.</w:t>
      </w:r>
    </w:p>
    <w:p w14:paraId="6E00978E" w14:textId="7332ACA3" w:rsidR="00D52E65" w:rsidRPr="00D52E65" w:rsidRDefault="00D52E65" w:rsidP="00D52E65">
      <w:pPr>
        <w:rPr>
          <w:lang w:val="en-GB"/>
        </w:rPr>
      </w:pPr>
      <w:r w:rsidRPr="00D52E65">
        <w:rPr>
          <w:lang w:val="en-GB"/>
        </w:rPr>
        <w:t xml:space="preserve">Four signals were evaluated, falling into two kinds. The first kind is a </w:t>
      </w:r>
      <w:r>
        <w:rPr>
          <w:lang w:val="en-GB"/>
        </w:rPr>
        <w:t xml:space="preserve">direct </w:t>
      </w:r>
      <w:r w:rsidRPr="00D52E65">
        <w:rPr>
          <w:lang w:val="en-GB"/>
        </w:rPr>
        <w:t>measurement of a greenhouse gas itself. Two were considered</w:t>
      </w:r>
      <w:r>
        <w:rPr>
          <w:lang w:val="en-GB"/>
        </w:rPr>
        <w:t xml:space="preserve">: </w:t>
      </w:r>
      <w:r w:rsidRPr="00D52E65">
        <w:rPr>
          <w:lang w:val="en-GB"/>
        </w:rPr>
        <w:t xml:space="preserve">a </w:t>
      </w:r>
      <w:r w:rsidRPr="00D52E65">
        <w:rPr>
          <w:b/>
          <w:bCs/>
          <w:lang w:val="en-GB"/>
        </w:rPr>
        <w:t>fossil-CO₂ emissions inventory</w:t>
      </w:r>
      <w:r w:rsidRPr="00D52E65">
        <w:rPr>
          <w:lang w:val="en-GB"/>
        </w:rPr>
        <w:t xml:space="preserve"> (ODIAC) and </w:t>
      </w:r>
      <w:r w:rsidRPr="00D52E65">
        <w:rPr>
          <w:b/>
          <w:bCs/>
          <w:lang w:val="en-GB"/>
        </w:rPr>
        <w:t>satellite methane</w:t>
      </w:r>
      <w:r w:rsidRPr="00D52E65">
        <w:rPr>
          <w:lang w:val="en-GB"/>
        </w:rPr>
        <w:t xml:space="preserve"> (Sentinel-5P </w:t>
      </w:r>
      <w:r w:rsidRPr="00D52E65">
        <w:rPr>
          <w:b/>
          <w:bCs/>
          <w:lang w:val="en-GB"/>
        </w:rPr>
        <w:t>CH₄</w:t>
      </w:r>
      <w:r w:rsidRPr="00D52E65">
        <w:rPr>
          <w:lang w:val="en-GB"/>
        </w:rPr>
        <w:t xml:space="preserve">), methane being the second most important anthropogenic greenhouse gas after CO₂ (IPCC, 2021) and the one most </w:t>
      </w:r>
      <w:r>
        <w:rPr>
          <w:lang w:val="en-GB"/>
        </w:rPr>
        <w:t>detectable</w:t>
      </w:r>
      <w:r w:rsidRPr="00D52E65">
        <w:rPr>
          <w:lang w:val="en-GB"/>
        </w:rPr>
        <w:t xml:space="preserve"> from orbit. The second kind is indirect</w:t>
      </w:r>
      <w:r>
        <w:rPr>
          <w:lang w:val="en-GB"/>
        </w:rPr>
        <w:t xml:space="preserve"> - </w:t>
      </w:r>
      <w:r w:rsidRPr="00D52E65">
        <w:rPr>
          <w:lang w:val="en-GB"/>
        </w:rPr>
        <w:t>a proxy for the intensity of activity at a site</w:t>
      </w:r>
      <w:r>
        <w:rPr>
          <w:lang w:val="en-GB"/>
        </w:rPr>
        <w:t>.</w:t>
      </w:r>
      <w:r w:rsidRPr="00D52E65">
        <w:rPr>
          <w:lang w:val="en-GB"/>
        </w:rPr>
        <w:t xml:space="preserve"> </w:t>
      </w:r>
      <w:r>
        <w:rPr>
          <w:lang w:val="en-GB"/>
        </w:rPr>
        <w:t>The</w:t>
      </w:r>
      <w:r w:rsidRPr="00D52E65">
        <w:rPr>
          <w:lang w:val="en-GB"/>
        </w:rPr>
        <w:t xml:space="preserve"> reasoning </w:t>
      </w:r>
      <w:r>
        <w:rPr>
          <w:lang w:val="en-GB"/>
        </w:rPr>
        <w:t xml:space="preserve">is </w:t>
      </w:r>
      <w:r w:rsidRPr="00D52E65">
        <w:rPr>
          <w:lang w:val="en-GB"/>
        </w:rPr>
        <w:t xml:space="preserve">that </w:t>
      </w:r>
      <w:r>
        <w:rPr>
          <w:lang w:val="en-GB"/>
        </w:rPr>
        <w:t>GHG</w:t>
      </w:r>
      <w:r w:rsidRPr="00D52E65">
        <w:rPr>
          <w:lang w:val="en-GB"/>
        </w:rPr>
        <w:t xml:space="preserve"> emissions are produced by combustion and energy-intensive industrial operation</w:t>
      </w:r>
      <w:r>
        <w:rPr>
          <w:lang w:val="en-GB"/>
        </w:rPr>
        <w:t>s</w:t>
      </w:r>
      <w:r w:rsidRPr="00D52E65">
        <w:rPr>
          <w:lang w:val="en-GB"/>
        </w:rPr>
        <w:t>, so an observable marker of such operation is informative about likely emissions even when the gas itself cannot be measured at site scale. Two activity proxies were considered</w:t>
      </w:r>
      <w:r>
        <w:rPr>
          <w:lang w:val="en-GB"/>
        </w:rPr>
        <w:t>:</w:t>
      </w:r>
      <w:r w:rsidRPr="00D52E65">
        <w:rPr>
          <w:lang w:val="en-GB"/>
        </w:rPr>
        <w:t xml:space="preserve"> a </w:t>
      </w:r>
      <w:r w:rsidRPr="00D52E65">
        <w:rPr>
          <w:b/>
          <w:bCs/>
          <w:lang w:val="en-GB"/>
        </w:rPr>
        <w:t>night-lights signal (VIIRS)</w:t>
      </w:r>
      <w:r w:rsidRPr="00D52E65">
        <w:rPr>
          <w:lang w:val="en-GB"/>
        </w:rPr>
        <w:t xml:space="preserve"> and the </w:t>
      </w:r>
      <w:r w:rsidRPr="00D52E65">
        <w:rPr>
          <w:b/>
          <w:bCs/>
          <w:lang w:val="en-GB"/>
        </w:rPr>
        <w:t>combustion proxy</w:t>
      </w:r>
      <w:r w:rsidRPr="00D52E65">
        <w:rPr>
          <w:lang w:val="en-GB"/>
        </w:rPr>
        <w:t xml:space="preserve"> from the Air pillar. Night-time light radiance is a well-established proxy for the scope</w:t>
      </w:r>
      <w:r>
        <w:rPr>
          <w:lang w:val="en-GB"/>
        </w:rPr>
        <w:t xml:space="preserve">, reflecting </w:t>
      </w:r>
      <w:r w:rsidRPr="00D52E65">
        <w:rPr>
          <w:lang w:val="en-GB"/>
        </w:rPr>
        <w:t>intensity of human and economic activity (Gibson, Olivia and Boe-Gibson, 2020)</w:t>
      </w:r>
      <w:r>
        <w:rPr>
          <w:lang w:val="en-GB"/>
        </w:rPr>
        <w:t xml:space="preserve">. Moreover, the </w:t>
      </w:r>
      <w:r w:rsidRPr="00D52E65">
        <w:rPr>
          <w:lang w:val="en-GB"/>
        </w:rPr>
        <w:t xml:space="preserve">VIIRS sensor specifically </w:t>
      </w:r>
      <w:r>
        <w:rPr>
          <w:lang w:val="en-GB"/>
        </w:rPr>
        <w:t>detects</w:t>
      </w:r>
      <w:r w:rsidRPr="00D52E65">
        <w:rPr>
          <w:lang w:val="en-GB"/>
        </w:rPr>
        <w:t xml:space="preserve"> the intense thermal </w:t>
      </w:r>
      <w:r>
        <w:rPr>
          <w:lang w:val="en-GB"/>
        </w:rPr>
        <w:t>trace</w:t>
      </w:r>
      <w:r w:rsidRPr="00D52E65">
        <w:rPr>
          <w:lang w:val="en-GB"/>
        </w:rPr>
        <w:t xml:space="preserve"> of industrial combustion sources such as gas flaring (Elvidge et al., 2016), </w:t>
      </w:r>
      <w:r>
        <w:rPr>
          <w:lang w:val="en-GB"/>
        </w:rPr>
        <w:t>allowing</w:t>
      </w:r>
      <w:r w:rsidRPr="00D52E65">
        <w:rPr>
          <w:lang w:val="en-GB"/>
        </w:rPr>
        <w:t xml:space="preserve"> it </w:t>
      </w:r>
      <w:r>
        <w:rPr>
          <w:lang w:val="en-GB"/>
        </w:rPr>
        <w:t>to</w:t>
      </w:r>
      <w:r w:rsidRPr="00D52E65">
        <w:rPr>
          <w:lang w:val="en-GB"/>
        </w:rPr>
        <w:t xml:space="preserve"> </w:t>
      </w:r>
      <w:r>
        <w:rPr>
          <w:lang w:val="en-GB"/>
        </w:rPr>
        <w:t>discern</w:t>
      </w:r>
      <w:r w:rsidRPr="00D52E65">
        <w:rPr>
          <w:lang w:val="en-GB"/>
        </w:rPr>
        <w:t xml:space="preserve"> energy-intensive operation </w:t>
      </w:r>
      <w:r>
        <w:rPr>
          <w:lang w:val="en-GB"/>
        </w:rPr>
        <w:t>from</w:t>
      </w:r>
      <w:r w:rsidRPr="00D52E65">
        <w:rPr>
          <w:lang w:val="en-GB"/>
        </w:rPr>
        <w:t xml:space="preserve"> settlement lighting.</w:t>
      </w:r>
    </w:p>
    <w:p w14:paraId="5D4F714B" w14:textId="7FE4D54A" w:rsidR="00B9558D" w:rsidRPr="00B9558D" w:rsidRDefault="00B9558D" w:rsidP="00B9558D">
      <w:pPr>
        <w:rPr>
          <w:lang w:val="en-GB"/>
        </w:rPr>
      </w:pPr>
      <w:r w:rsidRPr="0038510B">
        <w:rPr>
          <w:lang w:val="en-GB"/>
        </w:rPr>
        <w:t>The evaluation found that the two most appealing candidates</w:t>
      </w:r>
      <w:r>
        <w:rPr>
          <w:lang w:val="en-GB"/>
        </w:rPr>
        <w:t>,</w:t>
      </w:r>
      <w:r w:rsidRPr="0038510B">
        <w:rPr>
          <w:lang w:val="en-GB"/>
        </w:rPr>
        <w:t xml:space="preserve"> </w:t>
      </w:r>
      <w:r>
        <w:rPr>
          <w:lang w:val="en-GB"/>
        </w:rPr>
        <w:t>the</w:t>
      </w:r>
      <w:r w:rsidRPr="0038510B">
        <w:rPr>
          <w:lang w:val="en-GB"/>
        </w:rPr>
        <w:t xml:space="preserve"> CO₂ inventory and</w:t>
      </w:r>
      <w:r>
        <w:rPr>
          <w:lang w:val="en-GB"/>
        </w:rPr>
        <w:t xml:space="preserve"> direct</w:t>
      </w:r>
      <w:r w:rsidRPr="0038510B">
        <w:rPr>
          <w:lang w:val="en-GB"/>
        </w:rPr>
        <w:t xml:space="preserve"> methane</w:t>
      </w:r>
      <w:r>
        <w:rPr>
          <w:lang w:val="en-GB"/>
        </w:rPr>
        <w:t xml:space="preserve">, </w:t>
      </w:r>
      <w:r w:rsidRPr="0038510B">
        <w:rPr>
          <w:lang w:val="en-GB"/>
        </w:rPr>
        <w:t xml:space="preserve">could not </w:t>
      </w:r>
      <w:r>
        <w:rPr>
          <w:lang w:val="en-GB"/>
        </w:rPr>
        <w:t>provide</w:t>
      </w:r>
      <w:r w:rsidRPr="0038510B">
        <w:rPr>
          <w:lang w:val="en-GB"/>
        </w:rPr>
        <w:t xml:space="preserve"> a live screening signal</w:t>
      </w:r>
      <w:r>
        <w:rPr>
          <w:lang w:val="en-GB"/>
        </w:rPr>
        <w:t xml:space="preserve">. </w:t>
      </w:r>
      <w:r w:rsidRPr="0038510B">
        <w:rPr>
          <w:lang w:val="en-GB"/>
        </w:rPr>
        <w:t>Both were consequently demoted to context</w:t>
      </w:r>
      <w:r>
        <w:rPr>
          <w:lang w:val="en-GB"/>
        </w:rPr>
        <w:t xml:space="preserve">; </w:t>
      </w:r>
      <w:r w:rsidRPr="0038510B">
        <w:rPr>
          <w:lang w:val="en-GB"/>
        </w:rPr>
        <w:t xml:space="preserve">the reasoning is set out in Section 6.6. The pillar therefore </w:t>
      </w:r>
      <w:r>
        <w:rPr>
          <w:lang w:val="en-GB"/>
        </w:rPr>
        <w:t>incorporates</w:t>
      </w:r>
      <w:r w:rsidRPr="0038510B">
        <w:rPr>
          <w:lang w:val="en-GB"/>
        </w:rPr>
        <w:t xml:space="preserve"> the signals that survived evaluation as live, present-day discriminators of intense activity: a night-lights </w:t>
      </w:r>
      <w:r w:rsidRPr="0038510B">
        <w:rPr>
          <w:lang w:val="en-GB"/>
        </w:rPr>
        <w:lastRenderedPageBreak/>
        <w:t xml:space="preserve">flaring signal and the borrowed combustion proxy. This is an honest reflection of what </w:t>
      </w:r>
      <w:r>
        <w:rPr>
          <w:lang w:val="en-GB"/>
        </w:rPr>
        <w:t xml:space="preserve">the </w:t>
      </w:r>
      <w:r w:rsidRPr="0038510B">
        <w:rPr>
          <w:lang w:val="en-GB"/>
        </w:rPr>
        <w:t>satellite data can presently support, and the CO₂ and methane signals remain visible to the user as standing context alongside the live score.</w:t>
      </w:r>
    </w:p>
    <w:p w14:paraId="3EF808FB" w14:textId="77777777" w:rsidR="00183FC8" w:rsidRDefault="00B50197">
      <w:pPr>
        <w:pStyle w:val="Heading3"/>
      </w:pPr>
      <w:bookmarkStart w:id="34" w:name="_Toc231372530"/>
      <w:r>
        <w:t>6.5</w:t>
      </w:r>
      <w:r>
        <w:tab/>
        <w:t>Nature and Land pillar</w:t>
      </w:r>
      <w:bookmarkEnd w:id="34"/>
    </w:p>
    <w:p w14:paraId="4CB5D7DA" w14:textId="758B59DC" w:rsidR="00B9558D" w:rsidRDefault="00B9558D" w:rsidP="00B9558D">
      <w:pPr>
        <w:rPr>
          <w:lang w:val="en-GB" w:eastAsia="en-US"/>
        </w:rPr>
      </w:pPr>
      <w:r w:rsidRPr="00B9558D">
        <w:rPr>
          <w:lang w:val="en-GB" w:eastAsia="en-US"/>
        </w:rPr>
        <w:t>The Nature and Land pillar is organised around three audit questions</w:t>
      </w:r>
      <w:r w:rsidR="00D52E65">
        <w:rPr>
          <w:lang w:val="en-GB" w:eastAsia="en-US"/>
        </w:rPr>
        <w:t xml:space="preserve">, </w:t>
      </w:r>
      <w:r w:rsidR="00D52E65" w:rsidRPr="00D52E65">
        <w:rPr>
          <w:lang w:val="en-GB" w:eastAsia="en-US"/>
        </w:rPr>
        <w:t>adopted from the indicator-evaluation framework developed in the scoping phase</w:t>
      </w:r>
      <w:r w:rsidRPr="00B9558D">
        <w:rPr>
          <w:lang w:val="en-GB" w:eastAsia="en-US"/>
        </w:rPr>
        <w:t xml:space="preserve">: </w:t>
      </w:r>
    </w:p>
    <w:p w14:paraId="1FCCA72F" w14:textId="0936723F" w:rsidR="00B9558D" w:rsidRDefault="00B9558D" w:rsidP="00B9558D">
      <w:pPr>
        <w:pStyle w:val="ListParagraph"/>
        <w:numPr>
          <w:ilvl w:val="0"/>
          <w:numId w:val="9"/>
        </w:numPr>
        <w:rPr>
          <w:lang w:val="en-GB" w:eastAsia="en-US"/>
        </w:rPr>
      </w:pPr>
      <w:r w:rsidRPr="00B9558D">
        <w:rPr>
          <w:lang w:val="en-GB" w:eastAsia="en-US"/>
        </w:rPr>
        <w:t>whether a site sits in or near an ecologically sensitive area</w:t>
      </w:r>
      <w:r>
        <w:rPr>
          <w:lang w:val="en-GB" w:eastAsia="en-US"/>
        </w:rPr>
        <w:t>,</w:t>
      </w:r>
    </w:p>
    <w:p w14:paraId="207ECAE1" w14:textId="77777777" w:rsidR="00B9558D" w:rsidRDefault="00B9558D" w:rsidP="00B9558D">
      <w:pPr>
        <w:pStyle w:val="ListParagraph"/>
        <w:numPr>
          <w:ilvl w:val="0"/>
          <w:numId w:val="9"/>
        </w:numPr>
        <w:rPr>
          <w:lang w:val="en-GB" w:eastAsia="en-US"/>
        </w:rPr>
      </w:pPr>
      <w:r w:rsidRPr="00B9558D">
        <w:rPr>
          <w:lang w:val="en-GB" w:eastAsia="en-US"/>
        </w:rPr>
        <w:t xml:space="preserve">whether natural habitat around it has been converted, </w:t>
      </w:r>
    </w:p>
    <w:p w14:paraId="336B89B0" w14:textId="77777777" w:rsidR="00B9558D" w:rsidRDefault="00B9558D" w:rsidP="00B9558D">
      <w:pPr>
        <w:pStyle w:val="ListParagraph"/>
        <w:numPr>
          <w:ilvl w:val="0"/>
          <w:numId w:val="9"/>
        </w:numPr>
        <w:rPr>
          <w:lang w:val="en-GB" w:eastAsia="en-US"/>
        </w:rPr>
      </w:pPr>
      <w:r w:rsidRPr="00B9558D">
        <w:rPr>
          <w:lang w:val="en-GB" w:eastAsia="en-US"/>
        </w:rPr>
        <w:t xml:space="preserve">whether the surrounding vegetation is healthy, stressed, or recovering. </w:t>
      </w:r>
    </w:p>
    <w:p w14:paraId="14555E8A" w14:textId="1FB137E3" w:rsidR="00741BEF" w:rsidRPr="00741BEF" w:rsidRDefault="00741BEF" w:rsidP="00741BEF">
      <w:pPr>
        <w:rPr>
          <w:lang w:val="en-GB" w:eastAsia="en-US"/>
        </w:rPr>
      </w:pPr>
      <w:r w:rsidRPr="00741BEF">
        <w:rPr>
          <w:lang w:val="en-GB" w:eastAsia="en-US"/>
        </w:rPr>
        <w:t xml:space="preserve">Each of the three maps onto a recognised dimension of </w:t>
      </w:r>
      <w:r>
        <w:rPr>
          <w:lang w:val="en-GB" w:eastAsia="en-US"/>
        </w:rPr>
        <w:t>ESG</w:t>
      </w:r>
      <w:r w:rsidRPr="00741BEF">
        <w:rPr>
          <w:lang w:val="en-GB" w:eastAsia="en-US"/>
        </w:rPr>
        <w:t xml:space="preserve"> </w:t>
      </w:r>
      <w:r>
        <w:rPr>
          <w:lang w:val="en-GB" w:eastAsia="en-US"/>
        </w:rPr>
        <w:t>audit requirements</w:t>
      </w:r>
      <w:r w:rsidRPr="00741BEF">
        <w:rPr>
          <w:lang w:val="en-GB" w:eastAsia="en-US"/>
        </w:rPr>
        <w:t xml:space="preserve">. Proximity to sensitive areas matters because biodiversity impact is inherently location-based: ESRS E4 requires </w:t>
      </w:r>
      <w:r>
        <w:rPr>
          <w:lang w:val="en-GB" w:eastAsia="en-US"/>
        </w:rPr>
        <w:t>users</w:t>
      </w:r>
      <w:r w:rsidRPr="00741BEF">
        <w:rPr>
          <w:lang w:val="en-GB" w:eastAsia="en-US"/>
        </w:rPr>
        <w:t xml:space="preserve"> to disclose the sites it owns in or near protected areas (EFRAG, 2023), and the TNFD's LEAP </w:t>
      </w:r>
      <w:r>
        <w:rPr>
          <w:lang w:val="en-GB" w:eastAsia="en-US"/>
        </w:rPr>
        <w:t>requires</w:t>
      </w:r>
      <w:r w:rsidRPr="00741BEF">
        <w:rPr>
          <w:lang w:val="en-GB" w:eastAsia="en-US"/>
        </w:rPr>
        <w:t xml:space="preserve"> locating where operations intersect biodiversity-important sites </w:t>
      </w:r>
      <w:r>
        <w:rPr>
          <w:lang w:val="en-GB" w:eastAsia="en-US"/>
        </w:rPr>
        <w:t xml:space="preserve">as </w:t>
      </w:r>
      <w:r w:rsidRPr="00741BEF">
        <w:rPr>
          <w:lang w:val="en-GB" w:eastAsia="en-US"/>
        </w:rPr>
        <w:t>the first step of any assessment (TNFD, 2023). Habitat conversion matters because the clearing of natural or semi-natural land</w:t>
      </w:r>
      <w:r>
        <w:rPr>
          <w:lang w:val="en-GB" w:eastAsia="en-US"/>
        </w:rPr>
        <w:t xml:space="preserve"> </w:t>
      </w:r>
      <w:r w:rsidRPr="00741BEF">
        <w:rPr>
          <w:lang w:val="en-GB" w:eastAsia="en-US"/>
        </w:rPr>
        <w:t>for an open-pit mine, a quarry</w:t>
      </w:r>
      <w:r>
        <w:rPr>
          <w:lang w:val="en-GB" w:eastAsia="en-US"/>
        </w:rPr>
        <w:t xml:space="preserve"> or </w:t>
      </w:r>
      <w:r w:rsidRPr="00741BEF">
        <w:rPr>
          <w:lang w:val="en-GB" w:eastAsia="en-US"/>
        </w:rPr>
        <w:t>a new industrial footprint is among the most direct and irreversible ways an operation degrades an ecosystem</w:t>
      </w:r>
      <w:r w:rsidR="004711D1">
        <w:rPr>
          <w:lang w:val="en-GB" w:eastAsia="en-US"/>
        </w:rPr>
        <w:t>; it</w:t>
      </w:r>
      <w:r w:rsidRPr="00741BEF">
        <w:rPr>
          <w:lang w:val="en-GB" w:eastAsia="en-US"/>
        </w:rPr>
        <w:t xml:space="preserve"> is</w:t>
      </w:r>
      <w:r w:rsidR="004711D1">
        <w:rPr>
          <w:lang w:val="en-GB" w:eastAsia="en-US"/>
        </w:rPr>
        <w:t xml:space="preserve"> thus</w:t>
      </w:r>
      <w:r w:rsidRPr="00741BEF">
        <w:rPr>
          <w:lang w:val="en-GB" w:eastAsia="en-US"/>
        </w:rPr>
        <w:t xml:space="preserve"> a primary driver of biodiversity loss that E4 and the TNFD expect to be assessed. A screening tool that could see neither of these would miss the impacts its users </w:t>
      </w:r>
      <w:r w:rsidR="004711D1">
        <w:rPr>
          <w:lang w:val="en-GB" w:eastAsia="en-US"/>
        </w:rPr>
        <w:t>should now</w:t>
      </w:r>
      <w:r w:rsidRPr="00741BEF">
        <w:rPr>
          <w:lang w:val="en-GB" w:eastAsia="en-US"/>
        </w:rPr>
        <w:t xml:space="preserve"> report.</w:t>
      </w:r>
    </w:p>
    <w:p w14:paraId="450EF000" w14:textId="532A44BA" w:rsidR="00B9558D" w:rsidRPr="00B9558D" w:rsidRDefault="00B9558D" w:rsidP="00B9558D">
      <w:pPr>
        <w:rPr>
          <w:lang w:val="en-GB" w:eastAsia="en-US"/>
        </w:rPr>
      </w:pPr>
      <w:r w:rsidRPr="00B9558D">
        <w:rPr>
          <w:lang w:val="en-GB" w:eastAsia="en-US"/>
        </w:rPr>
        <w:t xml:space="preserve">The </w:t>
      </w:r>
      <w:r>
        <w:rPr>
          <w:lang w:val="en-GB" w:eastAsia="en-US"/>
        </w:rPr>
        <w:t>current</w:t>
      </w:r>
      <w:r w:rsidRPr="00B9558D">
        <w:rPr>
          <w:lang w:val="en-GB" w:eastAsia="en-US"/>
        </w:rPr>
        <w:t xml:space="preserve"> tool addressed only the </w:t>
      </w:r>
      <w:r w:rsidR="004711D1">
        <w:rPr>
          <w:lang w:val="en-GB" w:eastAsia="en-US"/>
        </w:rPr>
        <w:t>last</w:t>
      </w:r>
      <w:r w:rsidRPr="00B9558D">
        <w:rPr>
          <w:lang w:val="en-GB" w:eastAsia="en-US"/>
        </w:rPr>
        <w:t xml:space="preserve"> of </w:t>
      </w:r>
      <w:r w:rsidR="004711D1">
        <w:rPr>
          <w:lang w:val="en-GB" w:eastAsia="en-US"/>
        </w:rPr>
        <w:t>the audit questions through</w:t>
      </w:r>
      <w:r w:rsidRPr="00B9558D">
        <w:rPr>
          <w:lang w:val="en-GB" w:eastAsia="en-US"/>
        </w:rPr>
        <w:t xml:space="preserve"> NDVI. </w:t>
      </w:r>
      <w:r w:rsidR="00D52E65" w:rsidRPr="00D52E65">
        <w:rPr>
          <w:lang w:val="en-GB" w:eastAsia="en-US"/>
        </w:rPr>
        <w:t>NDVI</w:t>
      </w:r>
      <w:r w:rsidR="00D52E65">
        <w:rPr>
          <w:lang w:val="en-GB" w:eastAsia="en-US"/>
        </w:rPr>
        <w:t xml:space="preserve"> - </w:t>
      </w:r>
      <w:r w:rsidR="00D52E65" w:rsidRPr="00D52E65">
        <w:rPr>
          <w:lang w:val="en-GB" w:eastAsia="en-US"/>
        </w:rPr>
        <w:t>the Normalised Difference Vegetation Index</w:t>
      </w:r>
      <w:r w:rsidR="00D52E65">
        <w:rPr>
          <w:lang w:val="en-GB" w:eastAsia="en-US"/>
        </w:rPr>
        <w:t xml:space="preserve"> - </w:t>
      </w:r>
      <w:r w:rsidR="00D52E65" w:rsidRPr="00D52E65">
        <w:rPr>
          <w:lang w:val="en-GB" w:eastAsia="en-US"/>
        </w:rPr>
        <w:t xml:space="preserve">measures vegetation greenness from the contrast between near-infrared and red reflectance, and while greenness is a reasonable indicator of vegetation condition, it is a poor proxy for biodiversity or land-use impact on its own. </w:t>
      </w:r>
      <w:r>
        <w:rPr>
          <w:lang w:val="en-GB" w:eastAsia="en-US"/>
        </w:rPr>
        <w:t xml:space="preserve">In other words, </w:t>
      </w:r>
      <w:r w:rsidRPr="00B9558D">
        <w:rPr>
          <w:lang w:val="en-GB" w:eastAsia="en-US"/>
        </w:rPr>
        <w:t xml:space="preserve">a site surrounded by dense monoculture plantation or seasonal crops will register high NDVI while sitting inside a critical habitat or on recently converted land. </w:t>
      </w:r>
      <w:r w:rsidR="00E92C63">
        <w:rPr>
          <w:lang w:val="en-GB" w:eastAsia="en-US"/>
        </w:rPr>
        <w:t xml:space="preserve">Thus, </w:t>
      </w:r>
      <w:r w:rsidR="00D52E65">
        <w:rPr>
          <w:lang w:val="en-GB" w:eastAsia="en-US"/>
        </w:rPr>
        <w:t>greenness</w:t>
      </w:r>
      <w:r w:rsidRPr="00B9558D">
        <w:rPr>
          <w:lang w:val="en-GB" w:eastAsia="en-US"/>
        </w:rPr>
        <w:t xml:space="preserve"> alone cannot distinguish ecological </w:t>
      </w:r>
      <w:r w:rsidR="00D52E65">
        <w:rPr>
          <w:lang w:val="en-GB" w:eastAsia="en-US"/>
        </w:rPr>
        <w:t>health</w:t>
      </w:r>
      <w:r w:rsidRPr="00B9558D">
        <w:rPr>
          <w:lang w:val="en-GB" w:eastAsia="en-US"/>
        </w:rPr>
        <w:t xml:space="preserve"> from agricultural </w:t>
      </w:r>
      <w:r w:rsidR="00E92C63">
        <w:rPr>
          <w:lang w:val="en-GB" w:eastAsia="en-US"/>
        </w:rPr>
        <w:t>intensity</w:t>
      </w:r>
      <w:r w:rsidRPr="00B9558D">
        <w:rPr>
          <w:lang w:val="en-GB" w:eastAsia="en-US"/>
        </w:rPr>
        <w:t xml:space="preserve">, nor detect the conversion of natural land to built or bare ground. </w:t>
      </w:r>
      <w:r w:rsidR="00D52E65">
        <w:rPr>
          <w:lang w:val="en-GB" w:eastAsia="en-US"/>
        </w:rPr>
        <w:t>It</w:t>
      </w:r>
      <w:r w:rsidR="00D52E65" w:rsidRPr="00D52E65">
        <w:rPr>
          <w:lang w:val="en-GB" w:eastAsia="en-US"/>
        </w:rPr>
        <w:t xml:space="preserve"> was therefore necessary to add measures of exposure</w:t>
      </w:r>
      <w:r w:rsidR="00D52E65">
        <w:rPr>
          <w:lang w:val="en-GB" w:eastAsia="en-US"/>
        </w:rPr>
        <w:t xml:space="preserve"> (does the supplier pose a risk to </w:t>
      </w:r>
      <w:r w:rsidR="00F70BE4">
        <w:rPr>
          <w:lang w:val="en-GB" w:eastAsia="en-US"/>
        </w:rPr>
        <w:t xml:space="preserve">ecologically valuable areas?) </w:t>
      </w:r>
      <w:r w:rsidR="00D52E65" w:rsidRPr="00D52E65">
        <w:rPr>
          <w:lang w:val="en-GB" w:eastAsia="en-US"/>
        </w:rPr>
        <w:t>and change</w:t>
      </w:r>
      <w:r w:rsidR="00F70BE4">
        <w:rPr>
          <w:lang w:val="en-GB" w:eastAsia="en-US"/>
        </w:rPr>
        <w:t xml:space="preserve"> (has the supplier converted land around it?)</w:t>
      </w:r>
      <w:r w:rsidR="00D52E65" w:rsidRPr="00D52E65">
        <w:rPr>
          <w:lang w:val="en-GB" w:eastAsia="en-US"/>
        </w:rPr>
        <w:t xml:space="preserve"> to sit alongside the inherited measure of condition.</w:t>
      </w:r>
    </w:p>
    <w:p w14:paraId="6306CDBA" w14:textId="751CDF64" w:rsidR="00E92C63" w:rsidRDefault="00B9558D" w:rsidP="00E92C63">
      <w:pPr>
        <w:rPr>
          <w:lang w:val="en-GB" w:eastAsia="en-US"/>
        </w:rPr>
      </w:pPr>
      <w:r w:rsidRPr="00B9558D">
        <w:rPr>
          <w:lang w:val="en-GB" w:eastAsia="en-US"/>
        </w:rPr>
        <w:t xml:space="preserve">To do so it adds </w:t>
      </w:r>
      <w:r w:rsidR="00E92C63">
        <w:rPr>
          <w:lang w:val="en-GB" w:eastAsia="en-US"/>
        </w:rPr>
        <w:t>covers three</w:t>
      </w:r>
      <w:r w:rsidRPr="00B9558D">
        <w:rPr>
          <w:lang w:val="en-GB" w:eastAsia="en-US"/>
        </w:rPr>
        <w:t xml:space="preserve"> </w:t>
      </w:r>
      <w:r w:rsidR="00E92C63">
        <w:rPr>
          <w:lang w:val="en-GB" w:eastAsia="en-US"/>
        </w:rPr>
        <w:t>impact-areas</w:t>
      </w:r>
      <w:r w:rsidRPr="00B9558D">
        <w:rPr>
          <w:lang w:val="en-GB" w:eastAsia="en-US"/>
        </w:rPr>
        <w:t>.</w:t>
      </w:r>
      <w:r w:rsidR="00E92C63">
        <w:rPr>
          <w:lang w:val="en-GB" w:eastAsia="en-US"/>
        </w:rPr>
        <w:t xml:space="preserve"> </w:t>
      </w:r>
      <w:r w:rsidRPr="00E92C63">
        <w:rPr>
          <w:lang w:val="en-GB" w:eastAsia="en-US"/>
        </w:rPr>
        <w:t xml:space="preserve">Biodiversity exposure is assessed using a </w:t>
      </w:r>
      <w:r w:rsidRPr="00E92C63">
        <w:rPr>
          <w:b/>
          <w:bCs/>
          <w:lang w:val="en-GB" w:eastAsia="en-US"/>
        </w:rPr>
        <w:t>Key Biodiversity Areas (KBA) layer</w:t>
      </w:r>
      <w:r w:rsidRPr="00E92C63">
        <w:rPr>
          <w:lang w:val="en-GB" w:eastAsia="en-US"/>
        </w:rPr>
        <w:t>, measuring a site's proximity to or overlap with designated sensitive areas</w:t>
      </w:r>
      <w:r w:rsidR="00E92C63">
        <w:rPr>
          <w:lang w:val="en-GB" w:eastAsia="en-US"/>
        </w:rPr>
        <w:t xml:space="preserve"> to indicate </w:t>
      </w:r>
      <w:r w:rsidRPr="00E92C63">
        <w:rPr>
          <w:lang w:val="en-GB" w:eastAsia="en-US"/>
        </w:rPr>
        <w:t xml:space="preserve">risk of impact rather than impact itself. </w:t>
      </w:r>
      <w:r w:rsidR="004711D1" w:rsidRPr="004711D1">
        <w:rPr>
          <w:lang w:val="en-GB" w:eastAsia="en-US"/>
        </w:rPr>
        <w:t xml:space="preserve">The KBA dataset is </w:t>
      </w:r>
      <w:r w:rsidR="004711D1" w:rsidRPr="004711D1">
        <w:rPr>
          <w:lang w:val="en-GB" w:eastAsia="en-US"/>
        </w:rPr>
        <w:lastRenderedPageBreak/>
        <w:t xml:space="preserve">recognised under ESRS and the TNFD as a definition of "biodiversity-sensitive area," so a proximity flag against it </w:t>
      </w:r>
      <w:r w:rsidR="004711D1">
        <w:rPr>
          <w:lang w:val="en-GB" w:eastAsia="en-US"/>
        </w:rPr>
        <w:t>is appropriate</w:t>
      </w:r>
      <w:r w:rsidR="004711D1" w:rsidRPr="004711D1">
        <w:rPr>
          <w:lang w:val="en-GB" w:eastAsia="en-US"/>
        </w:rPr>
        <w:t xml:space="preserve"> (BirdLife International, 2023).</w:t>
      </w:r>
      <w:r w:rsidR="004711D1">
        <w:rPr>
          <w:lang w:val="en-GB" w:eastAsia="en-US"/>
        </w:rPr>
        <w:t xml:space="preserve"> </w:t>
      </w:r>
      <w:r w:rsidRPr="00E92C63">
        <w:rPr>
          <w:b/>
          <w:bCs/>
          <w:lang w:val="en-GB" w:eastAsia="en-US"/>
        </w:rPr>
        <w:t>Habitat conversion</w:t>
      </w:r>
      <w:r w:rsidRPr="00E92C63">
        <w:rPr>
          <w:lang w:val="en-GB" w:eastAsia="en-US"/>
        </w:rPr>
        <w:t xml:space="preserve"> is assessed using Google's Dynamic World near-real-time land-cover product, which classifies the area into land-cover types and so allows the tool to detect conversion of natural land to built-up or bare ground around a site. </w:t>
      </w:r>
      <w:r w:rsidRPr="00E92C63">
        <w:rPr>
          <w:b/>
          <w:bCs/>
          <w:lang w:val="en-GB" w:eastAsia="en-US"/>
        </w:rPr>
        <w:t>Vegetation condition</w:t>
      </w:r>
      <w:r w:rsidRPr="00E92C63">
        <w:rPr>
          <w:lang w:val="en-GB" w:eastAsia="en-US"/>
        </w:rPr>
        <w:t xml:space="preserve"> is retained from the inherited tool but recast as a site-versus-surroundings anomaly rather than a raw NDVI value. The three strands form sub-aggregates</w:t>
      </w:r>
      <w:r w:rsidR="00E92C63">
        <w:rPr>
          <w:lang w:val="en-GB" w:eastAsia="en-US"/>
        </w:rPr>
        <w:t>:</w:t>
      </w:r>
    </w:p>
    <w:p w14:paraId="7CAFFEF5" w14:textId="06D4E5D5" w:rsidR="00E92C63" w:rsidRDefault="00B9558D" w:rsidP="00E92C63">
      <w:pPr>
        <w:pStyle w:val="ListParagraph"/>
        <w:numPr>
          <w:ilvl w:val="0"/>
          <w:numId w:val="11"/>
        </w:numPr>
        <w:rPr>
          <w:lang w:val="en-GB" w:eastAsia="en-US"/>
        </w:rPr>
      </w:pPr>
      <w:r w:rsidRPr="00E92C63">
        <w:rPr>
          <w:lang w:val="en-GB" w:eastAsia="en-US"/>
        </w:rPr>
        <w:t>biodiversity exposure</w:t>
      </w:r>
      <w:r w:rsidR="00E92C63">
        <w:rPr>
          <w:lang w:val="en-GB" w:eastAsia="en-US"/>
        </w:rPr>
        <w:t>,</w:t>
      </w:r>
    </w:p>
    <w:p w14:paraId="2C9907FF" w14:textId="77777777" w:rsidR="00E92C63" w:rsidRDefault="00B9558D" w:rsidP="00E92C63">
      <w:pPr>
        <w:pStyle w:val="ListParagraph"/>
        <w:numPr>
          <w:ilvl w:val="0"/>
          <w:numId w:val="11"/>
        </w:numPr>
        <w:rPr>
          <w:lang w:val="en-GB" w:eastAsia="en-US"/>
        </w:rPr>
      </w:pPr>
      <w:r w:rsidRPr="00E92C63">
        <w:rPr>
          <w:lang w:val="en-GB" w:eastAsia="en-US"/>
        </w:rPr>
        <w:t>habitat conversion,</w:t>
      </w:r>
    </w:p>
    <w:p w14:paraId="774E10C2" w14:textId="77777777" w:rsidR="00E92C63" w:rsidRDefault="00B9558D" w:rsidP="00E92C63">
      <w:pPr>
        <w:pStyle w:val="ListParagraph"/>
        <w:numPr>
          <w:ilvl w:val="0"/>
          <w:numId w:val="11"/>
        </w:numPr>
        <w:rPr>
          <w:lang w:val="en-GB" w:eastAsia="en-US"/>
        </w:rPr>
      </w:pPr>
      <w:r w:rsidRPr="00E92C63">
        <w:rPr>
          <w:lang w:val="en-GB" w:eastAsia="en-US"/>
        </w:rPr>
        <w:t>vegetation condition</w:t>
      </w:r>
    </w:p>
    <w:p w14:paraId="262F17D5" w14:textId="5CBFBA4D" w:rsidR="00B9558D" w:rsidRPr="00B9558D" w:rsidRDefault="00B9558D" w:rsidP="00B9558D">
      <w:pPr>
        <w:rPr>
          <w:lang w:val="en-GB" w:eastAsia="en-US"/>
        </w:rPr>
      </w:pPr>
      <w:r w:rsidRPr="00E92C63">
        <w:rPr>
          <w:lang w:val="en-GB" w:eastAsia="en-US"/>
        </w:rPr>
        <w:t>that combine into the pillar's nature follow-up priority. As in the Air pillar, the comparison of a site against its local surroundings is the shared logic underlying the scoring, developed in Section 7.2. The pillar's measures and their datasets are summarised in Table 6.2.</w:t>
      </w:r>
    </w:p>
    <w:p w14:paraId="72055719" w14:textId="77B20D55" w:rsidR="00B9558D" w:rsidRPr="00E92C63" w:rsidRDefault="00B9558D" w:rsidP="00B9558D">
      <w:pPr>
        <w:rPr>
          <w:color w:val="EE0000"/>
          <w:lang w:val="en-GB" w:eastAsia="en-US"/>
        </w:rPr>
      </w:pPr>
      <w:r w:rsidRPr="00E92C63">
        <w:rPr>
          <w:color w:val="EE0000"/>
          <w:lang w:val="en-GB" w:eastAsia="en-US"/>
        </w:rPr>
        <w:t>[Table 6.2: Nature and Land pillar — for each strand (biodiversity exposure via KBA; habitat conversion via Dynamic World; vegetation condition via MODIS NDVI): the audit question it answers, what it measures, and the Earth Engine source dataset. To be inserted by author.]</w:t>
      </w:r>
    </w:p>
    <w:p w14:paraId="00B33ADB" w14:textId="77777777" w:rsidR="00183FC8" w:rsidRDefault="00B50197">
      <w:pPr>
        <w:pStyle w:val="Heading3"/>
      </w:pPr>
      <w:bookmarkStart w:id="35" w:name="_Toc231372531"/>
      <w:r>
        <w:t>6.6</w:t>
      </w:r>
      <w:r>
        <w:tab/>
        <w:t>Indicators retained, demoted, and deferred</w:t>
      </w:r>
      <w:bookmarkEnd w:id="35"/>
    </w:p>
    <w:p w14:paraId="12E759AD" w14:textId="77777777" w:rsidR="005900C1" w:rsidRDefault="005900C1" w:rsidP="005900C1">
      <w:pPr>
        <w:rPr>
          <w:lang w:val="en-GB" w:eastAsia="en-US"/>
        </w:rPr>
      </w:pPr>
      <w:r w:rsidRPr="005900C1">
        <w:rPr>
          <w:lang w:val="en-GB" w:eastAsia="en-US"/>
        </w:rPr>
        <w:t xml:space="preserve">For a screening tool, being explicit about what is not scored matters to </w:t>
      </w:r>
      <w:r>
        <w:rPr>
          <w:lang w:val="en-GB" w:eastAsia="en-US"/>
        </w:rPr>
        <w:t xml:space="preserve">avoid </w:t>
      </w:r>
      <w:r w:rsidRPr="005900C1">
        <w:rPr>
          <w:lang w:val="en-GB" w:eastAsia="en-US"/>
        </w:rPr>
        <w:t>overclaim</w:t>
      </w:r>
      <w:r>
        <w:rPr>
          <w:lang w:val="en-GB" w:eastAsia="en-US"/>
        </w:rPr>
        <w:t>ing</w:t>
      </w:r>
      <w:r w:rsidRPr="005900C1">
        <w:rPr>
          <w:lang w:val="en-GB" w:eastAsia="en-US"/>
        </w:rPr>
        <w:t xml:space="preserve">. The evaluation therefore sorted indicators into three categories. Retained indicators are computed and contribute to a live score. Demoted indicators are still computed and shown to the user as reference or context, but deliberately excluded from any score. Deferred indicators are recognised as valuable but left for a later </w:t>
      </w:r>
      <w:r>
        <w:rPr>
          <w:lang w:val="en-GB" w:eastAsia="en-US"/>
        </w:rPr>
        <w:t>development</w:t>
      </w:r>
      <w:r w:rsidRPr="005900C1">
        <w:rPr>
          <w:lang w:val="en-GB" w:eastAsia="en-US"/>
        </w:rPr>
        <w:t xml:space="preserve">. </w:t>
      </w:r>
    </w:p>
    <w:p w14:paraId="79F92828" w14:textId="3710120F" w:rsidR="005900C1" w:rsidRPr="005900C1" w:rsidRDefault="005900C1" w:rsidP="005900C1">
      <w:pPr>
        <w:rPr>
          <w:lang w:val="en-GB" w:eastAsia="en-US"/>
        </w:rPr>
      </w:pPr>
      <w:r>
        <w:t xml:space="preserve">Three demotions should be outlined in full, because each reflects a genuine limitation of the underlying data rather than a shortcoming of the tool. Methane (CH₄) was demoted because the effective ground footprint of the Sentinel-5P methane retrieval is far coarser than a screening-size site, so the signal could not reliably resolve site-scale sources; the supporting validation is in Section 10. The fossil-CO₂ inventory (ODIAC) was demoted because its data vintage lags the present by two years, so it cannot represent live conditions, though it remains valuable as standing-exposure context. Annual forest-loss data (Hansen) was demoted from the habitat-conversion score because its cumulative, and thus incompatible with the recent-window logic of the other indicators; it survives as a check on whether observed biodiversity </w:t>
      </w:r>
      <w:r>
        <w:lastRenderedPageBreak/>
        <w:t>loss is regional rather than site-specific. The full disposition of every evaluated indicator across the three categories is given in Table 6.3, and the deferred set defines part of the future-work agenda in Section 12.3.</w:t>
      </w:r>
    </w:p>
    <w:p w14:paraId="6686738D" w14:textId="77777777" w:rsidR="005900C1" w:rsidRDefault="005900C1" w:rsidP="005900C1"/>
    <w:p w14:paraId="5051B92C" w14:textId="77777777" w:rsidR="005900C1" w:rsidRPr="005900C1" w:rsidRDefault="005900C1" w:rsidP="005900C1">
      <w:pPr>
        <w:rPr>
          <w:color w:val="EE0000"/>
        </w:rPr>
      </w:pPr>
      <w:r w:rsidRPr="005900C1">
        <w:rPr>
          <w:color w:val="EE0000"/>
        </w:rPr>
        <w:t>[Table 6.3: Indicators retained, demoted, and deferred. Three groups. RETAINED (live, scored): the six Air measures; VIIRS flaring and the borrowed combustion proxy (GHG); KBA biodiversity exposure, Dynamic World habitat conversion, NDVI vegetation condition (Nature). DEMOTED (computed, shown as reference/context, not scored): CH₄ (footprint), ODIAC CO₂ (vintage lag), Hansen forest loss (window semantics), per-indicator trend terms (drill-down only). DEFERRED (v1.x): EVI, FIRMS active-fire/recovery, JRC surface water, wind and sector-match in scoring, per-image QA pass-rates. To be finalised against the engine. To be inserted by author.]</w:t>
      </w:r>
    </w:p>
    <w:p w14:paraId="082B8F3B" w14:textId="6A39AD6A" w:rsidR="00E92C63" w:rsidRPr="005900C1" w:rsidRDefault="00E92C63" w:rsidP="005900C1">
      <w:pPr>
        <w:rPr>
          <w:lang w:eastAsia="en-US"/>
        </w:rPr>
      </w:pPr>
    </w:p>
    <w:p w14:paraId="76E59695" w14:textId="77777777" w:rsidR="00183FC8" w:rsidRDefault="00183FC8">
      <w:pPr>
        <w:rPr>
          <w:lang w:val="en-GB"/>
        </w:rPr>
      </w:pPr>
    </w:p>
    <w:p w14:paraId="60CEC6B8" w14:textId="77777777" w:rsidR="00183FC8" w:rsidRDefault="00B50197">
      <w:pPr>
        <w:pStyle w:val="Heading1"/>
      </w:pPr>
      <w:r>
        <w:br w:type="page"/>
      </w:r>
      <w:bookmarkStart w:id="36" w:name="_Toc231372532"/>
      <w:r>
        <w:lastRenderedPageBreak/>
        <w:t>7.0</w:t>
      </w:r>
      <w:r>
        <w:tab/>
        <w:t>Metric and Indicator Design</w:t>
      </w:r>
      <w:bookmarkEnd w:id="36"/>
    </w:p>
    <w:p w14:paraId="49C2E928" w14:textId="74EB57F8" w:rsidR="0087238B" w:rsidRDefault="0087238B" w:rsidP="0087238B">
      <w:pPr>
        <w:rPr>
          <w:i/>
          <w:iCs/>
          <w:lang w:val="en-GB"/>
        </w:rPr>
      </w:pPr>
      <w:r w:rsidRPr="0087238B">
        <w:rPr>
          <w:i/>
          <w:iCs/>
          <w:lang w:val="en-GB"/>
        </w:rPr>
        <w:t>Section 6 established what each pillar measures and why. This chapter sets out how a raw satellite observation becomes a comparable 0</w:t>
      </w:r>
      <w:r>
        <w:rPr>
          <w:i/>
          <w:iCs/>
          <w:lang w:val="en-GB"/>
        </w:rPr>
        <w:t>-</w:t>
      </w:r>
      <w:r w:rsidRPr="0087238B">
        <w:rPr>
          <w:i/>
          <w:iCs/>
          <w:lang w:val="en-GB"/>
        </w:rPr>
        <w:t xml:space="preserve">1 screening score, how the three pillars are combined into a single result, and how the tool reports confidence and attributability </w:t>
      </w:r>
      <w:r>
        <w:rPr>
          <w:i/>
          <w:iCs/>
          <w:lang w:val="en-GB"/>
        </w:rPr>
        <w:t>of its findings</w:t>
      </w:r>
      <w:r w:rsidRPr="0087238B">
        <w:rPr>
          <w:i/>
          <w:iCs/>
          <w:lang w:val="en-GB"/>
        </w:rPr>
        <w:t>. Each mechanism is stated as a rule and then shown firing on two real screenings</w:t>
      </w:r>
      <w:r>
        <w:rPr>
          <w:i/>
          <w:iCs/>
          <w:lang w:val="en-GB"/>
        </w:rPr>
        <w:t>.</w:t>
      </w:r>
    </w:p>
    <w:p w14:paraId="432C8E59" w14:textId="5D562A68" w:rsidR="0087238B" w:rsidRPr="0087238B" w:rsidRDefault="0087238B" w:rsidP="0087238B">
      <w:pPr>
        <w:rPr>
          <w:color w:val="EE0000"/>
          <w:lang w:val="en-GB"/>
        </w:rPr>
      </w:pPr>
      <w:commentRangeStart w:id="37"/>
      <w:commentRangeEnd w:id="37"/>
      <w:r>
        <w:t>Figure 7.B (§7.5, “Combining pillars: the composite”) presents the headline pillar signatures for two contrasting worked-example suppliers.</w:t>
      </w:r>
    </w:p>
    <w:p w14:paraId="5D0401A4" w14:textId="4FAF1027" w:rsidR="00183FC8" w:rsidRDefault="00B50197">
      <w:pPr>
        <w:pStyle w:val="Heading3"/>
      </w:pPr>
      <w:bookmarkStart w:id="38" w:name="_Toc231372533"/>
      <w:r>
        <w:t>7.1</w:t>
      </w:r>
      <w:r>
        <w:tab/>
      </w:r>
      <w:r w:rsidR="0087238B">
        <w:t>From raw value to score: shared conventions</w:t>
      </w:r>
      <w:bookmarkEnd w:id="38"/>
    </w:p>
    <w:p w14:paraId="14EEFD63" w14:textId="77777777" w:rsidR="0087238B" w:rsidRDefault="0087238B" w:rsidP="0087238B">
      <w:pPr>
        <w:rPr>
          <w:lang w:val="en-GB"/>
        </w:rPr>
      </w:pPr>
      <w:r w:rsidRPr="0087238B">
        <w:rPr>
          <w:lang w:val="en-GB"/>
        </w:rPr>
        <w:t xml:space="preserve">Three conventions are common to all three pillars. </w:t>
      </w:r>
    </w:p>
    <w:p w14:paraId="58DEA80C" w14:textId="5EC17F36" w:rsidR="0087238B" w:rsidRPr="002A39B7" w:rsidRDefault="002A39B7" w:rsidP="002A39B7">
      <w:pPr>
        <w:rPr>
          <w:lang w:val="en-GB"/>
        </w:rPr>
      </w:pPr>
      <w:r>
        <w:rPr>
          <w:lang w:val="en-GB"/>
        </w:rPr>
        <w:t>The first is that e</w:t>
      </w:r>
      <w:r w:rsidR="0087238B" w:rsidRPr="002A39B7">
        <w:rPr>
          <w:lang w:val="en-GB"/>
        </w:rPr>
        <w:t>very indicator emits two values (</w:t>
      </w:r>
      <w:r w:rsidR="006A4B1B">
        <w:rPr>
          <w:lang w:val="en-GB"/>
        </w:rPr>
        <w:t>Appendix E</w:t>
      </w:r>
      <w:r w:rsidR="0087238B" w:rsidRPr="002A39B7">
        <w:rPr>
          <w:lang w:val="en-GB"/>
        </w:rPr>
        <w:t xml:space="preserve"> §0.1): a raw value in physical units to comply to environmental-reporting standards, and a 0-1 score used inside the composites. The composite formulae only ever operate on score</w:t>
      </w:r>
      <w:r w:rsidR="005908F7" w:rsidRPr="002A39B7">
        <w:rPr>
          <w:lang w:val="en-GB"/>
        </w:rPr>
        <w:t xml:space="preserve"> as </w:t>
      </w:r>
      <w:r w:rsidR="0087238B" w:rsidRPr="002A39B7">
        <w:rPr>
          <w:lang w:val="en-GB"/>
        </w:rPr>
        <w:t>combining raw values in different units (a column density in µmol m⁻², a habitat loss in hectares) would be meaningless.</w:t>
      </w:r>
    </w:p>
    <w:p w14:paraId="3EC26802" w14:textId="027F52FC" w:rsidR="0087238B" w:rsidRPr="002A39B7" w:rsidRDefault="002A39B7" w:rsidP="002A39B7">
      <w:pPr>
        <w:rPr>
          <w:lang w:val="en-GB"/>
        </w:rPr>
      </w:pPr>
      <w:r>
        <w:rPr>
          <w:lang w:val="en-GB"/>
        </w:rPr>
        <w:t>The second convention is t</w:t>
      </w:r>
      <w:r w:rsidR="0087238B" w:rsidRPr="002A39B7">
        <w:rPr>
          <w:lang w:val="en-GB"/>
        </w:rPr>
        <w:t xml:space="preserve">he </w:t>
      </w:r>
      <w:r>
        <w:rPr>
          <w:lang w:val="en-GB"/>
        </w:rPr>
        <w:t>“</w:t>
      </w:r>
      <w:r w:rsidR="0087238B" w:rsidRPr="002A39B7">
        <w:rPr>
          <w:lang w:val="en-GB"/>
        </w:rPr>
        <w:t>repeatable core</w:t>
      </w:r>
      <w:r>
        <w:rPr>
          <w:lang w:val="en-GB"/>
        </w:rPr>
        <w:t>”</w:t>
      </w:r>
      <w:r w:rsidR="0087238B" w:rsidRPr="002A39B7">
        <w:rPr>
          <w:lang w:val="en-GB"/>
        </w:rPr>
        <w:t>: the six-step process (</w:t>
      </w:r>
      <w:r w:rsidR="006A4B1B">
        <w:rPr>
          <w:lang w:val="en-GB"/>
        </w:rPr>
        <w:t>Appendix E</w:t>
      </w:r>
      <w:r w:rsidR="0087238B" w:rsidRPr="002A39B7">
        <w:rPr>
          <w:lang w:val="en-GB"/>
        </w:rPr>
        <w:t xml:space="preserve"> §0.2) that turns any continuous field into a comparable score. For a given indicator the tool computes:</w:t>
      </w:r>
    </w:p>
    <w:p w14:paraId="6F101A07"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site value</w:t>
      </w:r>
      <w:r w:rsidRPr="0087238B">
        <w:rPr>
          <w:lang w:val="en-GB"/>
        </w:rPr>
        <w:t xml:space="preserve"> as the mean over the site buffer;</w:t>
      </w:r>
    </w:p>
    <w:p w14:paraId="7D5EAB1E"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background</w:t>
      </w:r>
      <w:r w:rsidRPr="0087238B">
        <w:rPr>
          <w:lang w:val="en-GB"/>
        </w:rPr>
        <w:t xml:space="preserve"> value as the median over the surrounding ring; </w:t>
      </w:r>
    </w:p>
    <w:p w14:paraId="73E165B5"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absolute anomaly</w:t>
      </w:r>
      <w:r w:rsidRPr="0087238B">
        <w:rPr>
          <w:lang w:val="en-GB"/>
        </w:rPr>
        <w:t xml:space="preserve"> as their difference; </w:t>
      </w:r>
    </w:p>
    <w:p w14:paraId="294A56F6" w14:textId="7EF003B0" w:rsidR="0087238B" w:rsidRDefault="0087238B" w:rsidP="002A39B7">
      <w:pPr>
        <w:pStyle w:val="ListParagraph"/>
        <w:numPr>
          <w:ilvl w:val="0"/>
          <w:numId w:val="14"/>
        </w:numPr>
        <w:rPr>
          <w:lang w:val="en-GB"/>
        </w:rPr>
      </w:pPr>
      <w:r w:rsidRPr="0087238B">
        <w:rPr>
          <w:lang w:val="en-GB"/>
        </w:rPr>
        <w:t xml:space="preserve">a </w:t>
      </w:r>
      <w:r w:rsidRPr="0087238B">
        <w:rPr>
          <w:b/>
          <w:bCs/>
          <w:lang w:val="en-GB"/>
        </w:rPr>
        <w:t>normalised deviation</w:t>
      </w:r>
      <w:r w:rsidRPr="0087238B">
        <w:rPr>
          <w:lang w:val="en-GB"/>
        </w:rPr>
        <w:t xml:space="preserve">; </w:t>
      </w:r>
    </w:p>
    <w:p w14:paraId="509A8CEC" w14:textId="77777777" w:rsidR="0087238B" w:rsidRDefault="0087238B" w:rsidP="002A39B7">
      <w:pPr>
        <w:pStyle w:val="ListParagraph"/>
        <w:numPr>
          <w:ilvl w:val="0"/>
          <w:numId w:val="14"/>
        </w:numPr>
        <w:rPr>
          <w:lang w:val="en-GB"/>
        </w:rPr>
      </w:pPr>
      <w:r w:rsidRPr="0087238B">
        <w:rPr>
          <w:lang w:val="en-GB"/>
        </w:rPr>
        <w:t xml:space="preserve">the </w:t>
      </w:r>
      <w:r w:rsidRPr="0087238B">
        <w:rPr>
          <w:b/>
          <w:bCs/>
          <w:lang w:val="en-GB"/>
        </w:rPr>
        <w:t>hotspot frequency</w:t>
      </w:r>
      <w:r w:rsidRPr="0087238B">
        <w:rPr>
          <w:lang w:val="en-GB"/>
        </w:rPr>
        <w:t xml:space="preserve">; </w:t>
      </w:r>
    </w:p>
    <w:p w14:paraId="7AC11D5B" w14:textId="77777777" w:rsidR="0087238B" w:rsidRDefault="0087238B" w:rsidP="002A39B7">
      <w:pPr>
        <w:pStyle w:val="ListParagraph"/>
        <w:numPr>
          <w:ilvl w:val="0"/>
          <w:numId w:val="14"/>
        </w:numPr>
        <w:rPr>
          <w:lang w:val="en-GB"/>
        </w:rPr>
      </w:pPr>
      <w:r w:rsidRPr="0087238B">
        <w:rPr>
          <w:lang w:val="en-GB"/>
        </w:rPr>
        <w:t xml:space="preserve">and a </w:t>
      </w:r>
      <w:r w:rsidRPr="0087238B">
        <w:rPr>
          <w:b/>
          <w:bCs/>
          <w:lang w:val="en-GB"/>
        </w:rPr>
        <w:t>confidence</w:t>
      </w:r>
      <w:r w:rsidRPr="0087238B">
        <w:rPr>
          <w:lang w:val="en-GB"/>
        </w:rPr>
        <w:t xml:space="preserve">. </w:t>
      </w:r>
    </w:p>
    <w:p w14:paraId="72CB5079" w14:textId="77777777" w:rsidR="00CA0A36" w:rsidRDefault="00CA0A36" w:rsidP="00CA0A36">
      <w:r>
        <w:t xml:space="preserve">The site and background geometries are two concentric shapes around the supplier point - an inner site buffer and an outer background ring - illustrated in </w:t>
      </w:r>
      <w:r w:rsidRPr="00CA0A36">
        <w:rPr>
          <w:color w:val="EE0000"/>
        </w:rPr>
        <w:t>Figure XX</w:t>
      </w:r>
      <w:r>
        <w:t>.</w:t>
      </w:r>
    </w:p>
    <w:p w14:paraId="7CDB2CD6" w14:textId="77777777" w:rsidR="00CA0A36" w:rsidRPr="00CA0A36" w:rsidRDefault="00CA0A36" w:rsidP="00CA0A36">
      <w:pPr>
        <w:rPr>
          <w:color w:val="EE0000"/>
        </w:rPr>
      </w:pPr>
      <w:r w:rsidRPr="00CA0A36">
        <w:rPr>
          <w:color w:val="EE0000"/>
        </w:rPr>
        <w:t>[Figure 7.1: Buffer geometry. Schematic of the site buffer (inner circle, radius r_site) and the background ring (annulus from r_site to r_background) around a supplier point, with the 5:1 default ratio annotated. To be inserted by author.]</w:t>
      </w:r>
    </w:p>
    <w:p w14:paraId="3E043B44" w14:textId="77777777" w:rsidR="002A39B7" w:rsidRPr="002A39B7" w:rsidRDefault="002A39B7" w:rsidP="002A39B7">
      <w:pPr>
        <w:rPr>
          <w:color w:val="000000" w:themeColor="text1"/>
          <w:lang w:val="en-IT"/>
        </w:rPr>
      </w:pPr>
      <w:r w:rsidRPr="002A39B7">
        <w:rPr>
          <w:color w:val="000000" w:themeColor="text1"/>
          <w:lang w:val="en-IT"/>
        </w:rPr>
        <w:t>The background statistics over the annulus:</w:t>
      </w:r>
    </w:p>
    <w:p w14:paraId="7947B5B4" w14:textId="77777777" w:rsidR="006A4B1B" w:rsidRPr="006A4B1B" w:rsidRDefault="002A39B7" w:rsidP="006A4B1B">
      <w:pPr>
        <w:keepNext/>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P</m:t>
              </m:r>
            </m:e>
            <m:sub>
              <m:r>
                <m:rPr>
                  <m:nor/>
                </m:rPr>
                <w:rPr>
                  <w:rFonts w:ascii="Cambria Math" w:hAnsi="Cambria Math"/>
                  <w:color w:val="000000" w:themeColor="text1"/>
                </w:rPr>
                <m:t>background</m:t>
              </m:r>
            </m:sub>
          </m:sSub>
          <m:r>
            <w:rPr>
              <w:rFonts w:ascii="Cambria Math" w:hAnsi="Cambria Math"/>
              <w:color w:val="000000" w:themeColor="text1"/>
            </w:rPr>
            <m:t>=</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median</m:t>
                  </m:r>
                </m:e>
                <m:sub>
                  <m:r>
                    <w:rPr>
                      <w:rFonts w:ascii="Cambria Math" w:hAnsi="Cambria Math"/>
                      <w:color w:val="000000" w:themeColor="text1"/>
                    </w:rPr>
                    <m:t> p ∈ </m:t>
                  </m:r>
                  <m:r>
                    <m:rPr>
                      <m:nor/>
                    </m:rPr>
                    <w:rPr>
                      <w:rFonts w:ascii="Cambria Math" w:hAnsi="Cambria Math"/>
                      <w:color w:val="000000" w:themeColor="text1"/>
                    </w:rPr>
                    <m:t>ring</m:t>
                  </m:r>
                </m:sub>
              </m:sSub>
            </m:fName>
            <m:e>
              <m:r>
                <w:rPr>
                  <w:rFonts w:ascii="Cambria Math" w:hAnsi="Cambria Math"/>
                  <w:color w:val="000000" w:themeColor="text1"/>
                </w:rPr>
                <m:t>P</m:t>
              </m:r>
            </m:e>
          </m:func>
          <m:d>
            <m:dPr>
              <m:ctrlPr>
                <w:rPr>
                  <w:rFonts w:ascii="Cambria Math" w:hAnsi="Cambria Math"/>
                  <w:color w:val="000000" w:themeColor="text1"/>
                </w:rPr>
              </m:ctrlPr>
            </m:dPr>
            <m:e>
              <m:r>
                <w:rPr>
                  <w:rFonts w:ascii="Cambria Math" w:hAnsi="Cambria Math"/>
                  <w:color w:val="000000" w:themeColor="text1"/>
                </w:rPr>
                <m:t>p</m:t>
              </m:r>
            </m:e>
          </m:d>
          <m:r>
            <w:rPr>
              <w:rFonts w:ascii="Cambria Math" w:hAnsi="Cambria Math"/>
              <w:color w:val="000000" w:themeColor="text1"/>
            </w:rPr>
            <m:t>,</m:t>
          </m:r>
          <m:r>
            <w:rPr>
              <w:rFonts w:ascii="Cambria Math" w:hAnsi="Cambria Math"/>
              <w:color w:val="000000" w:themeColor="text1"/>
            </w:rPr>
            <m:t xml:space="preserve"> </m:t>
          </m:r>
        </m:oMath>
      </m:oMathPara>
    </w:p>
    <w:p w14:paraId="2FC5C64C" w14:textId="7147FAF2" w:rsidR="006A4B1B" w:rsidRDefault="006A4B1B" w:rsidP="006A4B1B">
      <w:pPr>
        <w:pStyle w:val="Caption"/>
        <w:jc w:val="right"/>
      </w:pPr>
      <w:r>
        <w:t xml:space="preserve">( </w:t>
      </w:r>
      <w:r>
        <w:fldChar w:fldCharType="begin"/>
      </w:r>
      <w:r>
        <w:instrText xml:space="preserve"> SEQ ( \* ARABIC </w:instrText>
      </w:r>
      <w:r>
        <w:fldChar w:fldCharType="separate"/>
      </w:r>
      <w:r w:rsidR="00494A80">
        <w:rPr>
          <w:noProof/>
        </w:rPr>
        <w:t>1</w:t>
      </w:r>
      <w:r>
        <w:fldChar w:fldCharType="end"/>
      </w:r>
      <w:r>
        <w:t xml:space="preserve"> )</w:t>
      </w:r>
    </w:p>
    <w:p w14:paraId="7CA0AFA2" w14:textId="77777777" w:rsidR="006A4B1B" w:rsidRDefault="002A39B7" w:rsidP="006A4B1B">
      <w:pPr>
        <w:keepNext/>
      </w:pPr>
      <m:oMathPara>
        <m:oMath>
          <m:sSub>
            <m:sSubPr>
              <m:ctrlPr>
                <w:rPr>
                  <w:rFonts w:ascii="Cambria Math" w:hAnsi="Cambria Math"/>
                  <w:color w:val="000000" w:themeColor="text1"/>
                </w:rPr>
              </m:ctrlPr>
            </m:sSubPr>
            <m:e>
              <m:r>
                <w:rPr>
                  <w:rFonts w:ascii="Cambria Math" w:hAnsi="Cambria Math"/>
                  <w:color w:val="000000" w:themeColor="text1"/>
                </w:rPr>
                <m:t>σ</m:t>
              </m:r>
            </m:e>
            <m:sub>
              <m:r>
                <m:rPr>
                  <m:nor/>
                </m:rPr>
                <w:rPr>
                  <w:rFonts w:ascii="Cambria Math" w:hAnsi="Cambria Math"/>
                  <w:color w:val="000000" w:themeColor="text1"/>
                </w:rPr>
                <m:t>background</m:t>
              </m:r>
            </m:sub>
          </m:sSub>
          <m:r>
            <w:rPr>
              <w:rFonts w:ascii="Cambria Math" w:hAnsi="Cambria Math"/>
              <w:color w:val="000000" w:themeColor="text1"/>
            </w:rPr>
            <m:t>=</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std</m:t>
                  </m:r>
                </m:e>
                <m:sub>
                  <m:r>
                    <w:rPr>
                      <w:rFonts w:ascii="Cambria Math" w:hAnsi="Cambria Math"/>
                      <w:color w:val="000000" w:themeColor="text1"/>
                    </w:rPr>
                    <m:t> p ∈ </m:t>
                  </m:r>
                  <m:r>
                    <m:rPr>
                      <m:nor/>
                    </m:rPr>
                    <w:rPr>
                      <w:rFonts w:ascii="Cambria Math" w:hAnsi="Cambria Math"/>
                      <w:color w:val="000000" w:themeColor="text1"/>
                    </w:rPr>
                    <m:t>ring</m:t>
                  </m:r>
                </m:sub>
              </m:sSub>
            </m:fName>
            <m:e>
              <m:r>
                <w:rPr>
                  <w:rFonts w:ascii="Cambria Math" w:hAnsi="Cambria Math"/>
                  <w:color w:val="000000" w:themeColor="text1"/>
                </w:rPr>
                <m:t>P</m:t>
              </m:r>
            </m:e>
          </m:func>
          <m:d>
            <m:dPr>
              <m:ctrlPr>
                <w:rPr>
                  <w:rFonts w:ascii="Cambria Math" w:hAnsi="Cambria Math"/>
                  <w:color w:val="000000" w:themeColor="text1"/>
                </w:rPr>
              </m:ctrlPr>
            </m:dPr>
            <m:e>
              <m:r>
                <w:rPr>
                  <w:rFonts w:ascii="Cambria Math" w:hAnsi="Cambria Math"/>
                  <w:color w:val="000000" w:themeColor="text1"/>
                </w:rPr>
                <m:t>p</m:t>
              </m:r>
            </m:e>
          </m:d>
        </m:oMath>
      </m:oMathPara>
    </w:p>
    <w:p w14:paraId="2368F61C" w14:textId="0FE6E580" w:rsidR="002A39B7" w:rsidRPr="006A4B1B" w:rsidRDefault="006A4B1B" w:rsidP="006A4B1B">
      <w:pPr>
        <w:pStyle w:val="Caption"/>
        <w:jc w:val="right"/>
        <w:rPr>
          <w:color w:val="000000" w:themeColor="text1"/>
          <w:lang w:val="en-US"/>
        </w:rPr>
      </w:pPr>
      <w:r>
        <w:t xml:space="preserve">( </w:t>
      </w:r>
      <w:r>
        <w:fldChar w:fldCharType="begin"/>
      </w:r>
      <w:r>
        <w:instrText xml:space="preserve"> SEQ ( \* ARABIC </w:instrText>
      </w:r>
      <w:r>
        <w:fldChar w:fldCharType="separate"/>
      </w:r>
      <w:r w:rsidR="00494A80">
        <w:rPr>
          <w:noProof/>
        </w:rPr>
        <w:t>2</w:t>
      </w:r>
      <w:r>
        <w:fldChar w:fldCharType="end"/>
      </w:r>
      <w:r>
        <w:t xml:space="preserve"> )</w:t>
      </w:r>
    </w:p>
    <w:p w14:paraId="19C8DFCA" w14:textId="77777777" w:rsidR="00CA0A36" w:rsidRDefault="002A39B7" w:rsidP="002A39B7">
      <w:r>
        <w:t>where the ring is the annulu</w:t>
      </w:r>
      <w:r>
        <w:t xml:space="preserve">s </w:t>
      </w:r>
      <m:oMath>
        <m:sSub>
          <m:sSubPr>
            <m:ctrlPr>
              <w:rPr>
                <w:rFonts w:ascii="Cambria Math" w:hAnsi="Cambria Math"/>
              </w:rPr>
            </m:ctrlPr>
          </m:sSubPr>
          <m:e>
            <m:r>
              <w:rPr>
                <w:rFonts w:ascii="Cambria Math" w:hAnsi="Cambria Math"/>
              </w:rPr>
              <m:t>r</m:t>
            </m:r>
          </m:e>
          <m:sub>
            <m:r>
              <w:rPr>
                <w:rFonts w:ascii="Cambria Math" w:hAnsi="Cambria Math"/>
              </w:rPr>
              <m:t>site</m:t>
            </m:r>
          </m:sub>
        </m:sSub>
        <m:r>
          <w:rPr>
            <w:rFonts w:ascii="Cambria Math" w:hAnsi="Cambria Math"/>
          </w:rPr>
          <m:t>&lt;d</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background</m:t>
            </m:r>
          </m:sub>
        </m:sSub>
      </m:oMath>
      <w:r w:rsidR="001775A7">
        <w:rPr>
          <w:lang w:val="en-GB"/>
        </w:rPr>
        <w:t xml:space="preserve"> and </w:t>
      </w:r>
      <m:oMath>
        <m:r>
          <w:rPr>
            <w:rFonts w:ascii="Cambria Math" w:hAnsi="Cambria Math"/>
          </w:rPr>
          <m:t>d</m:t>
        </m:r>
        <m:d>
          <m:dPr>
            <m:ctrlPr>
              <w:rPr>
                <w:rFonts w:ascii="Cambria Math" w:hAnsi="Cambria Math"/>
              </w:rPr>
            </m:ctrlPr>
          </m:dPr>
          <m:e>
            <m:r>
              <w:rPr>
                <w:rFonts w:ascii="Cambria Math" w:hAnsi="Cambria Math"/>
              </w:rPr>
              <m:t>p</m:t>
            </m:r>
          </m:e>
        </m:d>
      </m:oMath>
      <w:r w:rsidR="001775A7" w:rsidRPr="001775A7">
        <w:t xml:space="preserve"> </w:t>
      </w:r>
      <w:r w:rsidR="001775A7">
        <w:t>is the geodesic distance</w:t>
      </w:r>
      <w:r w:rsidR="001775A7">
        <w:rPr>
          <w:rStyle w:val="FootnoteReference"/>
        </w:rPr>
        <w:footnoteReference w:id="2"/>
      </w:r>
      <w:r w:rsidR="001775A7">
        <w:t xml:space="preserve"> of pixel </w:t>
      </w:r>
      <m:oMath>
        <m:r>
          <w:rPr>
            <w:rFonts w:ascii="Cambria Math" w:hAnsi="Cambria Math"/>
          </w:rPr>
          <m:t>p</m:t>
        </m:r>
      </m:oMath>
      <w:r w:rsidR="001775A7">
        <w:t xml:space="preserve"> </w:t>
      </w:r>
      <w:r w:rsidR="001775A7">
        <w:t xml:space="preserve">from the supplier point. </w:t>
      </w:r>
      <w:r w:rsidR="00CA0A36">
        <w:t>The m</w:t>
      </w:r>
      <w:r w:rsidR="001775A7">
        <w:t xml:space="preserve">edian </w:t>
      </w:r>
      <w:r w:rsidR="00CA0A36">
        <w:t xml:space="preserve">and </w:t>
      </w:r>
      <w:r w:rsidR="001775A7">
        <w:t>not</w:t>
      </w:r>
      <w:r w:rsidR="00CA0A36">
        <w:t xml:space="preserve"> the</w:t>
      </w:r>
      <w:r w:rsidR="001775A7">
        <w:t xml:space="preserve"> mea</w:t>
      </w:r>
      <w:r w:rsidR="00CA0A36">
        <w:t>n was chosen</w:t>
      </w:r>
      <w:r w:rsidR="001775A7">
        <w:t xml:space="preserve"> deliberately, so a neighbouring hotspot in the ring doesn't inflate the background and mask the site. </w:t>
      </w:r>
      <m:oMath>
        <m:sSub>
          <m:sSubPr>
            <m:ctrlPr>
              <w:rPr>
                <w:rFonts w:ascii="Cambria Math" w:hAnsi="Cambria Math"/>
              </w:rPr>
            </m:ctrlPr>
          </m:sSubPr>
          <m:e>
            <m:r>
              <w:rPr>
                <w:rFonts w:ascii="Cambria Math" w:hAnsi="Cambria Math"/>
              </w:rPr>
              <m:t>σ</m:t>
            </m:r>
          </m:e>
          <m:sub>
            <m:r>
              <w:rPr>
                <w:rFonts w:ascii="Cambria Math" w:hAnsi="Cambria Math"/>
              </w:rPr>
              <m:t>background</m:t>
            </m:r>
          </m:sub>
        </m:sSub>
      </m:oMath>
      <w:r w:rsidR="00CA0A36">
        <w:t xml:space="preserve"> is the spatial standard deviation over the ring on a given date. </w:t>
      </w:r>
    </w:p>
    <w:p w14:paraId="7DBFE2FD" w14:textId="4C209A36" w:rsidR="00183FC8" w:rsidRPr="00CA0A36" w:rsidRDefault="0087238B" w:rsidP="002A39B7">
      <w:r w:rsidRPr="002A39B7">
        <w:rPr>
          <w:lang w:val="en-GB"/>
        </w:rPr>
        <w:t>The normalised deviation is the z-score</w:t>
      </w:r>
      <w:r w:rsidR="00CA0A36">
        <w:rPr>
          <w:lang w:val="en-GB"/>
        </w:rPr>
        <w:t xml:space="preserve"> – the spatial anomaly on one date – and the engine computes it per date across the selected window</w:t>
      </w:r>
      <w:r w:rsidRPr="002A39B7">
        <w:rPr>
          <w:lang w:val="en-GB"/>
        </w:rPr>
        <w:t>,</w:t>
      </w:r>
      <w:r w:rsidR="001775A7">
        <w:rPr>
          <w:lang w:val="en-GB"/>
        </w:rPr>
        <w:t xml:space="preserve"> </w:t>
      </w:r>
    </w:p>
    <w:p w14:paraId="1677A8B5" w14:textId="77777777" w:rsidR="006A4B1B" w:rsidRDefault="00000000" w:rsidP="006A4B1B">
      <w:pPr>
        <w:keepNext/>
        <w:ind w:left="1080"/>
      </w:pPr>
      <m:oMathPara>
        <m:oMath>
          <m:eqArr>
            <m:eqArrPr>
              <m:ctrlPr>
                <w:rPr>
                  <w:rFonts w:ascii="Cambria Math" w:hAnsi="Cambria Math"/>
                </w:rPr>
              </m:ctrlPr>
            </m:eqArrPr>
            <m:e>
              <m:r>
                <w:rPr>
                  <w:rFonts w:ascii="Cambria Math" w:hAnsi="Cambria Math"/>
                </w:rPr>
                <m:t>Z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site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background</m:t>
                      </m:r>
                    </m:sub>
                  </m:sSub>
                </m:num>
                <m:den>
                  <m:sSub>
                    <m:sSubPr>
                      <m:ctrlPr>
                        <w:rPr>
                          <w:rFonts w:ascii="Cambria Math" w:hAnsi="Cambria Math"/>
                        </w:rPr>
                      </m:ctrlPr>
                    </m:sSubPr>
                    <m:e>
                      <m:r>
                        <w:rPr>
                          <w:rFonts w:ascii="Cambria Math" w:hAnsi="Cambria Math"/>
                        </w:rPr>
                        <m:t>σ</m:t>
                      </m:r>
                    </m:e>
                    <m:sub>
                      <m:r>
                        <w:rPr>
                          <w:rFonts w:ascii="Cambria Math" w:hAnsi="Cambria Math"/>
                        </w:rPr>
                        <m:t>background</m:t>
                      </m:r>
                    </m:sub>
                  </m:sSub>
                </m:den>
              </m:f>
              <m:r>
                <w:rPr>
                  <w:rFonts w:ascii="Cambria Math" w:hAnsi="Cambria Math"/>
                </w:rPr>
                <m:t> </m:t>
              </m:r>
            </m:e>
          </m:eqArr>
        </m:oMath>
      </m:oMathPara>
    </w:p>
    <w:p w14:paraId="6360A690" w14:textId="7DD336AF" w:rsidR="00F97D0E" w:rsidRPr="00F97D0E" w:rsidRDefault="006A4B1B" w:rsidP="006A4B1B">
      <w:pPr>
        <w:pStyle w:val="Caption"/>
        <w:jc w:val="right"/>
      </w:pPr>
      <w:r>
        <w:t xml:space="preserve">( </w:t>
      </w:r>
      <w:r>
        <w:fldChar w:fldCharType="begin"/>
      </w:r>
      <w:r>
        <w:instrText xml:space="preserve"> SEQ ( \* ARABIC </w:instrText>
      </w:r>
      <w:r>
        <w:fldChar w:fldCharType="separate"/>
      </w:r>
      <w:r w:rsidR="00494A80">
        <w:rPr>
          <w:noProof/>
        </w:rPr>
        <w:t>3</w:t>
      </w:r>
      <w:r>
        <w:fldChar w:fldCharType="end"/>
      </w:r>
      <w:r>
        <w:t xml:space="preserve"> )</w:t>
      </w:r>
    </w:p>
    <w:p w14:paraId="3FDD6129" w14:textId="77777777" w:rsidR="00F97D0E" w:rsidRDefault="00F97D0E" w:rsidP="002A39B7">
      <w:pPr>
        <w:rPr>
          <w:lang w:val="en-GB"/>
        </w:rPr>
      </w:pPr>
      <w:r>
        <w:rPr>
          <w:lang w:val="en-GB"/>
        </w:rPr>
        <w:t>and the hotspot frequency is the fraction of observation dates on which the site is significantly anomalous,</w:t>
      </w:r>
    </w:p>
    <w:p w14:paraId="0BD210F8" w14:textId="77777777" w:rsidR="006A4B1B" w:rsidRDefault="00000000" w:rsidP="006A4B1B">
      <w:pPr>
        <w:keepNext/>
        <w:ind w:left="1080"/>
      </w:pPr>
      <m:oMathPara>
        <m:oMath>
          <m:eqArr>
            <m:eqArrPr>
              <m:ctrlPr>
                <w:rPr>
                  <w:rFonts w:ascii="Cambria Math" w:hAnsi="Cambria Math"/>
                </w:rPr>
              </m:ctrlPr>
            </m:eqArrPr>
            <m:e>
              <m:r>
                <m:rPr>
                  <m:nor/>
                </m:rPr>
                <w:rPr>
                  <w:rFonts w:ascii="Cambria Math" w:hAnsi="Cambria Math"/>
                </w:rPr>
                <m:t>HF</m:t>
              </m:r>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dates with Z ≥2</m:t>
                      </m:r>
                    </m:sub>
                  </m:sSub>
                </m:num>
                <m:den>
                  <m:sSub>
                    <m:sSubPr>
                      <m:ctrlPr>
                        <w:rPr>
                          <w:rFonts w:ascii="Cambria Math" w:hAnsi="Cambria Math"/>
                        </w:rPr>
                      </m:ctrlPr>
                    </m:sSubPr>
                    <m:e>
                      <m:r>
                        <w:rPr>
                          <w:rFonts w:ascii="Cambria Math" w:hAnsi="Cambria Math"/>
                        </w:rPr>
                        <m:t>N</m:t>
                      </m:r>
                    </m:e>
                    <m:sub>
                      <m:r>
                        <w:rPr>
                          <w:rFonts w:ascii="Cambria Math" w:hAnsi="Cambria Math"/>
                        </w:rPr>
                        <m:t>valid dates</m:t>
                      </m:r>
                    </m:sub>
                  </m:sSub>
                </m:den>
              </m:f>
              <m:r>
                <w:rPr>
                  <w:rFonts w:ascii="Cambria Math" w:hAnsi="Cambria Math"/>
                </w:rPr>
                <m:t> </m:t>
              </m:r>
            </m:e>
          </m:eqArr>
        </m:oMath>
      </m:oMathPara>
    </w:p>
    <w:p w14:paraId="46114E65" w14:textId="06E55A9B" w:rsidR="00F97D0E" w:rsidRPr="00F97D0E" w:rsidRDefault="006A4B1B" w:rsidP="006A4B1B">
      <w:pPr>
        <w:pStyle w:val="Caption"/>
        <w:jc w:val="right"/>
      </w:pPr>
      <w:r>
        <w:t xml:space="preserve">( </w:t>
      </w:r>
      <w:r>
        <w:fldChar w:fldCharType="begin"/>
      </w:r>
      <w:r>
        <w:instrText xml:space="preserve"> SEQ ( \* ARABIC </w:instrText>
      </w:r>
      <w:r>
        <w:fldChar w:fldCharType="separate"/>
      </w:r>
      <w:r w:rsidR="00494A80">
        <w:rPr>
          <w:noProof/>
        </w:rPr>
        <w:t>4</w:t>
      </w:r>
      <w:r>
        <w:fldChar w:fldCharType="end"/>
      </w:r>
      <w:r>
        <w:t xml:space="preserve"> )</w:t>
      </w:r>
    </w:p>
    <w:p w14:paraId="153CD691" w14:textId="689A7671" w:rsidR="002A39B7" w:rsidRPr="002A39B7" w:rsidRDefault="00F97D0E" w:rsidP="00CA0A36">
      <w:pPr>
        <w:rPr>
          <w:rFonts w:ascii="Cambria Math" w:hAnsi="Cambria Math"/>
          <w:color w:val="000000" w:themeColor="text1"/>
          <w:lang w:val="en-IT"/>
          <w:oMath/>
        </w:rPr>
      </w:pPr>
      <w:r>
        <w:t xml:space="preserve">The threshold </w:t>
      </w:r>
      <m:oMath>
        <m:r>
          <w:rPr>
            <w:rFonts w:ascii="Cambria Math" w:hAnsi="Cambria Math"/>
          </w:rPr>
          <m:t>Z≥2</m:t>
        </m:r>
      </m:oMath>
      <w:r>
        <w:t xml:space="preserve">corresponds to roughly the 95th percentile under Gaussian noise, the standard convention for a significant deviation. </w:t>
      </w:r>
      <w:r w:rsidR="00CA0A36">
        <w:t xml:space="preserve">Thus, </w:t>
      </w:r>
      <m:oMath>
        <m:r>
          <w:rPr>
            <w:rFonts w:ascii="Cambria Math" w:hAnsi="Cambria Math"/>
          </w:rPr>
          <m:t>HF</m:t>
        </m:r>
      </m:oMath>
      <w:r w:rsidR="00CA0A36">
        <w:t xml:space="preserve"> makes the signal spati</w:t>
      </w:r>
      <w:r w:rsidR="00494A80">
        <w:t>al</w:t>
      </w:r>
      <w:r w:rsidR="00CA0A36">
        <w:t>-temporral</w:t>
      </w:r>
      <w:r w:rsidR="00494A80">
        <w:t>.</w:t>
      </w:r>
    </w:p>
    <w:p w14:paraId="5991BB95" w14:textId="77777777" w:rsidR="00494A80" w:rsidRDefault="005908F7" w:rsidP="00494A80">
      <w:pPr>
        <w:keepNext/>
      </w:pPr>
      <w:r w:rsidRPr="002A39B7">
        <w:rPr>
          <w:color w:val="000000" w:themeColor="text1"/>
          <w:lang w:val="en-GB"/>
        </w:rPr>
        <w:lastRenderedPageBreak/>
        <w:t xml:space="preserve">The third convention is </w:t>
      </w:r>
      <w:r w:rsidRPr="002A39B7">
        <w:rPr>
          <w:b/>
          <w:bCs/>
          <w:color w:val="000000" w:themeColor="text1"/>
          <w:lang w:val="en-GB"/>
        </w:rPr>
        <w:t>normalisation from a raw value to a score</w:t>
      </w:r>
      <w:r w:rsidRPr="002A39B7">
        <w:rPr>
          <w:color w:val="000000" w:themeColor="text1"/>
          <w:lang w:val="en-GB"/>
        </w:rPr>
        <w:t xml:space="preserve"> (</w:t>
      </w:r>
      <w:r w:rsidR="006A4B1B">
        <w:rPr>
          <w:color w:val="000000" w:themeColor="text1"/>
          <w:lang w:val="en-GB"/>
        </w:rPr>
        <w:t>Appendix E</w:t>
      </w:r>
      <w:r w:rsidRPr="002A39B7">
        <w:rPr>
          <w:color w:val="000000" w:themeColor="text1"/>
          <w:lang w:val="en-GB"/>
        </w:rPr>
        <w:t xml:space="preserve"> §0.4). A raw value is mapped onto [0, 1] by measuring its deviation from the background in units of background standard deviation, clamped so that a 3σ exceedance saturates the score:</w:t>
      </w:r>
      <w:r w:rsidRPr="00494A80">
        <w:rPr>
          <w:color w:val="000000" w:themeColor="text1"/>
          <w:lang w:val="en-GB"/>
        </w:rPr>
        <w:br/>
      </w:r>
      <m:oMathPara>
        <m:oMath>
          <m:eqArr>
            <m:eqArrPr>
              <m:ctrlPr>
                <w:rPr>
                  <w:rFonts w:ascii="Cambria Math" w:hAnsi="Cambria Math"/>
                  <w:color w:val="000000" w:themeColor="text1"/>
                </w:rPr>
              </m:ctrlPr>
            </m:eqArr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score</m:t>
                  </m:r>
                </m:sub>
              </m:sSub>
              <m:r>
                <w:rPr>
                  <w:rFonts w:ascii="Cambria Math" w:hAnsi="Cambria Math"/>
                  <w:color w:val="000000" w:themeColor="text1"/>
                </w:rPr>
                <m:t>=clamp</m:t>
              </m:r>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site</m:t>
                          </m:r>
                        </m:sub>
                      </m:sSub>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background</m:t>
                          </m:r>
                        </m:sub>
                      </m:sSub>
                    </m:num>
                    <m:den>
                      <m:r>
                        <w:rPr>
                          <w:rFonts w:ascii="Cambria Math" w:hAnsi="Cambria Math"/>
                          <w:color w:val="000000" w:themeColor="text1"/>
                        </w:rPr>
                        <m:t>k∙</m:t>
                      </m:r>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bg</m:t>
                          </m:r>
                        </m:sub>
                      </m:sSub>
                    </m:den>
                  </m:f>
                  <m:r>
                    <w:rPr>
                      <w:rFonts w:ascii="Cambria Math" w:hAnsi="Cambria Math"/>
                      <w:color w:val="000000" w:themeColor="text1"/>
                    </w:rPr>
                    <m:t>, 0, 1</m:t>
                  </m:r>
                </m:e>
              </m:d>
              <m:r>
                <w:rPr>
                  <w:rFonts w:ascii="Cambria Math" w:hAnsi="Cambria Math"/>
                  <w:color w:val="000000" w:themeColor="text1"/>
                </w:rPr>
                <m:t>,</m:t>
              </m:r>
              <m:r>
                <w:rPr>
                  <w:rFonts w:ascii="Cambria Math" w:hAnsi="Cambria Math"/>
                  <w:color w:val="000000" w:themeColor="text1"/>
                </w:rPr>
                <m:t xml:space="preserve"> </m:t>
              </m:r>
              <m:r>
                <w:rPr>
                  <w:rFonts w:ascii="Cambria Math" w:hAnsi="Cambria Math"/>
                  <w:color w:val="000000" w:themeColor="text1"/>
                </w:rPr>
                <m:t xml:space="preserve"> k =3</m:t>
              </m:r>
              <m:r>
                <w:rPr>
                  <w:rFonts w:ascii="Cambria Math" w:hAnsi="Cambria Math"/>
                  <w:color w:val="000000" w:themeColor="text1"/>
                </w:rPr>
                <m:t>.</m:t>
              </m:r>
              <m:r>
                <w:rPr>
                  <w:rFonts w:ascii="Cambria Math" w:hAnsi="Cambria Math"/>
                  <w:color w:val="000000" w:themeColor="text1"/>
                </w:rPr>
                <m:t xml:space="preserve"> </m:t>
              </m:r>
            </m:e>
          </m:eqArr>
        </m:oMath>
      </m:oMathPara>
    </w:p>
    <w:p w14:paraId="54DEE28C" w14:textId="141A4480" w:rsidR="005908F7" w:rsidRPr="00494A80" w:rsidRDefault="00494A80" w:rsidP="00494A80">
      <w:pPr>
        <w:pStyle w:val="Caption"/>
        <w:jc w:val="right"/>
        <w:rPr>
          <w:color w:val="000000" w:themeColor="text1"/>
        </w:rPr>
      </w:pPr>
      <w:r>
        <w:t xml:space="preserve">( </w:t>
      </w:r>
      <w:r>
        <w:fldChar w:fldCharType="begin"/>
      </w:r>
      <w:r>
        <w:instrText xml:space="preserve"> SEQ ( \* ARABIC </w:instrText>
      </w:r>
      <w:r>
        <w:fldChar w:fldCharType="separate"/>
      </w:r>
      <w:r>
        <w:rPr>
          <w:noProof/>
        </w:rPr>
        <w:t>5</w:t>
      </w:r>
      <w:r>
        <w:fldChar w:fldCharType="end"/>
      </w:r>
      <w:r>
        <w:t xml:space="preserve"> )</w:t>
      </w:r>
    </w:p>
    <w:p w14:paraId="669113DB" w14:textId="1864AE45" w:rsidR="008F0037" w:rsidRDefault="008F0037" w:rsidP="002A39B7">
      <w:pPr>
        <w:rPr>
          <w:color w:val="000000" w:themeColor="text1"/>
        </w:rPr>
      </w:pPr>
      <w:r w:rsidRPr="002A39B7">
        <w:rPr>
          <w:color w:val="000000" w:themeColor="text1"/>
        </w:rPr>
        <w:t xml:space="preserve">For indicators where lower is worse - NDVI for example - the numerator is inverted to </w:t>
      </w:r>
      <m:oMath>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bg</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site</m:t>
                </m:r>
              </m:sub>
            </m:sSub>
          </m:e>
        </m:d>
      </m:oMath>
      <w:r w:rsidRPr="002A39B7">
        <w:rPr>
          <w:color w:val="000000" w:themeColor="text1"/>
        </w:rPr>
        <w:t>. Values already on a [0, 1] scale (KBA overlap fraction, hotspot frequency, land-cover class probability) pass through unchanged. This is implemented directly:</w:t>
      </w:r>
    </w:p>
    <w:tbl>
      <w:tblPr>
        <w:tblStyle w:val="TableGrid"/>
        <w:tblW w:w="0" w:type="auto"/>
        <w:tblLook w:val="04A0" w:firstRow="1" w:lastRow="0" w:firstColumn="1" w:lastColumn="0" w:noHBand="0" w:noVBand="1"/>
      </w:tblPr>
      <w:tblGrid>
        <w:gridCol w:w="9060"/>
      </w:tblGrid>
      <w:tr w:rsidR="00CA0A36" w14:paraId="27F8CC3A" w14:textId="77777777" w:rsidTr="00CA0A36">
        <w:tc>
          <w:tcPr>
            <w:tcW w:w="9060" w:type="dxa"/>
          </w:tcPr>
          <w:p w14:paraId="449F4501" w14:textId="2DCB58DF"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7030A0"/>
                <w:sz w:val="20"/>
                <w:szCs w:val="20"/>
              </w:rPr>
              <w:t xml:space="preserve">def </w:t>
            </w:r>
            <w:r w:rsidRPr="00CB23F6">
              <w:rPr>
                <w:rFonts w:ascii="Consolas" w:hAnsi="Consolas" w:cs="Consolas"/>
                <w:color w:val="000000" w:themeColor="text1"/>
                <w:sz w:val="20"/>
                <w:szCs w:val="20"/>
              </w:rPr>
              <w:t>to_score(value, bg_median, bg_std, direction="higher_is_worse",</w:t>
            </w:r>
            <w:r w:rsidR="00CB23F6">
              <w:rPr>
                <w:rFonts w:ascii="Consolas" w:hAnsi="Consolas" w:cs="Consolas"/>
                <w:color w:val="000000" w:themeColor="text1"/>
                <w:sz w:val="20"/>
                <w:szCs w:val="20"/>
              </w:rPr>
              <w:t xml:space="preserve"> </w:t>
            </w:r>
            <w:r w:rsidRPr="00CB23F6">
              <w:rPr>
                <w:rFonts w:ascii="Consolas" w:hAnsi="Consolas" w:cs="Consolas"/>
                <w:color w:val="000000" w:themeColor="text1"/>
                <w:sz w:val="20"/>
                <w:szCs w:val="20"/>
              </w:rPr>
              <w:t>k=NORMALISATION_K):</w:t>
            </w:r>
          </w:p>
          <w:p w14:paraId="2D2714F3"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if </w:t>
            </w:r>
            <w:r w:rsidRPr="00CB23F6">
              <w:rPr>
                <w:rFonts w:ascii="Consolas" w:hAnsi="Consolas" w:cs="Consolas"/>
                <w:color w:val="000000" w:themeColor="text1"/>
                <w:sz w:val="20"/>
                <w:szCs w:val="20"/>
              </w:rPr>
              <w:t>bg_std &lt;= 0:</w:t>
            </w:r>
          </w:p>
          <w:p w14:paraId="4F5B8318"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 xml:space="preserve">None  </w:t>
            </w:r>
            <w:r w:rsidRPr="00CB23F6">
              <w:rPr>
                <w:rFonts w:ascii="Consolas" w:hAnsi="Consolas" w:cs="Consolas"/>
                <w:color w:val="808080" w:themeColor="background1" w:themeShade="80"/>
                <w:sz w:val="20"/>
                <w:szCs w:val="20"/>
              </w:rPr>
              <w:t># uniform background: a normalised deviation is undefined</w:t>
            </w:r>
          </w:p>
          <w:p w14:paraId="04C1213D" w14:textId="77777777" w:rsidR="00CA0A36" w:rsidRPr="00CB23F6" w:rsidRDefault="00CA0A36" w:rsidP="00CB23F6">
            <w:pPr>
              <w:jc w:val="left"/>
              <w:rPr>
                <w:rFonts w:ascii="Consolas" w:hAnsi="Consolas" w:cs="Consolas"/>
                <w:color w:val="000000" w:themeColor="text1"/>
                <w:sz w:val="20"/>
                <w:szCs w:val="20"/>
              </w:rPr>
            </w:pPr>
            <w:r w:rsidRPr="00CB23F6">
              <w:rPr>
                <w:rFonts w:ascii="Consolas" w:hAnsi="Consolas" w:cs="Consolas"/>
                <w:color w:val="000000" w:themeColor="text1"/>
                <w:sz w:val="20"/>
                <w:szCs w:val="20"/>
              </w:rPr>
              <w:t xml:space="preserve">    raw = (value - bg_median) </w:t>
            </w:r>
            <w:r w:rsidRPr="00CB23F6">
              <w:rPr>
                <w:rFonts w:ascii="Consolas" w:hAnsi="Consolas" w:cs="Consolas"/>
                <w:color w:val="7030A0"/>
                <w:sz w:val="20"/>
                <w:szCs w:val="20"/>
              </w:rPr>
              <w:t>if</w:t>
            </w:r>
            <w:r w:rsidRPr="00CB23F6">
              <w:rPr>
                <w:rFonts w:ascii="Consolas" w:hAnsi="Consolas" w:cs="Consolas"/>
                <w:color w:val="000000" w:themeColor="text1"/>
                <w:sz w:val="20"/>
                <w:szCs w:val="20"/>
              </w:rPr>
              <w:t xml:space="preserve"> direction == "higher_is_worse" </w:t>
            </w:r>
            <w:r w:rsidRPr="00CB23F6">
              <w:rPr>
                <w:rFonts w:ascii="Consolas" w:hAnsi="Consolas" w:cs="Consolas"/>
                <w:color w:val="7030A0"/>
                <w:sz w:val="20"/>
                <w:szCs w:val="20"/>
              </w:rPr>
              <w:t xml:space="preserve">else </w:t>
            </w:r>
            <w:r w:rsidRPr="00CB23F6">
              <w:rPr>
                <w:rFonts w:ascii="Consolas" w:hAnsi="Consolas" w:cs="Consolas"/>
                <w:color w:val="000000" w:themeColor="text1"/>
                <w:sz w:val="20"/>
                <w:szCs w:val="20"/>
              </w:rPr>
              <w:t>(bg_median - value)</w:t>
            </w:r>
          </w:p>
          <w:p w14:paraId="0CFED9DE" w14:textId="0024DBC2" w:rsidR="00CA0A36" w:rsidRDefault="00CA0A36" w:rsidP="00CB23F6">
            <w:pPr>
              <w:jc w:val="left"/>
              <w:rPr>
                <w:color w:val="000000" w:themeColor="text1"/>
              </w:rPr>
            </w:pPr>
            <w:r w:rsidRPr="00CB23F6">
              <w:rPr>
                <w:rFonts w:ascii="Consolas" w:hAnsi="Consolas" w:cs="Consolas"/>
                <w:color w:val="000000" w:themeColor="text1"/>
                <w:sz w:val="20"/>
                <w:szCs w:val="20"/>
              </w:rPr>
              <w:t xml:space="preserve">    </w:t>
            </w:r>
            <w:r w:rsidRPr="00CB23F6">
              <w:rPr>
                <w:rFonts w:ascii="Consolas" w:hAnsi="Consolas" w:cs="Consolas"/>
                <w:color w:val="7030A0"/>
                <w:sz w:val="20"/>
                <w:szCs w:val="20"/>
              </w:rPr>
              <w:t xml:space="preserve">return </w:t>
            </w:r>
            <w:r w:rsidRPr="00CB23F6">
              <w:rPr>
                <w:rFonts w:ascii="Consolas" w:hAnsi="Consolas" w:cs="Consolas"/>
                <w:color w:val="000000" w:themeColor="text1"/>
                <w:sz w:val="20"/>
                <w:szCs w:val="20"/>
              </w:rPr>
              <w:t>max(0.0, min(1.0, raw / (k * bg_std)))</w:t>
            </w:r>
          </w:p>
        </w:tc>
      </w:tr>
    </w:tbl>
    <w:p w14:paraId="132D85F8" w14:textId="77777777" w:rsidR="00CB23F6" w:rsidRDefault="00CB23F6" w:rsidP="00CA0A36">
      <w:pPr>
        <w:rPr>
          <w:color w:val="000000" w:themeColor="text1"/>
        </w:rPr>
      </w:pPr>
    </w:p>
    <w:p w14:paraId="767FC2AA" w14:textId="259CEF16" w:rsidR="008F0037" w:rsidRPr="00CA0A36" w:rsidRDefault="008F0037" w:rsidP="00CA0A36">
      <w:pPr>
        <w:rPr>
          <w:color w:val="000000" w:themeColor="text1"/>
        </w:rPr>
      </w:pPr>
      <w:r w:rsidRPr="00CA0A36">
        <w:rPr>
          <w:color w:val="000000" w:themeColor="text1"/>
        </w:rPr>
        <w:t>The single most important reading rule follows from this construction (</w:t>
      </w:r>
      <w:r w:rsidR="006A4B1B">
        <w:rPr>
          <w:color w:val="000000" w:themeColor="text1"/>
        </w:rPr>
        <w:t>Appendix E</w:t>
      </w:r>
      <w:r w:rsidRPr="00CA0A36">
        <w:rPr>
          <w:color w:val="000000" w:themeColor="text1"/>
        </w:rPr>
        <w:t xml:space="preserve"> §0.7): a score is a site-versus-region anomaly, not an absolute reading. A supplier in a clean region that stands out locally can score higher than one in a dirty region that blends into an already-polluted background. This is the screening-not-determination principle of Section 3.3 made arithmetic; the raw site value is surfaced separately for any absolute or regulatory interpretation.</w:t>
      </w:r>
    </w:p>
    <w:p w14:paraId="056D3546" w14:textId="5527D8BA" w:rsidR="008F0037" w:rsidRPr="008F0037" w:rsidRDefault="008F0037" w:rsidP="008F0037">
      <w:pPr>
        <w:rPr>
          <w:color w:val="EE0000"/>
        </w:rPr>
      </w:pPr>
      <w:r>
        <w:t>Full per-indicator results are given in Appendix X, Table X.1 (the repeatable core on a single indicator).</w:t>
      </w:r>
    </w:p>
    <w:p w14:paraId="334F23A7" w14:textId="5801FFF8" w:rsidR="005908F7" w:rsidRPr="000D6E67" w:rsidRDefault="008F0037" w:rsidP="005908F7">
      <w:pPr>
        <w:rPr>
          <w:color w:val="EE0000"/>
        </w:rPr>
      </w:pPr>
      <w:r w:rsidRPr="008F0037">
        <w:rPr>
          <w:color w:val="EE0000"/>
        </w:rPr>
        <w:t xml:space="preserve">[Table 7.2: Default buffer radii. For each site radius (1, 5, 10, 25, 50, 100 km): the spatial scale it matches and the rationale, plus the 5:1 background ratio. Condensed from </w:t>
      </w:r>
      <w:r w:rsidR="006A4B1B">
        <w:rPr>
          <w:color w:val="EE0000"/>
        </w:rPr>
        <w:t>Appendix E</w:t>
      </w:r>
      <w:r w:rsidRPr="008F0037">
        <w:rPr>
          <w:color w:val="EE0000"/>
        </w:rPr>
        <w:t xml:space="preserve"> §6.2. To be inserted by author.]</w:t>
      </w:r>
    </w:p>
    <w:p w14:paraId="45741220" w14:textId="5F64E711" w:rsidR="00183FC8" w:rsidRDefault="00B50197">
      <w:pPr>
        <w:pStyle w:val="Heading3"/>
      </w:pPr>
      <w:bookmarkStart w:id="39" w:name="_Toc231372534"/>
      <w:r>
        <w:lastRenderedPageBreak/>
        <w:t>7.2</w:t>
      </w:r>
      <w:r>
        <w:tab/>
      </w:r>
      <w:r w:rsidR="00874DE9">
        <w:t>Air pillar - anomaly grammar</w:t>
      </w:r>
      <w:bookmarkEnd w:id="39"/>
    </w:p>
    <w:p w14:paraId="7F99F436" w14:textId="56416533" w:rsidR="00E961DA" w:rsidRPr="00E961DA" w:rsidRDefault="00494A80" w:rsidP="00E961DA">
      <w:pPr>
        <w:rPr>
          <w:lang w:val="en-GB"/>
        </w:rPr>
      </w:pPr>
      <w:r w:rsidRPr="00494A80">
        <w:rPr>
          <w:lang w:val="en-GB"/>
        </w:rPr>
        <w:t>The Air pillar's grammar is the repeatable core: all eight air indicators run the z-score method</w:t>
      </w:r>
      <w:r>
        <w:rPr>
          <w:lang w:val="en-GB"/>
        </w:rPr>
        <w:t xml:space="preserve">. </w:t>
      </w:r>
      <w:r w:rsidR="00E961DA" w:rsidRPr="00E961DA">
        <w:rPr>
          <w:lang w:val="en-GB"/>
        </w:rPr>
        <w:t>The pillar then builds upward in three layers</w:t>
      </w:r>
      <w:r w:rsidR="00E961DA">
        <w:rPr>
          <w:lang w:val="en-GB"/>
        </w:rPr>
        <w:t xml:space="preserve">: </w:t>
      </w:r>
      <w:r w:rsidR="00E961DA" w:rsidRPr="00E961DA">
        <w:rPr>
          <w:lang w:val="en-GB"/>
        </w:rPr>
        <w:t>first the per-pollutant scores combine into interpretable sub-aggregates; then the sub-aggregates form a severity core; then the core is wrapped with measurement quality.</w:t>
      </w:r>
    </w:p>
    <w:p w14:paraId="25CE5244" w14:textId="77777777" w:rsidR="00E961DA" w:rsidRDefault="00E961DA" w:rsidP="00E961DA">
      <w:pPr>
        <w:rPr>
          <w:lang w:val="en-GB"/>
        </w:rPr>
      </w:pPr>
      <w:commentRangeStart w:id="40"/>
      <w:r w:rsidRPr="00E961DA">
        <w:rPr>
          <w:b/>
          <w:bCs/>
          <w:lang w:val="en-GB"/>
        </w:rPr>
        <w:t>Layer 1</w:t>
      </w:r>
      <w:r w:rsidRPr="00E961DA">
        <w:rPr>
          <w:lang w:val="en-GB"/>
        </w:rPr>
        <w:t xml:space="preserve"> </w:t>
      </w:r>
      <w:r>
        <w:rPr>
          <w:lang w:val="en-GB"/>
        </w:rPr>
        <w:t xml:space="preserve">- </w:t>
      </w:r>
      <w:r w:rsidRPr="00E961DA">
        <w:rPr>
          <w:b/>
          <w:bCs/>
          <w:lang w:val="en-GB"/>
        </w:rPr>
        <w:t>sub-aggregates</w:t>
      </w:r>
      <w:r w:rsidRPr="00E961DA">
        <w:rPr>
          <w:lang w:val="en-GB"/>
        </w:rPr>
        <w:t xml:space="preserve">. The per-pollutant scores feed the interpretable groupings of Section 6.3. The two that drive the pillar are the </w:t>
      </w:r>
      <w:r w:rsidRPr="00E961DA">
        <w:rPr>
          <w:b/>
          <w:bCs/>
          <w:lang w:val="en-GB"/>
        </w:rPr>
        <w:t>pollution proxy</w:t>
      </w:r>
      <w:r w:rsidRPr="00E961DA">
        <w:rPr>
          <w:lang w:val="en-GB"/>
        </w:rPr>
        <w:t xml:space="preserve"> (</w:t>
      </w:r>
      <w:r>
        <w:rPr>
          <w:lang w:val="en-GB"/>
        </w:rPr>
        <w:t>combining each pollutant</w:t>
      </w:r>
      <w:r w:rsidRPr="00E961DA">
        <w:rPr>
          <w:lang w:val="en-GB"/>
        </w:rPr>
        <w:t>) and the spati</w:t>
      </w:r>
      <w:r>
        <w:rPr>
          <w:lang w:val="en-GB"/>
        </w:rPr>
        <w:t>al</w:t>
      </w:r>
      <w:r w:rsidRPr="00E961DA">
        <w:rPr>
          <w:lang w:val="en-GB"/>
        </w:rPr>
        <w:t>-temporal anomaly</w:t>
      </w:r>
      <w:r>
        <w:rPr>
          <w:lang w:val="en-GB"/>
        </w:rPr>
        <w:t xml:space="preserve">. </w:t>
      </w:r>
      <w:r w:rsidRPr="00E961DA">
        <w:rPr>
          <w:lang w:val="en-GB"/>
        </w:rPr>
        <w:t xml:space="preserve">The ozone contribution to the proxy is capped at 0.5, because as a secondary pollutant ozone supplies regional context but </w:t>
      </w:r>
      <w:r>
        <w:rPr>
          <w:lang w:val="en-GB"/>
        </w:rPr>
        <w:t>can’t produce</w:t>
      </w:r>
      <w:r w:rsidRPr="00E961DA">
        <w:rPr>
          <w:lang w:val="en-GB"/>
        </w:rPr>
        <w:t xml:space="preserve"> a site-level result alone</w:t>
      </w:r>
      <w:r>
        <w:rPr>
          <w:lang w:val="en-GB"/>
        </w:rPr>
        <w:t>.</w:t>
      </w:r>
      <w:commentRangeEnd w:id="40"/>
      <w:r>
        <w:rPr>
          <w:rStyle w:val="CommentReference"/>
          <w:sz w:val="24"/>
          <w:szCs w:val="24"/>
          <w:lang w:val="en-GB"/>
        </w:rPr>
        <w:commentReference w:id="40"/>
      </w:r>
    </w:p>
    <w:p w14:paraId="5A3D4FBB" w14:textId="77777777" w:rsidR="00E961DA" w:rsidRDefault="00E961DA" w:rsidP="00E961DA">
      <w:pPr>
        <w:rPr>
          <w:lang w:val="en-GB"/>
        </w:rPr>
      </w:pPr>
      <w:r>
        <w:rPr>
          <w:lang w:val="en-GB"/>
        </w:rPr>
        <w:t>Layer 2 – severity core. The proxy and anomaly combine into the following:</w:t>
      </w:r>
    </w:p>
    <w:p w14:paraId="230FABE8" w14:textId="44786812" w:rsidR="00E96E70" w:rsidRPr="00E961DA" w:rsidRDefault="00E96E70" w:rsidP="00E961DA">
      <w:pPr>
        <w:rPr>
          <w:color w:val="000000" w:themeColor="text1"/>
        </w:rPr>
      </w:pPr>
      <w:r>
        <w:rPr>
          <w:lang w:val="en-GB"/>
        </w:rPr>
        <w:br/>
      </w:r>
      <m:oMathPara>
        <m:oMath>
          <m:sSub>
            <m:sSubPr>
              <m:ctrlPr>
                <w:rPr>
                  <w:rFonts w:ascii="Cambria Math" w:hAnsi="Cambria Math"/>
                  <w:color w:val="000000" w:themeColor="text1"/>
                </w:rPr>
              </m:ctrlPr>
            </m:sSubPr>
            <m:e>
              <m:r>
                <m:rPr>
                  <m:nor/>
                </m:rPr>
                <w:rPr>
                  <w:rFonts w:ascii="Cambria Math" w:hAnsi="Cambria Math"/>
                  <w:color w:val="000000" w:themeColor="text1"/>
                </w:rPr>
                <m:t>Air</m:t>
              </m:r>
            </m:e>
            <m:sub>
              <m:r>
                <m:rPr>
                  <m:nor/>
                </m:rPr>
                <w:rPr>
                  <w:rFonts w:ascii="Cambria Math" w:hAnsi="Cambria Math"/>
                  <w:color w:val="000000" w:themeColor="text1"/>
                </w:rPr>
                <m:t>core</m:t>
              </m:r>
            </m:sub>
          </m:sSub>
          <m:r>
            <w:rPr>
              <w:rFonts w:ascii="Cambria Math" w:hAnsi="Cambria Math"/>
              <w:color w:val="000000" w:themeColor="text1"/>
            </w:rPr>
            <m:t>=0.625 </m:t>
          </m:r>
          <m:r>
            <m:rPr>
              <m:nor/>
            </m:rPr>
            <w:rPr>
              <w:rFonts w:ascii="Cambria Math" w:hAnsi="Cambria Math"/>
              <w:color w:val="000000" w:themeColor="text1"/>
            </w:rPr>
            <m:t>Proxy</m:t>
          </m:r>
          <m:r>
            <w:rPr>
              <w:rFonts w:ascii="Cambria Math" w:hAnsi="Cambria Math"/>
              <w:color w:val="000000" w:themeColor="text1"/>
            </w:rPr>
            <m:t>+0.375 </m:t>
          </m:r>
          <m:r>
            <m:rPr>
              <m:nor/>
            </m:rPr>
            <w:rPr>
              <w:rFonts w:ascii="Cambria Math" w:hAnsi="Cambria Math"/>
              <w:color w:val="000000" w:themeColor="text1"/>
            </w:rPr>
            <m:t>Anomaly</m:t>
          </m:r>
        </m:oMath>
      </m:oMathPara>
    </w:p>
    <w:p w14:paraId="1B98C4D1" w14:textId="6C2D5FA5" w:rsidR="00E961DA" w:rsidRDefault="00E961DA" w:rsidP="00E961DA">
      <w:pPr>
        <w:rPr>
          <w:color w:val="000000" w:themeColor="text1"/>
        </w:rPr>
      </w:pPr>
      <w:r>
        <w:rPr>
          <w:color w:val="000000" w:themeColor="text1"/>
        </w:rPr>
        <w:t>With the pollution proxy as the primary level signal and the anomaly as the consistency signal.</w:t>
      </w:r>
    </w:p>
    <w:p w14:paraId="5E58566A" w14:textId="0366F78B" w:rsidR="00E961DA" w:rsidRPr="00E96E70" w:rsidRDefault="00E961DA" w:rsidP="00E961DA">
      <w:pPr>
        <w:rPr>
          <w:lang w:val="en-GB"/>
        </w:rPr>
      </w:pPr>
      <w:r>
        <w:rPr>
          <w:color w:val="000000" w:themeColor="text1"/>
        </w:rPr>
        <w:t xml:space="preserve">Layer 3 – follow-up. </w:t>
      </w:r>
      <w:r w:rsidRPr="00E961DA">
        <w:rPr>
          <w:color w:val="000000" w:themeColor="text1"/>
        </w:rPr>
        <w:t xml:space="preserve">The core is then </w:t>
      </w:r>
      <w:r>
        <w:rPr>
          <w:color w:val="000000" w:themeColor="text1"/>
        </w:rPr>
        <w:t>combined</w:t>
      </w:r>
      <w:r w:rsidRPr="00E961DA">
        <w:rPr>
          <w:color w:val="000000" w:themeColor="text1"/>
        </w:rPr>
        <w:t xml:space="preserve"> with the measurement-quality term shared by all three pillars:</w:t>
      </w:r>
    </w:p>
    <w:p w14:paraId="4C6DEBAC" w14:textId="77777777" w:rsidR="00E96E70" w:rsidRPr="00E96E70" w:rsidRDefault="00E96E70">
      <m:oMathPara>
        <m:oMath>
          <m:sSub>
            <m:sSubPr>
              <m:ctrlPr>
                <w:rPr>
                  <w:rFonts w:ascii="Cambria Math" w:hAnsi="Cambria Math"/>
                </w:rPr>
              </m:ctrlPr>
            </m:sSubPr>
            <m:e>
              <m:r>
                <m:rPr>
                  <m:nor/>
                </m:rPr>
                <w:rPr>
                  <w:rFonts w:ascii="Cambria Math" w:hAnsi="Cambria Math"/>
                </w:rPr>
                <m:t>Air</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Air</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1D0090FB" w14:textId="3C036C82" w:rsidR="00494A80" w:rsidRDefault="00E961DA">
      <w:r>
        <w:t>These</w:t>
      </w:r>
      <w:r w:rsidR="00E96E70" w:rsidRPr="00E96E70">
        <w:t xml:space="preserve"> </w:t>
      </w:r>
      <w:r>
        <w:t>steps</w:t>
      </w:r>
      <w:r w:rsidR="00E96E70" w:rsidRPr="00E96E70">
        <w:t xml:space="preserve"> are equivalent to an effective 0.50 / 0.30 / 0.20 across proxy, anomaly, and quality. </w:t>
      </w:r>
      <w:r w:rsidRPr="00E961DA">
        <w:t xml:space="preserve">The weights </w:t>
      </w:r>
      <w:r>
        <w:t>are</w:t>
      </w:r>
      <w:r w:rsidRPr="00E961DA">
        <w:t xml:space="preserve"> not an empirically fitted optimum; calibration of the exact values is deferred (Section 12).</w:t>
      </w:r>
    </w:p>
    <w:p w14:paraId="7B792F1D" w14:textId="70EFB1BD" w:rsidR="00E961DA" w:rsidRPr="00E961DA" w:rsidRDefault="00E961DA">
      <w:pPr>
        <w:rPr>
          <w:color w:val="EE0000"/>
        </w:rPr>
      </w:pPr>
      <w:r>
        <w:t>Full per-indicator Air results are given in Appendix X, Table X.2.</w:t>
      </w:r>
    </w:p>
    <w:p w14:paraId="350D49F1" w14:textId="3AE37B27" w:rsidR="00183FC8" w:rsidRDefault="00B50197">
      <w:pPr>
        <w:pStyle w:val="Heading3"/>
      </w:pPr>
      <w:bookmarkStart w:id="41" w:name="_Toc231372535"/>
      <w:r>
        <w:t>7.3</w:t>
      </w:r>
      <w:r>
        <w:tab/>
      </w:r>
      <w:r w:rsidR="00874DE9">
        <w:t>GHG pillar - absolute-anchored activity grammar</w:t>
      </w:r>
      <w:bookmarkEnd w:id="41"/>
    </w:p>
    <w:p w14:paraId="59DA61DD" w14:textId="39B98318" w:rsidR="00183FC8" w:rsidRDefault="00E961DA">
      <w:pPr>
        <w:rPr>
          <w:lang w:val="en-GB"/>
        </w:rPr>
      </w:pPr>
      <w:r w:rsidRPr="00E961DA">
        <w:rPr>
          <w:lang w:val="en-GB"/>
        </w:rPr>
        <w:t xml:space="preserve">The GHG pillar deliberately does not use the anomaly grammar (Appendix E §2.2a). It asks "how much sustained industrial activity is concentrated here?", </w:t>
      </w:r>
      <w:r>
        <w:rPr>
          <w:lang w:val="en-GB"/>
        </w:rPr>
        <w:t>using</w:t>
      </w:r>
      <w:r w:rsidRPr="00E961DA">
        <w:rPr>
          <w:lang w:val="en-GB"/>
        </w:rPr>
        <w:t xml:space="preserve"> absolute levels. It is built in the same three layers as the Air pillar.</w:t>
      </w:r>
    </w:p>
    <w:p w14:paraId="36296C13" w14:textId="5F0B3120" w:rsidR="00E961DA" w:rsidRPr="00E961DA" w:rsidRDefault="00E961DA" w:rsidP="00E961DA">
      <w:pPr>
        <w:rPr>
          <w:lang w:val="en-GB"/>
        </w:rPr>
      </w:pPr>
      <w:r w:rsidRPr="00E961DA">
        <w:rPr>
          <w:b/>
          <w:bCs/>
          <w:lang w:val="en-GB"/>
        </w:rPr>
        <w:t>Layer 1</w:t>
      </w:r>
      <w:r w:rsidRPr="00E961DA">
        <w:rPr>
          <w:b/>
          <w:bCs/>
          <w:lang w:val="en-GB"/>
        </w:rPr>
        <w:t xml:space="preserve"> </w:t>
      </w:r>
      <w:r w:rsidR="00542C6F">
        <w:rPr>
          <w:b/>
          <w:bCs/>
          <w:lang w:val="en-GB"/>
        </w:rPr>
        <w:t>–</w:t>
      </w:r>
      <w:r w:rsidRPr="00E961DA">
        <w:rPr>
          <w:b/>
          <w:bCs/>
          <w:lang w:val="en-GB"/>
        </w:rPr>
        <w:t xml:space="preserve"> </w:t>
      </w:r>
      <w:r w:rsidR="00542C6F">
        <w:rPr>
          <w:b/>
          <w:bCs/>
          <w:lang w:val="en-GB"/>
        </w:rPr>
        <w:t>sub-aggregates</w:t>
      </w:r>
      <w:r w:rsidRPr="00E961DA">
        <w:rPr>
          <w:lang w:val="en-GB"/>
        </w:rPr>
        <w:t xml:space="preserve">. </w:t>
      </w:r>
      <w:commentRangeStart w:id="42"/>
      <w:r w:rsidR="00542C6F">
        <w:rPr>
          <w:lang w:val="en-GB"/>
        </w:rPr>
        <w:t>The</w:t>
      </w:r>
      <w:r w:rsidRPr="00E961DA">
        <w:rPr>
          <w:lang w:val="en-GB"/>
        </w:rPr>
        <w:t xml:space="preserve"> combustion proxy </w:t>
      </w:r>
      <w:r w:rsidR="00542C6F">
        <w:rPr>
          <w:lang w:val="en-GB"/>
        </w:rPr>
        <w:t xml:space="preserve">- </w:t>
      </w:r>
      <w:r w:rsidRPr="00E961DA">
        <w:rPr>
          <w:lang w:val="en-GB"/>
        </w:rPr>
        <w:t xml:space="preserve">the NO₂/CO score </w:t>
      </w:r>
      <w:r w:rsidR="00542C6F">
        <w:rPr>
          <w:lang w:val="en-GB"/>
        </w:rPr>
        <w:t xml:space="preserve">- </w:t>
      </w:r>
      <w:r w:rsidRPr="00E961DA">
        <w:rPr>
          <w:lang w:val="en-GB"/>
        </w:rPr>
        <w:t>and the VIIRS flaring fraction</w:t>
      </w:r>
      <w:r w:rsidR="00542C6F">
        <w:rPr>
          <w:lang w:val="en-GB"/>
        </w:rPr>
        <w:t xml:space="preserve">, which is </w:t>
      </w:r>
      <w:r w:rsidRPr="00E961DA">
        <w:rPr>
          <w:lang w:val="en-GB"/>
        </w:rPr>
        <w:t xml:space="preserve">the share of site pixels whose window-mean radiance exceeds ≈ 100 nW cm⁻² sr⁻¹. The combustion proxy carries the larger weight because it is the stronger intensity </w:t>
      </w:r>
      <w:r w:rsidRPr="00E961DA">
        <w:rPr>
          <w:lang w:val="en-GB"/>
        </w:rPr>
        <w:lastRenderedPageBreak/>
        <w:t xml:space="preserve">ranker (Spearman ρ ≈ 0.85 against expected industrial tier) and </w:t>
      </w:r>
      <w:r w:rsidR="00542C6F">
        <w:rPr>
          <w:lang w:val="en-GB"/>
        </w:rPr>
        <w:t>captures the</w:t>
      </w:r>
      <w:r w:rsidRPr="00E961DA">
        <w:rPr>
          <w:lang w:val="en-GB"/>
        </w:rPr>
        <w:t xml:space="preserve"> dim-night-light combustion that flaring misses</w:t>
      </w:r>
      <w:r w:rsidR="00542C6F">
        <w:rPr>
          <w:lang w:val="en-GB"/>
        </w:rPr>
        <w:t>;</w:t>
      </w:r>
      <w:r w:rsidRPr="00E961DA">
        <w:rPr>
          <w:lang w:val="en-GB"/>
        </w:rPr>
        <w:t xml:space="preserve"> flaring is complementary. </w:t>
      </w:r>
      <w:commentRangeEnd w:id="42"/>
      <w:r w:rsidR="00542C6F" w:rsidRPr="00E961DA">
        <w:rPr>
          <w:rStyle w:val="CommentReference"/>
          <w:sz w:val="24"/>
          <w:szCs w:val="24"/>
          <w:lang w:val="en-GB"/>
        </w:rPr>
        <w:commentReference w:id="42"/>
      </w:r>
    </w:p>
    <w:p w14:paraId="64EDF590" w14:textId="3A1E2CFE" w:rsidR="00E961DA" w:rsidRDefault="00E961DA" w:rsidP="00E961DA">
      <w:pPr>
        <w:rPr>
          <w:lang w:val="en-GB"/>
        </w:rPr>
      </w:pPr>
      <w:r w:rsidRPr="00542C6F">
        <w:rPr>
          <w:b/>
          <w:bCs/>
          <w:lang w:val="en-GB"/>
        </w:rPr>
        <w:t>Layer 2</w:t>
      </w:r>
      <w:r w:rsidR="00542C6F" w:rsidRPr="00542C6F">
        <w:rPr>
          <w:b/>
          <w:bCs/>
          <w:lang w:val="en-GB"/>
        </w:rPr>
        <w:t xml:space="preserve"> - </w:t>
      </w:r>
      <w:r w:rsidRPr="00542C6F">
        <w:rPr>
          <w:b/>
          <w:bCs/>
          <w:lang w:val="en-GB"/>
        </w:rPr>
        <w:t>severity core.</w:t>
      </w:r>
      <w:r w:rsidRPr="00E961DA">
        <w:rPr>
          <w:lang w:val="en-GB"/>
        </w:rPr>
        <w:t xml:space="preserve"> The two terms form the GHG severity core</w:t>
      </w:r>
      <w:r w:rsidR="00542C6F">
        <w:rPr>
          <w:lang w:val="en-GB"/>
        </w:rPr>
        <w:t>:</w:t>
      </w:r>
    </w:p>
    <w:p w14:paraId="4819B0F7" w14:textId="68446D7A" w:rsidR="00542C6F" w:rsidRPr="00542C6F" w:rsidRDefault="00542C6F" w:rsidP="00E961DA">
      <m:oMathPara>
        <m:oMath>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=0.60 </m:t>
          </m:r>
          <m:sSub>
            <m:sSubPr>
              <m:ctrlPr>
                <w:rPr>
                  <w:rFonts w:ascii="Cambria Math" w:hAnsi="Cambria Math"/>
                </w:rPr>
              </m:ctrlPr>
            </m:sSubPr>
            <m:e>
              <m:r>
                <m:rPr>
                  <m:nor/>
                </m:rPr>
                <w:rPr>
                  <w:rFonts w:ascii="Cambria Math" w:hAnsi="Cambria Math"/>
                </w:rPr>
                <m:t>Combustion</m:t>
              </m:r>
            </m:e>
            <m:sub>
              <m:r>
                <m:rPr>
                  <m:nor/>
                </m:rPr>
                <w:rPr>
                  <w:rFonts w:ascii="Cambria Math" w:hAnsi="Cambria Math"/>
                </w:rPr>
                <m:t>proxy</m:t>
              </m:r>
            </m:sub>
          </m:sSub>
          <m:r>
            <w:rPr>
              <w:rFonts w:ascii="Cambria Math" w:hAnsi="Cambria Math"/>
            </w:rPr>
            <m:t>+0.40 </m:t>
          </m:r>
          <m:sSub>
            <m:sSubPr>
              <m:ctrlPr>
                <w:rPr>
                  <w:rFonts w:ascii="Cambria Math" w:hAnsi="Cambria Math"/>
                </w:rPr>
              </m:ctrlPr>
            </m:sSubPr>
            <m:e>
              <m:r>
                <m:rPr>
                  <m:nor/>
                </m:rPr>
                <w:rPr>
                  <w:rFonts w:ascii="Cambria Math" w:hAnsi="Cambria Math"/>
                </w:rPr>
                <m:t>VIIRS</m:t>
              </m:r>
            </m:e>
            <m:sub>
              <m:r>
                <m:rPr>
                  <m:nor/>
                </m:rPr>
                <w:rPr>
                  <w:rFonts w:ascii="Cambria Math" w:hAnsi="Cambria Math"/>
                </w:rPr>
                <m:t>flaring</m:t>
              </m:r>
            </m:sub>
          </m:sSub>
        </m:oMath>
      </m:oMathPara>
    </w:p>
    <w:p w14:paraId="4A759BFF" w14:textId="5093B967" w:rsidR="00542C6F" w:rsidRDefault="00542C6F" w:rsidP="00E961DA">
      <w:r w:rsidRPr="00542C6F">
        <w:rPr>
          <w:b/>
          <w:bCs/>
        </w:rPr>
        <w:t xml:space="preserve">Layer 3 </w:t>
      </w:r>
      <w:r w:rsidRPr="00542C6F">
        <w:rPr>
          <w:b/>
          <w:bCs/>
        </w:rPr>
        <w:t xml:space="preserve">- </w:t>
      </w:r>
      <w:r w:rsidRPr="00542C6F">
        <w:rPr>
          <w:b/>
          <w:bCs/>
        </w:rPr>
        <w:t>follow-up.</w:t>
      </w:r>
      <w:r w:rsidRPr="00542C6F">
        <w:t xml:space="preserve"> </w:t>
      </w:r>
    </w:p>
    <w:p w14:paraId="039626B4" w14:textId="7AAC153C" w:rsidR="00542C6F" w:rsidRPr="00542C6F" w:rsidRDefault="00542C6F" w:rsidP="00E961DA">
      <m:oMathPara>
        <m:oMath>
          <m:sSub>
            <m:sSubPr>
              <m:ctrlPr>
                <w:rPr>
                  <w:rFonts w:ascii="Cambria Math" w:hAnsi="Cambria Math"/>
                </w:rPr>
              </m:ctrlPr>
            </m:sSubPr>
            <m:e>
              <m:r>
                <m:rPr>
                  <m:nor/>
                </m:rPr>
                <w:rPr>
                  <w:rFonts w:ascii="Cambria Math" w:hAnsi="Cambria Math"/>
                </w:rPr>
                <m:t>GHG</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Core</m:t>
              </m:r>
            </m:e>
            <m:sub>
              <m:r>
                <m:rPr>
                  <m:nor/>
                </m:rPr>
                <w:rPr>
                  <w:rFonts w:ascii="Cambria Math" w:hAnsi="Cambria Math"/>
                </w:rPr>
                <m:t>GHG</m:t>
              </m:r>
            </m:sub>
          </m:sSub>
          <m:r>
            <w:rPr>
              <w:rFonts w:ascii="Cambria Math" w:hAnsi="Cambria Math"/>
            </w:rPr>
            <m:t>+0.20 </m:t>
          </m:r>
          <m:r>
            <m:rPr>
              <m:nor/>
            </m:rPr>
            <w:rPr>
              <w:rFonts w:ascii="Cambria Math" w:hAnsi="Cambria Math"/>
            </w:rPr>
            <m:t>MeasurementQuality</m:t>
          </m:r>
        </m:oMath>
      </m:oMathPara>
    </w:p>
    <w:p>
      <w:pPr>
        <w:jc w:val="center"/>
      </w:pPr>
      <w:r>
        <w:drawing>
          <wp:inline xmlns:a="http://schemas.openxmlformats.org/drawingml/2006/main" xmlns:pic="http://schemas.openxmlformats.org/drawingml/2006/picture">
            <wp:extent cx="5400000" cy="3685714"/>
            <wp:docPr id="24" name="Picture 24"/>
            <wp:cNvGraphicFramePr>
              <a:graphicFrameLocks noChangeAspect="1"/>
            </wp:cNvGraphicFramePr>
            <a:graphic>
              <a:graphicData uri="http://schemas.openxmlformats.org/drawingml/2006/picture">
                <pic:pic>
                  <pic:nvPicPr>
                    <pic:cNvPr id="0" name="fig_7a_ghg_slope.png"/>
                    <pic:cNvPicPr/>
                  </pic:nvPicPr>
                  <pic:blipFill>
                    <a:blip r:embed="rId39"/>
                    <a:stretch>
                      <a:fillRect/>
                    </a:stretch>
                  </pic:blipFill>
                  <pic:spPr>
                    <a:xfrm>
                      <a:off x="0" y="0"/>
                      <a:ext cx="5400000" cy="3685714"/>
                    </a:xfrm>
                    <a:prstGeom prst="rect"/>
                  </pic:spPr>
                </pic:pic>
              </a:graphicData>
            </a:graphic>
          </wp:inline>
        </w:drawing>
      </w:r>
    </w:p>
    <w:p>
      <w:pPr>
        <w:pStyle w:val="Caption"/>
      </w:pPr>
      <w:r>
        <w:rPr>
          <w:i/>
        </w:rPr>
        <w:t>Figure 7.A: the borrowed combustion proxy is blind to flaring, which VIIRS catches; where both grammars agree (Escondida, Carajás) the GHG signal is genuinely low. Divergence is itself the signal. Source: Appendix X sweep.</w:t>
      </w:r>
    </w:p>
    <w:p w14:paraId="3B4D8C57" w14:textId="767F0DB4" w:rsidR="00542C6F" w:rsidRPr="00542C6F" w:rsidRDefault="00542C6F" w:rsidP="00542C6F">
      <w:pPr>
        <w:rPr>
          <w:color w:val="EE0000"/>
        </w:rPr>
      </w:pPr>
      <w:r>
        <w:t>Full GHG reference/context terms are given in Appendix X, Table X.3.</w:t>
      </w:r>
    </w:p>
    <w:p w14:paraId="29E947C8" w14:textId="135FA766" w:rsidR="00183FC8" w:rsidRDefault="00B50197">
      <w:pPr>
        <w:pStyle w:val="Heading3"/>
      </w:pPr>
      <w:bookmarkStart w:id="43" w:name="_Toc231372536"/>
      <w:r>
        <w:t>7.4</w:t>
      </w:r>
      <w:r>
        <w:tab/>
      </w:r>
      <w:r w:rsidR="00874DE9">
        <w:t>Nature pillar - exposure/change/condition grammar</w:t>
      </w:r>
      <w:bookmarkEnd w:id="43"/>
    </w:p>
    <w:p w14:paraId="75739E17" w14:textId="15F935CF" w:rsidR="00183FC8" w:rsidRDefault="00542C6F">
      <w:pPr>
        <w:rPr>
          <w:lang w:val="en-GB"/>
        </w:rPr>
      </w:pPr>
      <w:r w:rsidRPr="00542C6F">
        <w:rPr>
          <w:lang w:val="en-GB"/>
        </w:rPr>
        <w:t>The Nature pillar uses a third grammar</w:t>
      </w:r>
      <w:r>
        <w:rPr>
          <w:lang w:val="en-GB"/>
        </w:rPr>
        <w:t>.</w:t>
      </w:r>
    </w:p>
    <w:p w14:paraId="70A66734" w14:textId="49E817C7" w:rsidR="00542C6F" w:rsidRPr="00542C6F" w:rsidRDefault="00542C6F" w:rsidP="00542C6F">
      <w:pPr>
        <w:rPr>
          <w:lang w:val="en-GB"/>
        </w:rPr>
      </w:pPr>
      <w:r w:rsidRPr="00542C6F">
        <w:rPr>
          <w:b/>
          <w:bCs/>
          <w:lang w:val="en-GB"/>
        </w:rPr>
        <w:t xml:space="preserve">Layer 1 </w:t>
      </w:r>
      <w:r w:rsidRPr="00542C6F">
        <w:rPr>
          <w:b/>
          <w:bCs/>
          <w:lang w:val="en-GB"/>
        </w:rPr>
        <w:t xml:space="preserve">- </w:t>
      </w:r>
      <w:r w:rsidRPr="00542C6F">
        <w:rPr>
          <w:b/>
          <w:bCs/>
          <w:lang w:val="en-GB"/>
        </w:rPr>
        <w:t>sub-aggregates</w:t>
      </w:r>
      <w:r w:rsidRPr="00542C6F">
        <w:rPr>
          <w:lang w:val="en-GB"/>
        </w:rPr>
        <w:t>. Exposure</w:t>
      </w:r>
      <w:r>
        <w:rPr>
          <w:lang w:val="en-GB"/>
        </w:rPr>
        <w:t xml:space="preserve"> depends on </w:t>
      </w:r>
      <w:r w:rsidRPr="00542C6F">
        <w:rPr>
          <w:lang w:val="en-GB"/>
        </w:rPr>
        <w:t>sensitive land cover present, and proximity to a Key Biodiversity Area</w:t>
      </w:r>
      <w:r>
        <w:rPr>
          <w:lang w:val="en-GB"/>
        </w:rPr>
        <w:t>; it</w:t>
      </w:r>
      <w:r w:rsidRPr="00542C6F">
        <w:rPr>
          <w:lang w:val="en-GB"/>
        </w:rPr>
        <w:t xml:space="preserve"> is largely a vector-and-proportion calculation on [0, 1]. Conversion</w:t>
      </w:r>
      <w:r>
        <w:rPr>
          <w:lang w:val="en-GB"/>
        </w:rPr>
        <w:t xml:space="preserve"> (</w:t>
      </w:r>
      <w:r w:rsidRPr="00542C6F">
        <w:rPr>
          <w:lang w:val="en-GB"/>
        </w:rPr>
        <w:t>natural-to-non-natural land change</w:t>
      </w:r>
      <w:r>
        <w:rPr>
          <w:lang w:val="en-GB"/>
        </w:rPr>
        <w:t xml:space="preserve">) </w:t>
      </w:r>
      <w:r w:rsidRPr="00542C6F">
        <w:rPr>
          <w:lang w:val="en-GB"/>
        </w:rPr>
        <w:t xml:space="preserve">is a difference between two dated composites, each conversion fraction clamped against a 10% saturation point so that a typical few-per-cent loss does not read as misleadingly clean (Appendix E §3.2). Condition </w:t>
      </w:r>
      <w:r>
        <w:rPr>
          <w:lang w:val="en-GB"/>
        </w:rPr>
        <w:t xml:space="preserve">or </w:t>
      </w:r>
      <w:r w:rsidRPr="00542C6F">
        <w:rPr>
          <w:lang w:val="en-GB"/>
        </w:rPr>
        <w:t>vegetation health</w:t>
      </w:r>
      <w:r>
        <w:rPr>
          <w:lang w:val="en-GB"/>
        </w:rPr>
        <w:t xml:space="preserve"> is instead</w:t>
      </w:r>
      <w:r w:rsidRPr="00542C6F">
        <w:rPr>
          <w:lang w:val="en-GB"/>
        </w:rPr>
        <w:t xml:space="preserve"> </w:t>
      </w:r>
      <w:r>
        <w:rPr>
          <w:lang w:val="en-GB"/>
        </w:rPr>
        <w:t xml:space="preserve">an </w:t>
      </w:r>
      <w:r w:rsidRPr="00542C6F">
        <w:rPr>
          <w:lang w:val="en-GB"/>
        </w:rPr>
        <w:t>inverted NDVI anomaly.</w:t>
      </w:r>
    </w:p>
    <w:p w14:paraId="3FA2ADD4" w14:textId="27FBC5EC" w:rsidR="00542C6F" w:rsidRDefault="00542C6F" w:rsidP="00542C6F">
      <w:pPr>
        <w:rPr>
          <w:lang w:val="en-GB"/>
        </w:rPr>
      </w:pPr>
      <w:r w:rsidRPr="00542C6F">
        <w:rPr>
          <w:b/>
          <w:bCs/>
          <w:lang w:val="en-GB"/>
        </w:rPr>
        <w:t xml:space="preserve">Layer 2 </w:t>
      </w:r>
      <w:r w:rsidRPr="00542C6F">
        <w:rPr>
          <w:b/>
          <w:bCs/>
          <w:lang w:val="en-GB"/>
        </w:rPr>
        <w:t xml:space="preserve">- </w:t>
      </w:r>
      <w:r w:rsidRPr="00542C6F">
        <w:rPr>
          <w:b/>
          <w:bCs/>
          <w:lang w:val="en-GB"/>
        </w:rPr>
        <w:t>severity core</w:t>
      </w:r>
      <w:r w:rsidRPr="00542C6F">
        <w:rPr>
          <w:lang w:val="en-GB"/>
        </w:rPr>
        <w:t>. The three strands combine into the Nature severity core:</w:t>
      </w:r>
    </w:p>
    <w:p w14:paraId="5ECDDC2D" w14:textId="30B077BD" w:rsidR="00542C6F" w:rsidRPr="00542C6F" w:rsidRDefault="00542C6F" w:rsidP="00542C6F">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=0.375 </m:t>
          </m:r>
          <m:r>
            <m:rPr>
              <m:nor/>
            </m:rPr>
            <w:rPr>
              <w:rFonts w:ascii="Cambria Math" w:hAnsi="Cambria Math"/>
            </w:rPr>
            <m:t>Exposure</m:t>
          </m:r>
          <m:r>
            <w:rPr>
              <w:rFonts w:ascii="Cambria Math" w:hAnsi="Cambria Math"/>
            </w:rPr>
            <m:t>+0.375 </m:t>
          </m:r>
          <m:r>
            <m:rPr>
              <m:nor/>
            </m:rPr>
            <w:rPr>
              <w:rFonts w:ascii="Cambria Math" w:hAnsi="Cambria Math"/>
            </w:rPr>
            <m:t>Conversion</m:t>
          </m:r>
          <m:r>
            <w:rPr>
              <w:rFonts w:ascii="Cambria Math" w:hAnsi="Cambria Math"/>
            </w:rPr>
            <m:t>+0.250 </m:t>
          </m:r>
          <m:r>
            <m:rPr>
              <m:nor/>
            </m:rPr>
            <w:rPr>
              <w:rFonts w:ascii="Cambria Math" w:hAnsi="Cambria Math"/>
            </w:rPr>
            <m:t>Condition</m:t>
          </m:r>
        </m:oMath>
      </m:oMathPara>
    </w:p>
    <w:p w14:paraId="5C4E217D" w14:textId="2E0DF8FD" w:rsidR="00542C6F" w:rsidRDefault="00542C6F" w:rsidP="00542C6F">
      <w:pPr>
        <w:rPr>
          <w:lang w:val="en-GB"/>
        </w:rPr>
      </w:pPr>
      <w:r w:rsidRPr="00542C6F">
        <w:rPr>
          <w:lang w:val="en-GB"/>
        </w:rPr>
        <w:t xml:space="preserve">The </w:t>
      </w:r>
      <w:r>
        <w:rPr>
          <w:lang w:val="en-GB"/>
        </w:rPr>
        <w:t>weight</w:t>
      </w:r>
      <w:r w:rsidRPr="00542C6F">
        <w:rPr>
          <w:lang w:val="en-GB"/>
        </w:rPr>
        <w:t xml:space="preserve"> ordering follows the audit logic of Section 6.5: exposure and conversion are the two impact-bearing questions and carry equal</w:t>
      </w:r>
      <w:r>
        <w:rPr>
          <w:lang w:val="en-GB"/>
        </w:rPr>
        <w:t xml:space="preserve"> </w:t>
      </w:r>
      <w:r w:rsidRPr="00542C6F">
        <w:rPr>
          <w:lang w:val="en-GB"/>
        </w:rPr>
        <w:t>weight; condition is a supporting</w:t>
      </w:r>
      <w:r>
        <w:rPr>
          <w:lang w:val="en-GB"/>
        </w:rPr>
        <w:t xml:space="preserve"> </w:t>
      </w:r>
      <w:r w:rsidRPr="00542C6F">
        <w:rPr>
          <w:lang w:val="en-GB"/>
        </w:rPr>
        <w:t>signal</w:t>
      </w:r>
      <w:r>
        <w:rPr>
          <w:lang w:val="en-GB"/>
        </w:rPr>
        <w:t>.</w:t>
      </w:r>
    </w:p>
    <w:p w14:paraId="0534D697" w14:textId="2209D8F7" w:rsidR="00542C6F" w:rsidRDefault="00542C6F" w:rsidP="00542C6F">
      <w:pPr>
        <w:rPr>
          <w:b/>
          <w:bCs/>
          <w:lang w:val="en-GB"/>
        </w:rPr>
      </w:pPr>
      <w:r w:rsidRPr="00542C6F">
        <w:rPr>
          <w:b/>
          <w:bCs/>
          <w:lang w:val="en-GB"/>
        </w:rPr>
        <w:t xml:space="preserve">Layer 3 </w:t>
      </w:r>
      <w:r w:rsidRPr="00542C6F">
        <w:rPr>
          <w:b/>
          <w:bCs/>
          <w:lang w:val="en-GB"/>
        </w:rPr>
        <w:t xml:space="preserve">- </w:t>
      </w:r>
      <w:r w:rsidRPr="00542C6F">
        <w:rPr>
          <w:b/>
          <w:bCs/>
          <w:lang w:val="en-GB"/>
        </w:rPr>
        <w:t>follow-up.</w:t>
      </w:r>
    </w:p>
    <w:p w14:paraId="070D2D10" w14:textId="68C9174A" w:rsidR="00542C6F" w:rsidRPr="00542C6F" w:rsidRDefault="00542C6F" w:rsidP="00542C6F">
      <m:oMathPara>
        <m:oMath>
          <m:sSub>
            <m:sSubPr>
              <m:ctrlPr>
                <w:rPr>
                  <w:rFonts w:ascii="Cambria Math" w:hAnsi="Cambria Math"/>
                </w:rPr>
              </m:ctrlPr>
            </m:sSubPr>
            <m:e>
              <m:r>
                <m:rPr>
                  <m:nor/>
                </m:rPr>
                <w:rPr>
                  <w:rFonts w:ascii="Cambria Math" w:hAnsi="Cambria Math"/>
                </w:rPr>
                <m:t>Nature</m:t>
              </m:r>
            </m:e>
            <m:sub>
              <m:r>
                <m:rPr>
                  <m:nor/>
                </m:rPr>
                <w:rPr>
                  <w:rFonts w:ascii="Cambria Math" w:hAnsi="Cambria Math"/>
                </w:rPr>
                <m:t>follow-up</m:t>
              </m:r>
            </m:sub>
          </m:sSub>
          <m:r>
            <w:rPr>
              <w:rFonts w:ascii="Cambria Math" w:hAnsi="Cambria Math"/>
            </w:rPr>
            <m:t>=0.80 </m:t>
          </m:r>
          <m:sSub>
            <m:sSubPr>
              <m:ctrlPr>
                <w:rPr>
                  <w:rFonts w:ascii="Cambria Math" w:hAnsi="Cambria Math"/>
                </w:rPr>
              </m:ctrlPr>
            </m:sSubPr>
            <m:e>
              <m:r>
                <m:rPr>
                  <m:nor/>
                </m:rPr>
                <w:rPr>
                  <w:rFonts w:ascii="Cambria Math" w:hAnsi="Cambria Math"/>
                </w:rPr>
                <m:t>Nature</m:t>
              </m:r>
            </m:e>
            <m:sub>
              <m:r>
                <m:rPr>
                  <m:nor/>
                </m:rPr>
                <w:rPr>
                  <w:rFonts w:ascii="Cambria Math" w:hAnsi="Cambria Math"/>
                </w:rPr>
                <m:t>core</m:t>
              </m:r>
            </m:sub>
          </m:sSub>
          <m:r>
            <w:rPr>
              <w:rFonts w:ascii="Cambria Math" w:hAnsi="Cambria Math"/>
            </w:rPr>
            <m:t>+0.20 </m:t>
          </m:r>
          <m:r>
            <m:rPr>
              <m:nor/>
            </m:rPr>
            <w:rPr>
              <w:rFonts w:ascii="Cambria Math" w:hAnsi="Cambria Math"/>
            </w:rPr>
            <m:t>MeasurementQuality</m:t>
          </m:r>
        </m:oMath>
      </m:oMathPara>
    </w:p>
    <w:p w14:paraId="67A32F7F" w14:textId="407366BC" w:rsidR="00542C6F" w:rsidRDefault="00542C6F" w:rsidP="00542C6F">
      <w:r w:rsidRPr="00542C6F">
        <w:t>These weights are equivalent to an effective 0.30 / 0.30 / 0.20 / 0.20 across exposure, conversion, condition, and quality (Section 12).</w:t>
      </w:r>
    </w:p>
    <w:p w14:paraId="77F9E68C" w14:textId="3A414F79" w:rsidR="00542C6F" w:rsidRPr="00542C6F" w:rsidRDefault="00542C6F" w:rsidP="00542C6F">
      <w:pPr>
        <w:rPr>
          <w:color w:val="EE0000"/>
        </w:rPr>
      </w:pPr>
      <w:r>
        <w:t>Full per-strand Nature results are given in Appendix X, Table X.4.</w:t>
      </w:r>
    </w:p>
    <w:p w14:paraId="6F84E1C5" w14:textId="7D2E0A3D" w:rsidR="00183FC8" w:rsidRDefault="00B50197">
      <w:pPr>
        <w:pStyle w:val="Heading3"/>
      </w:pPr>
      <w:bookmarkStart w:id="44" w:name="_Toc231372537"/>
      <w:r>
        <w:t>7.5</w:t>
      </w:r>
      <w:r>
        <w:tab/>
      </w:r>
      <w:r w:rsidR="00874DE9">
        <w:t>Combining pillars: the composite</w:t>
      </w:r>
      <w:bookmarkEnd w:id="44"/>
    </w:p>
    <w:p w14:paraId="57D647DD" w14:textId="08FE2E74" w:rsidR="00183FC8" w:rsidRDefault="00542C6F">
      <w:pPr>
        <w:rPr>
          <w:lang w:val="en-GB"/>
        </w:rPr>
      </w:pPr>
      <w:r w:rsidRPr="00542C6F">
        <w:rPr>
          <w:lang w:val="en-GB"/>
        </w:rPr>
        <w:t>The three pillar follow-up priorities combine into a single screening score by a flat equal-weight mean (</w:t>
      </w:r>
      <w:r>
        <w:rPr>
          <w:lang w:val="en-GB"/>
        </w:rPr>
        <w:t xml:space="preserve">Appendix E </w:t>
      </w:r>
      <w:r w:rsidRPr="00542C6F">
        <w:rPr>
          <w:lang w:val="en-GB"/>
        </w:rPr>
        <w:t>§4):</w:t>
      </w:r>
    </w:p>
    <w:p w14:paraId="75288489" w14:textId="70876F5A" w:rsidR="00542C6F" w:rsidRPr="00542C6F" w:rsidRDefault="00542C6F">
      <m:oMathPara>
        <m:oMath>
          <m:r>
            <m:rPr>
              <m:nor/>
            </m:rPr>
            <w:rPr>
              <w:rFonts w:ascii="Cambria Math" w:hAnsi="Cambria Math"/>
            </w:rPr>
            <m:t>Overall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Air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GHG</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m:t>
          </m:r>
          <m:r>
            <m:rPr>
              <m:nor/>
            </m:rPr>
            <w:rPr>
              <w:rFonts w:ascii="Cambria Math" w:hAnsi="Cambria Math"/>
            </w:rPr>
            <m:t>Nature</m:t>
          </m:r>
        </m:oMath>
      </m:oMathPara>
    </w:p>
    <w:p w14:paraId="0AA1FAC1" w14:textId="6F1BF348" w:rsidR="00542C6F" w:rsidRPr="00542C6F" w:rsidRDefault="00542C6F">
      <w:pPr>
        <w:rPr>
          <w:lang w:val="en-GB"/>
        </w:rPr>
      </w:pPr>
      <w:r w:rsidRPr="00542C6F">
        <w:rPr>
          <w:lang w:val="en-GB"/>
        </w:rPr>
        <w:t>Equal weights are the default</w:t>
      </w:r>
      <w:r>
        <w:rPr>
          <w:lang w:val="en-GB"/>
        </w:rPr>
        <w:t>. W</w:t>
      </w:r>
      <w:r w:rsidRPr="00542C6F">
        <w:rPr>
          <w:lang w:val="en-GB"/>
        </w:rPr>
        <w:t xml:space="preserve">ith no </w:t>
      </w:r>
      <w:r>
        <w:rPr>
          <w:lang w:val="en-GB"/>
        </w:rPr>
        <w:t>user-specific</w:t>
      </w:r>
      <w:r w:rsidRPr="00542C6F">
        <w:rPr>
          <w:lang w:val="en-GB"/>
        </w:rPr>
        <w:t xml:space="preserve"> basis for privileging one environmental theme over another at screening stage, equal weighting </w:t>
      </w:r>
      <w:r>
        <w:rPr>
          <w:lang w:val="en-GB"/>
        </w:rPr>
        <w:t>has been selected</w:t>
      </w:r>
      <w:r w:rsidRPr="00542C6F">
        <w:rPr>
          <w:lang w:val="en-GB"/>
        </w:rPr>
        <w:t>.</w:t>
      </w:r>
    </w:p>
    <w:p>
      <w:pPr>
        <w:jc w:val="center"/>
      </w:pPr>
      <w:r>
        <w:drawing>
          <wp:inline xmlns:a="http://schemas.openxmlformats.org/drawingml/2006/main" xmlns:pic="http://schemas.openxmlformats.org/drawingml/2006/picture">
            <wp:extent cx="5400000" cy="3483871"/>
            <wp:docPr id="25" name="Picture 25"/>
            <wp:cNvGraphicFramePr>
              <a:graphicFrameLocks noChangeAspect="1"/>
            </wp:cNvGraphicFramePr>
            <a:graphic>
              <a:graphicData uri="http://schemas.openxmlformats.org/drawingml/2006/picture">
                <pic:pic>
                  <pic:nvPicPr>
                    <pic:cNvPr id="0" name="fig_7b_pillar_signatures.png"/>
                    <pic:cNvPicPr/>
                  </pic:nvPicPr>
                  <pic:blipFill>
                    <a:blip r:embed="rId40"/>
                    <a:stretch>
                      <a:fillRect/>
                    </a:stretch>
                  </pic:blipFill>
                  <pic:spPr>
                    <a:xfrm>
                      <a:off x="0" y="0"/>
                      <a:ext cx="5400000" cy="3483871"/>
                    </a:xfrm>
                    <a:prstGeom prst="rect"/>
                  </pic:spPr>
                </pic:pic>
              </a:graphicData>
            </a:graphic>
          </wp:inline>
        </w:drawing>
      </w:r>
    </w:p>
    <w:p>
      <w:pPr>
        <w:pStyle w:val="Caption"/>
      </w:pPr>
      <w:r>
        <w:rPr>
          <w:i/>
        </w:rPr>
        <w:t>Figure 7.B: two suppliers with opposite risk signatures — an oil-and-gas field led by its GHG pillar, an iron-ore mine led by Nature — showing the pillars discriminate between fundamentally different harms. Source: Appendix X sweep.</w:t>
      </w:r>
    </w:p>
    <w:p w14:paraId="0CAC896E" w14:textId="3CAD22E6" w:rsidR="00874DE9" w:rsidRDefault="00874DE9" w:rsidP="00874DE9">
      <w:pPr>
        <w:pStyle w:val="Heading3"/>
      </w:pPr>
      <w:bookmarkStart w:id="45" w:name="_Toc231372540"/>
      <w:r>
        <w:t>7.</w:t>
      </w:r>
      <w:r w:rsidR="00B07332">
        <w:t>6</w:t>
      </w:r>
      <w:r>
        <w:tab/>
        <w:t>Graceful degradation (survivor-renormalise, CAMS fallback, strict-None)</w:t>
      </w:r>
      <w:bookmarkEnd w:id="45"/>
    </w:p>
    <w:p w14:paraId="49B0361C" w14:textId="4726450B" w:rsidR="00FC7AD9" w:rsidRPr="00FC7AD9" w:rsidRDefault="00FC7AD9" w:rsidP="00FC7AD9">
      <w:pPr>
        <w:rPr>
          <w:lang w:val="en-GB"/>
        </w:rPr>
      </w:pPr>
      <w:r w:rsidRPr="00FC7AD9">
        <w:rPr>
          <w:lang w:val="en-GB"/>
        </w:rPr>
        <w:t xml:space="preserve">A tool that quietly fills gaps with defaults </w:t>
      </w:r>
      <w:r w:rsidR="000B5023">
        <w:rPr>
          <w:lang w:val="en-GB"/>
        </w:rPr>
        <w:t>is misleading</w:t>
      </w:r>
      <w:r w:rsidRPr="00FC7AD9">
        <w:rPr>
          <w:lang w:val="en-GB"/>
        </w:rPr>
        <w:t xml:space="preserve"> worst</w:t>
      </w:r>
      <w:r w:rsidR="000B5023">
        <w:rPr>
          <w:lang w:val="en-GB"/>
        </w:rPr>
        <w:t>.</w:t>
      </w:r>
      <w:r w:rsidRPr="00FC7AD9">
        <w:rPr>
          <w:lang w:val="en-GB"/>
        </w:rPr>
        <w:t xml:space="preserve"> </w:t>
      </w:r>
      <w:r w:rsidR="000B5023">
        <w:rPr>
          <w:lang w:val="en-GB"/>
        </w:rPr>
        <w:t>This</w:t>
      </w:r>
      <w:r w:rsidRPr="00FC7AD9">
        <w:rPr>
          <w:lang w:val="en-GB"/>
        </w:rPr>
        <w:t xml:space="preserve"> engine never substitutes a default</w:t>
      </w:r>
      <w:r w:rsidR="000B5023">
        <w:rPr>
          <w:lang w:val="en-GB"/>
        </w:rPr>
        <w:t>;</w:t>
      </w:r>
      <w:r w:rsidRPr="00FC7AD9">
        <w:rPr>
          <w:lang w:val="en-GB"/>
        </w:rPr>
        <w:t xml:space="preserve"> a failed indicator is set to None, recorded in a failures list, and handled by one of </w:t>
      </w:r>
      <w:r w:rsidR="00E413DE">
        <w:rPr>
          <w:lang w:val="en-GB"/>
        </w:rPr>
        <w:t>several</w:t>
      </w:r>
      <w:r w:rsidRPr="00FC7AD9">
        <w:rPr>
          <w:lang w:val="en-GB"/>
        </w:rPr>
        <w:t xml:space="preserve"> mechanisms sharing one philosophy</w:t>
      </w:r>
      <w:r w:rsidR="000B5023">
        <w:rPr>
          <w:lang w:val="en-GB"/>
        </w:rPr>
        <w:t xml:space="preserve">: </w:t>
      </w:r>
      <w:r w:rsidRPr="00FC7AD9">
        <w:rPr>
          <w:lang w:val="en-GB"/>
        </w:rPr>
        <w:t>degrade rather than fabricate.</w:t>
      </w:r>
    </w:p>
    <w:p w14:paraId="1D5A69B0" w14:textId="77777777" w:rsidR="000B5023" w:rsidRDefault="00FC7AD9" w:rsidP="000B5023">
      <w:pPr>
        <w:pStyle w:val="ListParagraph"/>
        <w:numPr>
          <w:ilvl w:val="0"/>
          <w:numId w:val="17"/>
        </w:numPr>
        <w:rPr>
          <w:lang w:val="en-GB"/>
        </w:rPr>
      </w:pPr>
      <w:r w:rsidRPr="000B5023">
        <w:rPr>
          <w:lang w:val="en-GB"/>
        </w:rPr>
        <w:t xml:space="preserve">Survivor renormalisation (Section 7.5) drops missing indicators and rescales surviving weights to sum to one. </w:t>
      </w:r>
    </w:p>
    <w:p w14:paraId="3F72585D" w14:textId="309555B6" w:rsidR="00874DE9" w:rsidRPr="000B5023" w:rsidRDefault="00FC7AD9" w:rsidP="000B5023">
      <w:pPr>
        <w:pStyle w:val="ListParagraph"/>
        <w:numPr>
          <w:ilvl w:val="0"/>
          <w:numId w:val="17"/>
        </w:numPr>
        <w:rPr>
          <w:lang w:val="en-GB"/>
        </w:rPr>
      </w:pPr>
      <w:r w:rsidRPr="000B5023">
        <w:rPr>
          <w:lang w:val="en-GB"/>
        </w:rPr>
        <w:t>Strict-None propagation carries a missing input through as None, never a zero, via a weighted sum that refuses a partial result:</w:t>
      </w:r>
    </w:p>
    <w:tbl>
      <w:tblPr>
        <w:tblStyle w:val="TableGrid"/>
        <w:tblW w:w="0" w:type="auto"/>
        <w:tblLook w:val="04A0" w:firstRow="1" w:lastRow="0" w:firstColumn="1" w:lastColumn="0" w:noHBand="0" w:noVBand="1"/>
      </w:tblPr>
      <w:tblGrid>
        <w:gridCol w:w="9060"/>
      </w:tblGrid>
      <w:tr w:rsidR="00FC7AD9" w14:paraId="1FA92E52" w14:textId="77777777" w:rsidTr="00896939">
        <w:tc>
          <w:tcPr>
            <w:tcW w:w="9060" w:type="dxa"/>
          </w:tcPr>
          <w:p w14:paraId="6EBD3F50"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def </w:t>
            </w:r>
            <w:r w:rsidRPr="00E413DE">
              <w:rPr>
                <w:rFonts w:ascii="Consolas" w:hAnsi="Consolas" w:cs="Consolas"/>
                <w:color w:val="000000" w:themeColor="text1"/>
                <w:sz w:val="20"/>
                <w:szCs w:val="20"/>
              </w:rPr>
              <w:t>_weighted_sum_strict(payload, weights):</w:t>
            </w:r>
          </w:p>
          <w:p w14:paraId="6D32C417"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total = 0.0</w:t>
            </w:r>
          </w:p>
          <w:p w14:paraId="4F99931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for </w:t>
            </w:r>
            <w:r w:rsidRPr="00E413DE">
              <w:rPr>
                <w:rFonts w:ascii="Consolas" w:hAnsi="Consolas" w:cs="Consolas"/>
                <w:color w:val="000000" w:themeColor="text1"/>
                <w:sz w:val="20"/>
                <w:szCs w:val="20"/>
              </w:rPr>
              <w:t xml:space="preserve">key, weight </w:t>
            </w:r>
            <w:r w:rsidRPr="00E413DE">
              <w:rPr>
                <w:rFonts w:ascii="Consolas" w:hAnsi="Consolas" w:cs="Consolas"/>
                <w:color w:val="7030A0"/>
                <w:sz w:val="20"/>
                <w:szCs w:val="20"/>
              </w:rPr>
              <w:t xml:space="preserve">in </w:t>
            </w:r>
            <w:r w:rsidRPr="00E413DE">
              <w:rPr>
                <w:rFonts w:ascii="Consolas" w:hAnsi="Consolas" w:cs="Consolas"/>
                <w:color w:val="000000" w:themeColor="text1"/>
                <w:sz w:val="20"/>
                <w:szCs w:val="20"/>
              </w:rPr>
              <w:t>weights.items():</w:t>
            </w:r>
          </w:p>
          <w:p w14:paraId="51AC2F52"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000000" w:themeColor="text1"/>
                <w:sz w:val="20"/>
                <w:szCs w:val="20"/>
              </w:rPr>
              <w:t xml:space="preserve">        value = payload.get(key)</w:t>
            </w:r>
          </w:p>
          <w:p w14:paraId="55A03A73"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if </w:t>
            </w:r>
            <w:r w:rsidRPr="00E413DE">
              <w:rPr>
                <w:rFonts w:ascii="Consolas" w:hAnsi="Consolas" w:cs="Consolas"/>
                <w:color w:val="000000" w:themeColor="text1"/>
                <w:sz w:val="20"/>
                <w:szCs w:val="20"/>
              </w:rPr>
              <w:t xml:space="preserve">value </w:t>
            </w:r>
            <w:r w:rsidRPr="00E413DE">
              <w:rPr>
                <w:rFonts w:ascii="Consolas" w:hAnsi="Consolas" w:cs="Consolas"/>
                <w:color w:val="7030A0"/>
                <w:sz w:val="20"/>
                <w:szCs w:val="20"/>
              </w:rPr>
              <w:t xml:space="preserve">is </w:t>
            </w:r>
            <w:r w:rsidRPr="00E413DE">
              <w:rPr>
                <w:rFonts w:ascii="Consolas" w:hAnsi="Consolas" w:cs="Consolas"/>
                <w:color w:val="000000" w:themeColor="text1"/>
                <w:sz w:val="20"/>
                <w:szCs w:val="20"/>
              </w:rPr>
              <w:t>None:</w:t>
            </w:r>
          </w:p>
          <w:p w14:paraId="7EEF2990" w14:textId="77777777" w:rsidR="00E413DE" w:rsidRPr="00E413DE" w:rsidRDefault="00E413DE" w:rsidP="00E413DE">
            <w:pPr>
              <w:jc w:val="left"/>
              <w:rPr>
                <w:rFonts w:ascii="Consolas" w:hAnsi="Consolas" w:cs="Consolas"/>
                <w:color w:val="808080" w:themeColor="background1" w:themeShade="80"/>
                <w:sz w:val="20"/>
                <w:szCs w:val="20"/>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 xml:space="preserve">None  </w:t>
            </w:r>
            <w:r w:rsidRPr="00E413DE">
              <w:rPr>
                <w:rFonts w:ascii="Consolas" w:hAnsi="Consolas" w:cs="Consolas"/>
                <w:color w:val="808080" w:themeColor="background1" w:themeShade="80"/>
                <w:sz w:val="20"/>
                <w:szCs w:val="20"/>
              </w:rPr>
              <w:t># never fabricate a partial result from incomplete inputs</w:t>
            </w:r>
          </w:p>
          <w:p w14:paraId="381A66B5" w14:textId="77777777" w:rsidR="00E413DE" w:rsidRPr="00E413DE" w:rsidRDefault="00E413DE" w:rsidP="00E413DE">
            <w:pPr>
              <w:jc w:val="left"/>
              <w:rPr>
                <w:rFonts w:ascii="Consolas" w:hAnsi="Consolas" w:cs="Consolas"/>
                <w:color w:val="000000" w:themeColor="text1"/>
                <w:sz w:val="20"/>
                <w:szCs w:val="20"/>
              </w:rPr>
            </w:pPr>
            <w:r w:rsidRPr="00E413DE">
              <w:rPr>
                <w:rFonts w:ascii="Consolas" w:hAnsi="Consolas" w:cs="Consolas"/>
                <w:color w:val="7030A0"/>
                <w:sz w:val="20"/>
                <w:szCs w:val="20"/>
              </w:rPr>
              <w:t xml:space="preserve">        </w:t>
            </w:r>
            <w:r w:rsidRPr="00E413DE">
              <w:rPr>
                <w:rFonts w:ascii="Consolas" w:hAnsi="Consolas" w:cs="Consolas"/>
                <w:color w:val="000000" w:themeColor="text1"/>
                <w:sz w:val="20"/>
                <w:szCs w:val="20"/>
              </w:rPr>
              <w:t>total += weight * value</w:t>
            </w:r>
          </w:p>
          <w:p w14:paraId="22E754B3" w14:textId="67E30F15" w:rsidR="00FC7AD9" w:rsidRDefault="00E413DE" w:rsidP="00E413DE">
            <w:pPr>
              <w:jc w:val="left"/>
              <w:rPr>
                <w:color w:val="000000" w:themeColor="text1"/>
              </w:rPr>
            </w:pPr>
            <w:r w:rsidRPr="00E413DE">
              <w:rPr>
                <w:rFonts w:ascii="Consolas" w:hAnsi="Consolas" w:cs="Consolas"/>
                <w:color w:val="7030A0"/>
                <w:sz w:val="20"/>
                <w:szCs w:val="20"/>
              </w:rPr>
              <w:t xml:space="preserve">    return </w:t>
            </w:r>
            <w:r w:rsidRPr="00E413DE">
              <w:rPr>
                <w:rFonts w:ascii="Consolas" w:hAnsi="Consolas" w:cs="Consolas"/>
                <w:color w:val="000000" w:themeColor="text1"/>
                <w:sz w:val="20"/>
                <w:szCs w:val="20"/>
              </w:rPr>
              <w:t>total</w:t>
            </w:r>
          </w:p>
        </w:tc>
      </w:tr>
    </w:tbl>
    <w:p w14:paraId="2D08F9EA" w14:textId="77777777" w:rsidR="00E413DE" w:rsidRDefault="00E413DE" w:rsidP="00E413DE">
      <w:pPr>
        <w:pStyle w:val="ListParagraph"/>
        <w:numPr>
          <w:ilvl w:val="0"/>
          <w:numId w:val="17"/>
        </w:numPr>
        <w:rPr>
          <w:lang w:val="en-IT"/>
        </w:rPr>
      </w:pPr>
      <w:r w:rsidRPr="00E413DE">
        <w:rPr>
          <w:lang w:val="en-IT"/>
        </w:rPr>
        <w:t>Two further fallbacks handle specific physical situations:</w:t>
      </w:r>
    </w:p>
    <w:p w14:paraId="738ACEA4" w14:textId="765FD8B1" w:rsidR="00E413DE" w:rsidRDefault="00E413DE" w:rsidP="00E413DE">
      <w:pPr>
        <w:pStyle w:val="ListParagraph"/>
        <w:numPr>
          <w:ilvl w:val="1"/>
          <w:numId w:val="17"/>
        </w:numPr>
        <w:rPr>
          <w:lang w:val="en-IT"/>
        </w:rPr>
      </w:pPr>
      <w:r w:rsidRPr="00E413DE">
        <w:rPr>
          <w:b/>
          <w:bCs/>
          <w:lang w:val="en-IT"/>
        </w:rPr>
        <w:t>Cloudy areas</w:t>
      </w:r>
      <w:r>
        <w:rPr>
          <w:b/>
          <w:bCs/>
          <w:lang w:val="en-IT"/>
        </w:rPr>
        <w:t xml:space="preserve">: </w:t>
      </w:r>
      <w:r w:rsidRPr="00E413DE">
        <w:rPr>
          <w:b/>
          <w:bCs/>
          <w:lang w:val="en-IT"/>
        </w:rPr>
        <w:t>the CAMS particulate fallback.</w:t>
      </w:r>
      <w:r w:rsidRPr="00E413DE">
        <w:rPr>
          <w:lang w:val="en-IT"/>
        </w:rPr>
        <w:t xml:space="preserve"> Optical satellite retrievals fail under cloud, thinning valid coverage. Where the modelled particulate field has too little valid coverage in the buffer to trust, the particulate score falls back to </w:t>
      </w:r>
      <w:r w:rsidRPr="00E413DE">
        <w:rPr>
          <w:lang w:val="en-IT"/>
        </w:rPr>
        <w:lastRenderedPageBreak/>
        <w:t>the absorbing-aerosol index alone rather than reporting on near-empty data (Section 6.3).</w:t>
      </w:r>
    </w:p>
    <w:p w14:paraId="7E641D8E" w14:textId="3D53E390" w:rsidR="00E413DE" w:rsidRPr="00E413DE" w:rsidRDefault="00E413DE" w:rsidP="00E413DE">
      <w:pPr>
        <w:pStyle w:val="ListParagraph"/>
        <w:numPr>
          <w:ilvl w:val="1"/>
          <w:numId w:val="17"/>
        </w:numPr>
        <w:rPr>
          <w:lang w:val="en-IT"/>
        </w:rPr>
      </w:pPr>
      <w:r w:rsidRPr="00E413DE">
        <w:rPr>
          <w:b/>
          <w:bCs/>
          <w:lang w:val="en-IT"/>
        </w:rPr>
        <w:t>Coastal and data-sparse area</w:t>
      </w:r>
      <w:r>
        <w:rPr>
          <w:b/>
          <w:bCs/>
          <w:lang w:val="en-IT"/>
        </w:rPr>
        <w:t>:</w:t>
      </w:r>
      <w:r w:rsidRPr="00E413DE">
        <w:rPr>
          <w:b/>
          <w:bCs/>
          <w:lang w:val="en-IT"/>
        </w:rPr>
        <w:t xml:space="preserve"> the climatology fallback.</w:t>
      </w:r>
      <w:r w:rsidRPr="00E413DE">
        <w:rPr>
          <w:lang w:val="en-IT"/>
        </w:rPr>
        <w:t xml:space="preserve"> Where a site's own background ring is too sparse to form a stable local baseline</w:t>
      </w:r>
      <w:r>
        <w:rPr>
          <w:lang w:val="en-IT"/>
        </w:rPr>
        <w:t xml:space="preserve"> - </w:t>
      </w:r>
      <w:r w:rsidRPr="00E413DE">
        <w:rPr>
          <w:lang w:val="en-IT"/>
        </w:rPr>
        <w:t>a coastal buffer half over water, or an area with few valid observations</w:t>
      </w:r>
      <w:r>
        <w:rPr>
          <w:lang w:val="en-IT"/>
        </w:rPr>
        <w:t xml:space="preserve"> - </w:t>
      </w:r>
      <w:r w:rsidRPr="00E413DE">
        <w:rPr>
          <w:lang w:val="en-IT"/>
        </w:rPr>
        <w:t>the engine falls back to a climatological background (a longer-run norm for that location) in place of the in-window ring statistics, so a site on a coastline or in a thin-data region is still scored against a meaningful reference rather than dropped.</w:t>
      </w:r>
    </w:p>
    <w:p w14:paraId="6F0313F4" w14:textId="06A0F655" w:rsidR="00FC7AD9" w:rsidRDefault="00FC7AD9" w:rsidP="00FC7AD9">
      <w:pPr/>
      <w:r>
        <w:t>Full degradation results are given in Appendix X, Table X.6.</w:t>
      </w:r>
    </w:p>
    <w:p w14:paraId="3BEDDA08" w14:textId="54F49805" w:rsidR="00B07332" w:rsidRDefault="00B07332" w:rsidP="00B07332">
      <w:pPr>
        <w:pStyle w:val="Heading3"/>
      </w:pPr>
      <w:bookmarkStart w:id="46" w:name="_Toc231372538"/>
      <w:r>
        <w:t>7.</w:t>
      </w:r>
      <w:r>
        <w:t>7</w:t>
      </w:r>
      <w:r>
        <w:tab/>
        <w:t>Confidence</w:t>
      </w:r>
      <w:bookmarkEnd w:id="46"/>
    </w:p>
    <w:p w14:paraId="1670716F" w14:textId="1E248674" w:rsidR="007C2F07" w:rsidRPr="007C2F07" w:rsidRDefault="007C2F07" w:rsidP="007C2F07">
      <w:pPr>
        <w:rPr>
          <w:lang w:val="en-GB" w:eastAsia="en-US"/>
        </w:rPr>
      </w:pPr>
      <w:r w:rsidRPr="007C2F07">
        <w:rPr>
          <w:lang w:val="en-GB" w:eastAsia="en-US"/>
        </w:rPr>
        <w:t>The tool computes a second</w:t>
      </w:r>
      <w:r>
        <w:rPr>
          <w:lang w:val="en-GB" w:eastAsia="en-US"/>
        </w:rPr>
        <w:t xml:space="preserve"> </w:t>
      </w:r>
      <w:r w:rsidRPr="007C2F07">
        <w:rPr>
          <w:lang w:val="en-GB" w:eastAsia="en-US"/>
        </w:rPr>
        <w:t>quantity for every indicator</w:t>
      </w:r>
      <w:r>
        <w:rPr>
          <w:lang w:val="en-GB" w:eastAsia="en-US"/>
        </w:rPr>
        <w:t xml:space="preserve">: </w:t>
      </w:r>
      <w:r w:rsidRPr="007C2F07">
        <w:rPr>
          <w:lang w:val="en-GB" w:eastAsia="en-US"/>
        </w:rPr>
        <w:t>a 0</w:t>
      </w:r>
      <w:r>
        <w:rPr>
          <w:lang w:val="en-GB" w:eastAsia="en-US"/>
        </w:rPr>
        <w:t>-</w:t>
      </w:r>
      <w:r w:rsidRPr="007C2F07">
        <w:rPr>
          <w:lang w:val="en-GB" w:eastAsia="en-US"/>
        </w:rPr>
        <w:t>1 confidenc</w:t>
      </w:r>
      <w:r>
        <w:rPr>
          <w:lang w:val="en-GB" w:eastAsia="en-US"/>
        </w:rPr>
        <w:t>e</w:t>
      </w:r>
      <w:r w:rsidRPr="007C2F07">
        <w:rPr>
          <w:lang w:val="en-GB" w:eastAsia="en-US"/>
        </w:rPr>
        <w:t xml:space="preserve">. It records the observational quality of the evidence, leaving </w:t>
      </w:r>
      <w:r>
        <w:rPr>
          <w:lang w:val="en-GB" w:eastAsia="en-US"/>
        </w:rPr>
        <w:t xml:space="preserve">most of </w:t>
      </w:r>
      <w:r w:rsidRPr="007C2F07">
        <w:rPr>
          <w:lang w:val="en-GB" w:eastAsia="en-US"/>
        </w:rPr>
        <w:t>the interpretive judgement to the score.</w:t>
      </w:r>
    </w:p>
    <w:p w14:paraId="6FF8840F" w14:textId="074ED377" w:rsidR="007C2F07" w:rsidRDefault="007C2F07" w:rsidP="007C2F07">
      <w:pPr>
        <w:rPr>
          <w:lang w:val="en-GB" w:eastAsia="en-US"/>
        </w:rPr>
      </w:pPr>
      <w:r w:rsidRPr="007C2F07">
        <w:rPr>
          <w:lang w:val="en-GB" w:eastAsia="en-US"/>
        </w:rPr>
        <w:t>Confidence is built in two stages. A raw confidence combines four observational terms, each on</w:t>
      </w:r>
      <w:r>
        <w:rPr>
          <w:lang w:val="en-GB" w:eastAsia="en-US"/>
        </w:rPr>
        <w:t xml:space="preserve"> </w:t>
      </w:r>
      <w:r w:rsidRPr="007C2F07">
        <w:rPr>
          <w:lang w:val="en-GB" w:eastAsia="en-US"/>
        </w:rPr>
        <w:t>[0,1]:</w:t>
      </w:r>
    </w:p>
    <w:p w14:paraId="5998981D" w14:textId="7AA9C761" w:rsidR="004F5E5E" w:rsidRPr="004F5E5E" w:rsidRDefault="004F5E5E" w:rsidP="007C2F07">
      <m:oMathPara>
        <m:oMath>
          <m:sSub>
            <m:sSubPr>
              <m:ctrlPr>
                <w:rPr>
                  <w:rFonts w:ascii="Cambria Math" w:hAnsi="Cambria Math"/>
                </w:rPr>
              </m:ctrlPr>
            </m:sSubPr>
            <m:e>
              <m:r>
                <w:rPr>
                  <w:rFonts w:ascii="Cambria Math" w:hAnsi="Cambria Math"/>
                </w:rPr>
                <m:t>c</m:t>
              </m:r>
            </m:e>
            <m:sub>
              <m:r>
                <m:rPr>
                  <m:nor/>
                </m:rPr>
                <w:rPr>
                  <w:rFonts w:ascii="Cambria Math" w:hAnsi="Cambria Math"/>
                </w:rPr>
                <m:t>raw</m:t>
              </m:r>
            </m:sub>
          </m:sSub>
          <m:r>
            <w:rPr>
              <w:rFonts w:ascii="Cambria Math" w:hAnsi="Cambria Math"/>
            </w:rPr>
            <m:t>=0.30 </m:t>
          </m:r>
          <m:r>
            <m:rPr>
              <m:nor/>
            </m:rPr>
            <w:rPr>
              <w:rFonts w:ascii="Cambria Math" w:hAnsi="Cambria Math"/>
            </w:rPr>
            <m:t>QA</m:t>
          </m:r>
          <m:r>
            <w:rPr>
              <w:rFonts w:ascii="Cambria Math" w:hAnsi="Cambria Math"/>
            </w:rPr>
            <m:t>+0.30 </m:t>
          </m:r>
          <m:sSub>
            <m:sSubPr>
              <m:ctrlPr>
                <w:rPr>
                  <w:rFonts w:ascii="Cambria Math" w:hAnsi="Cambria Math"/>
                </w:rPr>
              </m:ctrlPr>
            </m:sSubPr>
            <m:e>
              <m:r>
                <w:rPr>
                  <w:rFonts w:ascii="Cambria Math" w:hAnsi="Cambria Math"/>
                </w:rPr>
                <m:t>N</m:t>
              </m:r>
            </m:e>
            <m:sub>
              <m:r>
                <m:rPr>
                  <m:nor/>
                </m:rPr>
                <w:rPr>
                  <w:rFonts w:ascii="Cambria Math" w:hAnsi="Cambria Math"/>
                </w:rPr>
                <m:t>valid</m:t>
              </m:r>
            </m:sub>
          </m:sSub>
          <m:r>
            <w:rPr>
              <w:rFonts w:ascii="Cambria Math" w:hAnsi="Cambria Math"/>
            </w:rPr>
            <m:t>+0.25 </m:t>
          </m:r>
          <m:r>
            <m:rPr>
              <m:nor/>
            </m:rPr>
            <w:rPr>
              <w:rFonts w:ascii="Cambria Math" w:hAnsi="Cambria Math"/>
            </w:rPr>
            <m:t>anomaly strength</m:t>
          </m:r>
          <m:r>
            <w:rPr>
              <w:rFonts w:ascii="Cambria Math" w:hAnsi="Cambria Math"/>
            </w:rPr>
            <m:t>+0.15 </m:t>
          </m:r>
          <m:r>
            <m:rPr>
              <m:nor/>
            </m:rPr>
            <w:rPr>
              <w:rFonts w:ascii="Cambria Math" w:hAnsi="Cambria Math"/>
            </w:rPr>
            <m:t>spatial context</m:t>
          </m:r>
        </m:oMath>
      </m:oMathPara>
    </w:p>
    <w:p w14:paraId="4153DD19" w14:textId="77777777" w:rsidR="004F5E5E" w:rsidRDefault="007C2F07" w:rsidP="007C2F07">
      <w:pPr>
        <w:rPr>
          <w:lang w:val="en-GB" w:eastAsia="en-US"/>
        </w:rPr>
      </w:pPr>
      <w:r w:rsidRPr="007C2F07">
        <w:rPr>
          <w:lang w:val="en-GB" w:eastAsia="en-US"/>
        </w:rPr>
        <w:t xml:space="preserve">The four terms ask complementary questions. </w:t>
      </w:r>
    </w:p>
    <w:p w14:paraId="5C1CB777" w14:textId="77777777" w:rsidR="004F5E5E" w:rsidRPr="004F5E5E" w:rsidRDefault="004F5E5E" w:rsidP="004F5E5E">
      <w:pPr>
        <w:pStyle w:val="ListParagraph"/>
        <w:numPr>
          <w:ilvl w:val="0"/>
          <w:numId w:val="21"/>
        </w:numPr>
      </w:pPr>
      <m:oMath>
        <m:r>
          <w:rPr>
            <w:rFonts w:ascii="Cambria Math" w:hAnsi="Cambria Math"/>
          </w:rPr>
          <m:t>QA</m:t>
        </m:r>
      </m:oMath>
      <w:r w:rsidR="007C2F07" w:rsidRPr="004F5E5E">
        <w:rPr>
          <w:lang w:val="en-GB" w:eastAsia="en-US"/>
        </w:rPr>
        <w:t xml:space="preserve"> is the retrieval-quality of the satellite product, capturing how much an observation can be trusted before any site-specific reasoning.</w:t>
      </w:r>
    </w:p>
    <w:p w14:paraId="6A19AE0C" w14:textId="77777777" w:rsidR="004F5E5E" w:rsidRPr="004F5E5E" w:rsidRDefault="004F5E5E" w:rsidP="004F5E5E">
      <w:pPr>
        <w:pStyle w:val="ListParagraph"/>
        <w:numPr>
          <w:ilvl w:val="0"/>
          <w:numId w:val="21"/>
        </w:numPr>
      </w:pP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oMath>
      <w:r>
        <w:t xml:space="preserve"> </w:t>
      </w:r>
      <w:r w:rsidR="007C2F07" w:rsidRPr="004F5E5E">
        <w:rPr>
          <w:lang w:val="en-GB" w:eastAsia="en-US"/>
        </w:rPr>
        <w:t xml:space="preserve">is the number of usable observations </w:t>
      </w:r>
      <w:r w:rsidRPr="004F5E5E">
        <w:rPr>
          <w:lang w:val="en-GB" w:eastAsia="en-US"/>
        </w:rPr>
        <w:t>collected</w:t>
      </w:r>
      <w:r w:rsidR="007C2F07" w:rsidRPr="004F5E5E">
        <w:rPr>
          <w:lang w:val="en-GB" w:eastAsia="en-US"/>
        </w:rPr>
        <w:t xml:space="preserve"> divided by the number expected for the window, so a cloud-thinned or sparsely-</w:t>
      </w:r>
      <w:r w:rsidRPr="004F5E5E">
        <w:rPr>
          <w:lang w:val="en-GB" w:eastAsia="en-US"/>
        </w:rPr>
        <w:t>visited</w:t>
      </w:r>
      <w:r w:rsidR="007C2F07" w:rsidRPr="004F5E5E">
        <w:rPr>
          <w:lang w:val="en-GB" w:eastAsia="en-US"/>
        </w:rPr>
        <w:t xml:space="preserve"> window is penalised for thin evidence rather than averaged. </w:t>
      </w:r>
    </w:p>
    <w:p w14:paraId="6B425013" w14:textId="77777777" w:rsidR="004F5E5E" w:rsidRPr="004F5E5E" w:rsidRDefault="004F5E5E" w:rsidP="004F5E5E">
      <w:pPr>
        <w:pStyle w:val="ListParagraph"/>
        <w:numPr>
          <w:ilvl w:val="0"/>
          <w:numId w:val="21"/>
        </w:numPr>
      </w:pPr>
      <m:oMath>
        <m:r>
          <m:rPr>
            <m:nor/>
          </m:rPr>
          <w:rPr>
            <w:rFonts w:ascii="Cambria Math" w:hAnsi="Cambria Math"/>
          </w:rPr>
          <m:t>Anomaly</m:t>
        </m:r>
        <m:r>
          <m:rPr>
            <m:nor/>
          </m:rPr>
          <w:rPr>
            <w:rFonts w:ascii="Cambria Math" w:hAnsi="Cambria Math"/>
          </w:rPr>
          <m:t xml:space="preserve"> </m:t>
        </m:r>
        <m:r>
          <m:rPr>
            <m:nor/>
          </m:rPr>
          <w:rPr>
            <w:rFonts w:ascii="Cambria Math" w:hAnsi="Cambria Math"/>
          </w:rPr>
          <m:t>strength</m:t>
        </m:r>
      </m:oMath>
      <w:r>
        <w:t xml:space="preserve"> </w:t>
      </w:r>
      <w:r w:rsidR="007C2F07" w:rsidRPr="004F5E5E">
        <w:rPr>
          <w:lang w:val="en-GB" w:eastAsia="en-US"/>
        </w:rPr>
        <w:t xml:space="preserve">reuses the hotspot frequency, rewarding a signal that recurs across dates over one that appears once and vanishes. </w:t>
      </w:r>
    </w:p>
    <w:p w14:paraId="522A6784" w14:textId="31BAD1F0" w:rsidR="007C2F07" w:rsidRPr="004F5E5E" w:rsidRDefault="007C2F07" w:rsidP="004F5E5E">
      <w:pPr>
        <w:pStyle w:val="ListParagraph"/>
        <w:numPr>
          <w:ilvl w:val="0"/>
          <w:numId w:val="21"/>
        </w:numPr>
      </w:pPr>
      <w:r w:rsidRPr="004F5E5E">
        <w:rPr>
          <w:lang w:val="en-GB" w:eastAsia="en-US"/>
        </w:rPr>
        <w:t>Spatial context checks that the site buffer spans enough native pixels to be resolved at all, penalising a buffer smaller than the sensor's own footprint</w:t>
      </w:r>
      <w:r w:rsidR="004F5E5E">
        <w:rPr>
          <w:lang w:val="en-GB" w:eastAsia="en-US"/>
        </w:rPr>
        <w:t>.</w:t>
      </w:r>
    </w:p>
    <w:p w14:paraId="72D8D78A" w14:textId="76EE495A" w:rsidR="00A16875" w:rsidRDefault="007C2F07" w:rsidP="007C2F07">
      <w:pPr>
        <w:rPr>
          <w:lang w:val="en-GB" w:eastAsia="en-US"/>
        </w:rPr>
      </w:pPr>
      <w:r w:rsidRPr="007C2F07">
        <w:rPr>
          <w:lang w:val="en-GB" w:eastAsia="en-US"/>
        </w:rPr>
        <w:t>The raw confidence is then adjusted by two multiplicative factors that down-weight</w:t>
      </w:r>
      <w:r w:rsidR="004F5E5E">
        <w:rPr>
          <w:lang w:val="en-GB" w:eastAsia="en-US"/>
        </w:rPr>
        <w:t xml:space="preserve"> </w:t>
      </w:r>
      <w:r w:rsidRPr="007C2F07">
        <w:rPr>
          <w:lang w:val="en-GB" w:eastAsia="en-US"/>
        </w:rPr>
        <w:t>evidence the tool can still use but should trust less:</w:t>
      </w:r>
    </w:p>
    <w:p w14:paraId="3B538E7B" w14:textId="74873181" w:rsidR="00A16875" w:rsidRPr="00A16875" w:rsidRDefault="00A16875" w:rsidP="007C2F07">
      <m:oMathPara>
        <m:oMath>
          <m:sSub>
            <m:sSubPr>
              <m:ctrlPr>
                <w:rPr>
                  <w:rFonts w:ascii="Cambria Math" w:hAnsi="Cambria Math"/>
                </w:rPr>
              </m:ctrlPr>
            </m:sSubPr>
            <m:e>
              <m:r>
                <w:rPr>
                  <w:rFonts w:ascii="Cambria Math" w:hAnsi="Cambria Math"/>
                </w:rPr>
                <m:t>c</m:t>
              </m:r>
            </m:e>
            <m:sub>
              <m:r>
                <m:rPr>
                  <m:nor/>
                </m:rPr>
                <w:rPr>
                  <w:rFonts w:ascii="Cambria Math" w:hAnsi="Cambria Math"/>
                </w:rPr>
                <m:t>final</m:t>
              </m:r>
            </m:sub>
          </m:sSub>
          <m:r>
            <w:rPr>
              <w:rFonts w:ascii="Cambria Math" w:hAnsi="Cambria Math"/>
            </w:rPr>
            <m:t>=</m:t>
          </m:r>
          <m:sSub>
            <m:sSubPr>
              <m:ctrlPr>
                <w:rPr>
                  <w:rFonts w:ascii="Cambria Math" w:hAnsi="Cambria Math"/>
                </w:rPr>
              </m:ctrlPr>
            </m:sSubPr>
            <m:e>
              <m:r>
                <w:rPr>
                  <w:rFonts w:ascii="Cambria Math" w:hAnsi="Cambria Math"/>
                </w:rPr>
                <m:t>c</m:t>
              </m:r>
            </m:e>
            <m:sub>
              <m:r>
                <m:rPr>
                  <m:nor/>
                </m:rPr>
                <w:rPr>
                  <w:rFonts w:ascii="Cambria Math" w:hAnsi="Cambria Math"/>
                </w:rPr>
                <m:t>raw</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m</m:t>
                  </m:r>
                </m:e>
                <m:sub>
                  <m:r>
                    <m:rPr>
                      <m:nor/>
                    </m:rPr>
                    <w:rPr>
                      <w:rFonts w:ascii="Cambria Math" w:hAnsi="Cambria Math"/>
                    </w:rPr>
                    <m:t>fallback</m:t>
                  </m:r>
                </m:sub>
              </m:sSub>
              <m:r>
                <w:rPr>
                  <w:rFonts w:ascii="Cambria Math" w:hAnsi="Cambria Math"/>
                </w:rPr>
                <m:t> </m:t>
              </m:r>
            </m:e>
          </m:d>
        </m:oMath>
      </m:oMathPara>
    </w:p>
    <w:p w14:paraId="5AEBE859" w14:textId="0183139C" w:rsidR="007C2F07" w:rsidRPr="00A16875" w:rsidRDefault="007C2F07" w:rsidP="007C2F07">
      <w:pPr>
        <w:rPr>
          <w:lang w:val="en-GB" w:eastAsia="en-US"/>
        </w:rPr>
      </w:pPr>
      <w:r w:rsidRPr="007C2F07">
        <w:rPr>
          <w:lang w:val="en-GB" w:eastAsia="en-US"/>
        </w:rPr>
        <w:lastRenderedPageBreak/>
        <w:t>The column-to-surface multiplier</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col</m:t>
            </m:r>
            <m:r>
              <w:rPr>
                <w:rFonts w:ascii="Cambria Math" w:hAnsi="Cambria Math"/>
              </w:rPr>
              <m:t>→</m:t>
            </m:r>
            <m:r>
              <m:rPr>
                <m:nor/>
              </m:rPr>
              <w:rPr>
                <w:rFonts w:ascii="Cambria Math" w:hAnsi="Cambria Math"/>
              </w:rPr>
              <m:t>surf</m:t>
            </m:r>
          </m:sub>
        </m:sSub>
      </m:oMath>
      <w:r w:rsidR="004F5E5E">
        <w:t xml:space="preserve"> </w:t>
      </w:r>
      <w:r w:rsidRPr="007C2F07">
        <w:rPr>
          <w:lang w:val="en-GB" w:eastAsia="en-US"/>
        </w:rPr>
        <w:t>recognises that a satellite measures a column</w:t>
      </w:r>
      <w:r w:rsidR="004F5E5E">
        <w:rPr>
          <w:lang w:val="en-GB" w:eastAsia="en-US"/>
        </w:rPr>
        <w:t xml:space="preserve"> across the atmosphere</w:t>
      </w:r>
      <w:r w:rsidRPr="007C2F07">
        <w:rPr>
          <w:lang w:val="en-GB" w:eastAsia="en-US"/>
        </w:rPr>
        <w:t>, not a ground-level concentration</w:t>
      </w:r>
      <w:r w:rsidR="004F5E5E">
        <w:rPr>
          <w:lang w:val="en-GB" w:eastAsia="en-US"/>
        </w:rPr>
        <w:t>. In fact, s</w:t>
      </w:r>
      <w:r w:rsidRPr="007C2F07">
        <w:rPr>
          <w:lang w:val="en-GB" w:eastAsia="en-US"/>
        </w:rPr>
        <w:t xml:space="preserve">atellite instruments cannot observe near-surface concentrations directly and are limited to vertically integrated column densities, which are not directly comparable to in-situ surface measurements </w:t>
      </w:r>
      <w:r w:rsidR="004F5E5E">
        <w:rPr>
          <w:lang w:val="en-GB" w:eastAsia="en-US"/>
        </w:rPr>
        <w:t>(</w:t>
      </w:r>
      <w:r w:rsidRPr="007C2F07">
        <w:rPr>
          <w:lang w:val="en-GB" w:eastAsia="en-US"/>
        </w:rPr>
        <w:t>Zhang et al., 2025</w:t>
      </w:r>
      <w:r w:rsidR="004F5E5E">
        <w:rPr>
          <w:lang w:val="en-GB" w:eastAsia="en-US"/>
        </w:rPr>
        <w:t xml:space="preserve">). </w:t>
      </w:r>
      <w:r w:rsidR="004F5E5E">
        <w:rPr>
          <w:lang w:val="en-GB" w:eastAsia="en-US"/>
        </w:rPr>
        <w:t>This</w:t>
      </w:r>
      <w:r w:rsidR="004F5E5E" w:rsidRPr="007C2F07">
        <w:rPr>
          <w:lang w:val="en-GB" w:eastAsia="en-US"/>
        </w:rPr>
        <w:t xml:space="preserve"> column is a weaker surface proxy for some gases than others</w:t>
      </w:r>
      <w:r w:rsidR="004F5E5E">
        <w:rPr>
          <w:lang w:val="en-GB" w:eastAsia="en-US"/>
        </w:rPr>
        <w:t xml:space="preserve">; even </w:t>
      </w:r>
      <w:r w:rsidRPr="007C2F07">
        <w:rPr>
          <w:lang w:val="en-GB" w:eastAsia="en-US"/>
        </w:rPr>
        <w:t>for NO₂, where the relationship is comparatively strong, annual column and surface values correlate at only about</w:t>
      </w:r>
      <w:r w:rsidR="004F5E5E">
        <w:rPr>
          <w:lang w:val="en-GB" w:eastAsia="en-U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=0.66</m:t>
        </m:r>
      </m:oMath>
      <w:r w:rsidR="004F5E5E">
        <w:t xml:space="preserve"> (</w:t>
      </w:r>
      <w:r w:rsidRPr="007C2F07">
        <w:rPr>
          <w:lang w:val="en-GB" w:eastAsia="en-US"/>
        </w:rPr>
        <w:t>Goldberg et al., 2021</w:t>
      </w:r>
      <w:r w:rsidR="004F5E5E">
        <w:rPr>
          <w:lang w:val="en-GB" w:eastAsia="en-US"/>
        </w:rPr>
        <w:t>)</w:t>
      </w:r>
      <w:r w:rsidRPr="007C2F07">
        <w:rPr>
          <w:lang w:val="en-GB" w:eastAsia="en-US"/>
        </w:rPr>
        <w:t>. Longer-lived, more vertically-distributed gases such as CH₄ and CO are weaker surface proxies still, so the multiplier down-weights them relative to NO₂. The fallback penalty</w:t>
      </w:r>
      <w:r w:rsidR="004F5E5E">
        <w:rPr>
          <w:lang w:val="en-GB" w:eastAsia="en-US"/>
        </w:rPr>
        <w:t xml:space="preserve"> </w:t>
      </w:r>
      <m:oMath>
        <m:sSub>
          <m:sSubPr>
            <m:ctrlPr>
              <w:rPr>
                <w:rFonts w:ascii="Cambria Math" w:hAnsi="Cambria Math"/>
              </w:rPr>
            </m:ctrlPr>
          </m:sSubPr>
          <m:e>
            <m:r>
              <w:rPr>
                <w:rFonts w:ascii="Cambria Math" w:hAnsi="Cambria Math"/>
              </w:rPr>
              <m:t>m</m:t>
            </m:r>
          </m:e>
          <m:sub>
            <m:r>
              <m:rPr>
                <m:nor/>
              </m:rPr>
              <w:rPr>
                <w:rFonts w:ascii="Cambria Math" w:hAnsi="Cambria Math"/>
              </w:rPr>
              <m:t>fallback</m:t>
            </m:r>
          </m:sub>
        </m:sSub>
      </m:oMath>
      <w:r w:rsidR="00A16875">
        <w:t xml:space="preserve"> </w:t>
      </w:r>
      <w:r w:rsidRPr="007C2F07">
        <w:rPr>
          <w:lang w:val="en-GB" w:eastAsia="en-US"/>
        </w:rPr>
        <w:t>applies only when the engine has had to recover missing data from a same-period-previous-year or climatological substitute (</w:t>
      </w:r>
      <w:r w:rsidR="00A16875">
        <w:rPr>
          <w:lang w:val="en-GB" w:eastAsia="en-US"/>
        </w:rPr>
        <w:t>Section 7</w:t>
      </w:r>
      <w:r w:rsidRPr="007C2F07">
        <w:rPr>
          <w:lang w:val="en-GB" w:eastAsia="en-US"/>
        </w:rPr>
        <w:t>.</w:t>
      </w:r>
      <w:r w:rsidR="00A16875">
        <w:rPr>
          <w:lang w:val="en-GB" w:eastAsia="en-US"/>
        </w:rPr>
        <w:t>6</w:t>
      </w:r>
      <w:r w:rsidRPr="007C2F07">
        <w:rPr>
          <w:lang w:val="en-GB" w:eastAsia="en-US"/>
        </w:rPr>
        <w:t>)</w:t>
      </w:r>
      <w:r w:rsidR="00A16875">
        <w:rPr>
          <w:lang w:val="en-GB" w:eastAsia="en-US"/>
        </w:rPr>
        <w:t>. This is because</w:t>
      </w:r>
      <w:r w:rsidRPr="007C2F07">
        <w:rPr>
          <w:lang w:val="en-GB" w:eastAsia="en-US"/>
        </w:rPr>
        <w:t xml:space="preserve"> recovered evidence is real but indirect, and is multiplied by 0.60 or 0.75 accordingly.</w:t>
      </w:r>
    </w:p>
    <w:p w14:paraId="17AE03B3" w14:textId="243A7A1D" w:rsidR="00A16875" w:rsidRPr="00A16875" w:rsidRDefault="007C2F07" w:rsidP="007C2F07">
      <w:r w:rsidRPr="007C2F07">
        <w:rPr>
          <w:lang w:val="en-GB" w:eastAsia="en-US"/>
        </w:rPr>
        <w:t>Confidence aggregates upward by the same strict-None discipline as the scores (</w:t>
      </w:r>
      <w:r w:rsidR="00A16875">
        <w:rPr>
          <w:lang w:val="en-GB" w:eastAsia="en-US"/>
        </w:rPr>
        <w:t xml:space="preserve">Section </w:t>
      </w:r>
      <w:r w:rsidRPr="007C2F07">
        <w:rPr>
          <w:lang w:val="en-GB" w:eastAsia="en-US"/>
        </w:rPr>
        <w:t>7.</w:t>
      </w:r>
      <w:r w:rsidR="00A16875">
        <w:rPr>
          <w:lang w:val="en-GB" w:eastAsia="en-US"/>
        </w:rPr>
        <w:t>6</w:t>
      </w:r>
      <w:r w:rsidRPr="007C2F07">
        <w:rPr>
          <w:lang w:val="en-GB" w:eastAsia="en-US"/>
        </w:rPr>
        <w:t>)</w:t>
      </w:r>
      <w:r w:rsidR="00A16875">
        <w:rPr>
          <w:lang w:val="en-GB" w:eastAsia="en-US"/>
        </w:rPr>
        <w:t xml:space="preserve">. </w:t>
      </w:r>
      <w:r w:rsidRPr="007C2F07">
        <w:rPr>
          <w:lang w:val="en-GB" w:eastAsia="en-US"/>
        </w:rPr>
        <w:t xml:space="preserve">The pillar confidences then combine into a single figure by the minimum, </w:t>
      </w:r>
      <w:r w:rsidR="00A16875">
        <w:rPr>
          <w:lang w:val="en-GB" w:eastAsia="en-US"/>
        </w:rPr>
        <w:t>as a</w:t>
      </w:r>
      <w:r w:rsidRPr="007C2F07">
        <w:rPr>
          <w:lang w:val="en-GB" w:eastAsia="en-US"/>
        </w:rPr>
        <w:t xml:space="preserve"> site is only as well-observed as its worst-observed pillar</w:t>
      </w:r>
      <w:r w:rsidR="00A16875">
        <w:rPr>
          <w:lang w:val="en-GB" w:eastAsia="en-US"/>
        </w:rPr>
        <w:t>. This is reflected in t</w:t>
      </w:r>
      <w:r w:rsidRPr="007C2F07">
        <w:rPr>
          <w:lang w:val="en-GB" w:eastAsia="en-US"/>
        </w:rPr>
        <w:t>he headline confidence</w:t>
      </w:r>
      <w:r w:rsidR="00A16875">
        <w:rPr>
          <w:lang w:val="en-GB" w:eastAsia="en-US"/>
        </w:rPr>
        <w:t>:</w:t>
      </w:r>
      <w:r w:rsidR="00A16875">
        <w:rPr>
          <w:lang w:val="en-GB" w:eastAsia="en-US"/>
        </w:rPr>
        <w:br/>
      </w:r>
      <m:oMathPara>
        <m:oMath>
          <m:sSub>
            <m:sSubPr>
              <m:ctrlPr>
                <w:rPr>
                  <w:rFonts w:ascii="Cambria Math" w:hAnsi="Cambria Math"/>
                </w:rPr>
              </m:ctrlPr>
            </m:sSubPr>
            <m:e>
              <m:r>
                <w:rPr>
                  <w:rFonts w:ascii="Cambria Math" w:hAnsi="Cambria Math"/>
                </w:rPr>
                <m:t>c</m:t>
              </m:r>
            </m:e>
            <m:sub>
              <m:r>
                <m:rPr>
                  <m:nor/>
                </m:rPr>
                <w:rPr>
                  <w:rFonts w:ascii="Cambria Math" w:hAnsi="Cambria Math"/>
                </w:rPr>
                <m:t>composite</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rFonts w:ascii="Cambria Math" w:hAnsi="Cambria Math"/>
                        </w:rPr>
                        <m:t>air</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ghg</m:t>
                      </m:r>
                    </m:sub>
                  </m:sSub>
                  <m:r>
                    <w:rPr>
                      <w:rFonts w:ascii="Cambria Math" w:hAnsi="Cambria Math"/>
                    </w:rPr>
                    <m:t>, </m:t>
                  </m:r>
                  <m:sSub>
                    <m:sSubPr>
                      <m:ctrlPr>
                        <w:rPr>
                          <w:rFonts w:ascii="Cambria Math" w:hAnsi="Cambria Math"/>
                        </w:rPr>
                      </m:ctrlPr>
                    </m:sSubPr>
                    <m:e>
                      <m:r>
                        <w:rPr>
                          <w:rFonts w:ascii="Cambria Math" w:hAnsi="Cambria Math"/>
                        </w:rPr>
                        <m:t>c</m:t>
                      </m:r>
                    </m:e>
                    <m:sub>
                      <m:r>
                        <m:rPr>
                          <m:nor/>
                        </m:rPr>
                        <w:rPr>
                          <w:rFonts w:ascii="Cambria Math" w:hAnsi="Cambria Math"/>
                        </w:rPr>
                        <m:t>nature</m:t>
                      </m:r>
                    </m:sub>
                  </m:sSub>
                </m:e>
              </m:d>
            </m:e>
          </m:func>
        </m:oMath>
      </m:oMathPara>
    </w:p>
    <w:p w14:paraId="3CBFE9AD" w14:textId="4C857195" w:rsidR="007C2F07" w:rsidRDefault="007C2F07" w:rsidP="007C2F07">
      <w:pPr>
        <w:rPr>
          <w:lang w:val="en-GB" w:eastAsia="en-US"/>
        </w:rPr>
      </w:pPr>
      <w:r w:rsidRPr="007C2F07">
        <w:rPr>
          <w:lang w:val="en-GB" w:eastAsia="en-US"/>
        </w:rPr>
        <w:t>In the interface, confidence is surfaced as a coloured dot beside each score</w:t>
      </w:r>
      <w:r w:rsidR="00A16875">
        <w:rPr>
          <w:lang w:val="en-GB" w:eastAsia="en-US"/>
        </w:rPr>
        <w:t xml:space="preserve">; </w:t>
      </w:r>
      <w:r w:rsidRPr="007C2F07">
        <w:rPr>
          <w:lang w:val="en-GB" w:eastAsia="en-US"/>
        </w:rPr>
        <w:t xml:space="preserve">any indicator below 0.40 is labelled "Sparse" (developed in </w:t>
      </w:r>
      <w:r w:rsidR="00A16875">
        <w:rPr>
          <w:lang w:val="en-GB" w:eastAsia="en-US"/>
        </w:rPr>
        <w:t xml:space="preserve"> Section </w:t>
      </w:r>
      <w:r w:rsidRPr="007C2F07">
        <w:rPr>
          <w:lang w:val="en-GB" w:eastAsia="en-US"/>
        </w:rPr>
        <w:t>9).</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D9D9D9"/>
          </w:tcPr>
          <w:p>
            <w:r>
              <w:rPr>
                <w:b/>
                <w:i w:val="0"/>
              </w:rPr>
              <w:t>Site</w:t>
            </w:r>
          </w:p>
        </w:tc>
        <w:tc>
          <w:tcPr>
            <w:tcW w:type="dxa" w:w="1296"/>
            <w:shd w:val="clear" w:color="auto" w:fill="D9D9D9"/>
          </w:tcPr>
          <w:p>
            <w:pPr>
              <w:jc w:val="right"/>
            </w:pPr>
            <w:r>
              <w:rPr>
                <w:b/>
                <w:i w:val="0"/>
              </w:rPr>
              <w:t>Air conf</w:t>
            </w:r>
          </w:p>
        </w:tc>
        <w:tc>
          <w:tcPr>
            <w:tcW w:type="dxa" w:w="1296"/>
            <w:shd w:val="clear" w:color="auto" w:fill="D9D9D9"/>
          </w:tcPr>
          <w:p>
            <w:pPr>
              <w:jc w:val="right"/>
            </w:pPr>
            <w:r>
              <w:rPr>
                <w:b/>
                <w:i w:val="0"/>
              </w:rPr>
              <w:t>GHG conf</w:t>
            </w:r>
          </w:p>
        </w:tc>
        <w:tc>
          <w:tcPr>
            <w:tcW w:type="dxa" w:w="1296"/>
            <w:shd w:val="clear" w:color="auto" w:fill="D9D9D9"/>
          </w:tcPr>
          <w:p>
            <w:pPr>
              <w:jc w:val="right"/>
            </w:pPr>
            <w:r>
              <w:rPr>
                <w:b/>
                <w:i w:val="0"/>
              </w:rPr>
              <w:t>Nature conf</w:t>
            </w:r>
          </w:p>
        </w:tc>
        <w:tc>
          <w:tcPr>
            <w:tcW w:type="dxa" w:w="1296"/>
            <w:shd w:val="clear" w:color="auto" w:fill="D9D9D9"/>
          </w:tcPr>
          <w:p>
            <w:pPr>
              <w:jc w:val="right"/>
            </w:pPr>
            <w:r>
              <w:rPr>
                <w:b/>
                <w:i w:val="0"/>
              </w:rPr>
              <w:t>Composite (min)</w:t>
            </w:r>
          </w:p>
        </w:tc>
        <w:tc>
          <w:tcPr>
            <w:tcW w:type="dxa" w:w="1296"/>
            <w:shd w:val="clear" w:color="auto" w:fill="D9D9D9"/>
          </w:tcPr>
          <w:p>
            <w:r>
              <w:rPr>
                <w:b/>
                <w:i w:val="0"/>
              </w:rPr>
              <w:t>Dropped indicators</w:t>
            </w:r>
          </w:p>
        </w:tc>
        <w:tc>
          <w:tcPr>
            <w:tcW w:type="dxa" w:w="1296"/>
            <w:shd w:val="clear" w:color="auto" w:fill="D9D9D9"/>
          </w:tcPr>
          <w:p>
            <w:r>
              <w:rPr>
                <w:b/>
                <w:i w:val="0"/>
              </w:rPr>
              <w:t>Fallbacks fired</w:t>
            </w:r>
          </w:p>
        </w:tc>
      </w:tr>
      <w:tr>
        <w:tc>
          <w:tcPr>
            <w:tcW w:type="dxa" w:w="1296"/>
          </w:tcPr>
          <w:p>
            <w:r>
              <w:rPr>
                <w:b w:val="0"/>
                <w:i w:val="0"/>
              </w:rPr>
              <w:t>Norilsk</w:t>
            </w:r>
          </w:p>
        </w:tc>
        <w:tc>
          <w:tcPr>
            <w:tcW w:type="dxa" w:w="1296"/>
          </w:tcPr>
          <w:p>
            <w:pPr>
              <w:jc w:val="right"/>
            </w:pPr>
            <w:r>
              <w:rPr>
                <w:b w:val="0"/>
                <w:i w:val="0"/>
              </w:rPr>
              <w:t>0.594</w:t>
            </w:r>
          </w:p>
        </w:tc>
        <w:tc>
          <w:tcPr>
            <w:tcW w:type="dxa" w:w="1296"/>
          </w:tcPr>
          <w:p>
            <w:pPr>
              <w:jc w:val="right"/>
            </w:pPr>
            <w:r>
              <w:rPr>
                <w:b w:val="0"/>
                <w:i w:val="0"/>
              </w:rPr>
              <w:t>0.791</w:t>
            </w:r>
          </w:p>
        </w:tc>
        <w:tc>
          <w:tcPr>
            <w:tcW w:type="dxa" w:w="1296"/>
          </w:tcPr>
          <w:p>
            <w:pPr>
              <w:jc w:val="right"/>
            </w:pPr>
            <w:r>
              <w:rPr>
                <w:b w:val="0"/>
                <w:i w:val="0"/>
              </w:rPr>
              <w:t>0.761</w:t>
            </w:r>
          </w:p>
        </w:tc>
        <w:tc>
          <w:tcPr>
            <w:tcW w:type="dxa" w:w="1296"/>
          </w:tcPr>
          <w:p>
            <w:pPr>
              <w:jc w:val="right"/>
            </w:pPr>
            <w:r>
              <w:rPr>
                <w:b/>
                <w:i w:val="0"/>
              </w:rPr>
              <w:t>0.594</w:t>
            </w:r>
          </w:p>
        </w:tc>
        <w:tc>
          <w:tcPr>
            <w:tcW w:type="dxa" w:w="1296"/>
          </w:tcPr>
          <w:p>
            <w:r>
              <w:rPr>
                <w:b w:val="0"/>
                <w:i w:val="0"/>
              </w:rPr>
              <w:t>PM₂.₅, PM₁₀</w:t>
            </w:r>
          </w:p>
        </w:tc>
        <w:tc>
          <w:tcPr>
            <w:tcW w:type="dxa" w:w="1296"/>
          </w:tcPr>
          <w:p>
            <w:r>
              <w:rPr>
                <w:b w:val="0"/>
                <w:i w:val="0"/>
              </w:rPr>
              <w:t>AOD, SO₂ (SPPY)</w:t>
            </w:r>
          </w:p>
        </w:tc>
      </w:tr>
      <w:tr>
        <w:tc>
          <w:tcPr>
            <w:tcW w:type="dxa" w:w="1296"/>
          </w:tcPr>
          <w:p>
            <w:r>
              <w:rPr>
                <w:b w:val="0"/>
                <w:i w:val="0"/>
              </w:rPr>
              <w:t>Escondida</w:t>
            </w:r>
          </w:p>
        </w:tc>
        <w:tc>
          <w:tcPr>
            <w:tcW w:type="dxa" w:w="1296"/>
          </w:tcPr>
          <w:p>
            <w:pPr>
              <w:jc w:val="right"/>
            </w:pPr>
            <w:r>
              <w:rPr>
                <w:b w:val="0"/>
                <w:i w:val="0"/>
              </w:rPr>
              <w:t>0.694</w:t>
            </w:r>
          </w:p>
        </w:tc>
        <w:tc>
          <w:tcPr>
            <w:tcW w:type="dxa" w:w="1296"/>
          </w:tcPr>
          <w:p>
            <w:pPr>
              <w:jc w:val="right"/>
            </w:pPr>
            <w:r>
              <w:rPr>
                <w:b w:val="0"/>
                <w:i w:val="0"/>
              </w:rPr>
              <w:t>0.712</w:t>
            </w:r>
          </w:p>
        </w:tc>
        <w:tc>
          <w:tcPr>
            <w:tcW w:type="dxa" w:w="1296"/>
          </w:tcPr>
          <w:p>
            <w:pPr>
              <w:jc w:val="right"/>
            </w:pPr>
            <w:r>
              <w:rPr>
                <w:b w:val="0"/>
                <w:i w:val="0"/>
              </w:rPr>
              <w:t>0.832</w:t>
            </w:r>
          </w:p>
        </w:tc>
        <w:tc>
          <w:tcPr>
            <w:tcW w:type="dxa" w:w="1296"/>
          </w:tcPr>
          <w:p>
            <w:pPr>
              <w:jc w:val="right"/>
            </w:pPr>
            <w:r>
              <w:rPr>
                <w:b/>
                <w:i w:val="0"/>
              </w:rPr>
              <w:t>0.694</w:t>
            </w:r>
          </w:p>
        </w:tc>
        <w:tc>
          <w:tcPr>
            <w:tcW w:type="dxa" w:w="1296"/>
          </w:tcPr>
          <w:p>
            <w:r>
              <w:rPr>
                <w:b w:val="0"/>
                <w:i w:val="0"/>
              </w:rPr>
              <w:t>PM₂.₅, PM₁₀</w:t>
            </w:r>
          </w:p>
        </w:tc>
        <w:tc>
          <w:tcPr>
            <w:tcW w:type="dxa" w:w="1296"/>
          </w:tcPr>
          <w:p>
            <w:r>
              <w:rPr>
                <w:b w:val="0"/>
                <w:i w:val="0"/>
              </w:rPr>
              <w:t>none</w:t>
            </w:r>
          </w:p>
        </w:tc>
      </w:tr>
    </w:tbl>
    <w:p>
      <w:pPr>
        <w:pStyle w:val="Caption"/>
      </w:pPr>
      <w:r>
        <w:rPr>
          <w:i/>
        </w:rPr>
        <w:t>Table 7.7: Per-pillar confidence with the binding composite minimum (bold), shown with each site's degradation events. PM₂.₅ and PM₁₀ drop at every screened site (5 km buffer &lt; 44.5 km native pixel); Norilsk is the only site to fire the SPPY temporal fallback, recovering SO₂ and AOD from polar-winter sparsity.</w:t>
      </w:r>
    </w:p>
    <w:p w14:paraId="2ED2415E" w14:textId="233B3546" w:rsidR="00B07332" w:rsidRPr="00874DE9" w:rsidRDefault="00B07332" w:rsidP="00B07332">
      <w:pPr>
        <w:pStyle w:val="Heading3"/>
      </w:pPr>
      <w:bookmarkStart w:id="47" w:name="_Toc231372539"/>
      <w:r>
        <w:t>7.</w:t>
      </w:r>
      <w:r>
        <w:t>8</w:t>
      </w:r>
      <w:r>
        <w:tab/>
        <w:t>Attributability</w:t>
      </w:r>
      <w:bookmarkEnd w:id="47"/>
    </w:p>
    <w:p w14:paraId="53229288" w14:textId="77777777" w:rsidR="00B07332" w:rsidRDefault="00B07332" w:rsidP="00B07332">
      <w:pPr>
        <w:rPr>
          <w:lang w:val="en-GB"/>
        </w:rPr>
      </w:pPr>
      <w:r w:rsidRPr="00FC7AD9">
        <w:rPr>
          <w:lang w:val="en-GB"/>
        </w:rPr>
        <w:t>Attributability is a separate</w:t>
      </w:r>
      <w:r>
        <w:rPr>
          <w:lang w:val="en-GB"/>
        </w:rPr>
        <w:t>, per-indicator</w:t>
      </w:r>
      <w:r w:rsidRPr="00FC7AD9">
        <w:rPr>
          <w:lang w:val="en-GB"/>
        </w:rPr>
        <w:t xml:space="preserve"> categorical signal</w:t>
      </w:r>
      <w:r>
        <w:rPr>
          <w:lang w:val="en-GB"/>
        </w:rPr>
        <w:t xml:space="preserve">: </w:t>
      </w:r>
      <w:r w:rsidRPr="00FC7AD9">
        <w:rPr>
          <w:lang w:val="en-GB"/>
        </w:rPr>
        <w:t>high, moderate, low, sparse</w:t>
      </w:r>
      <w:r>
        <w:rPr>
          <w:lang w:val="en-GB"/>
        </w:rPr>
        <w:t>. It asks</w:t>
      </w:r>
      <w:r w:rsidRPr="00FC7AD9">
        <w:rPr>
          <w:lang w:val="en-GB"/>
        </w:rPr>
        <w:t xml:space="preserve"> what confidence does not: is the observed change actually the supplier's? </w:t>
      </w:r>
      <w:r w:rsidRPr="00D82069">
        <w:rPr>
          <w:lang w:val="en-GB"/>
        </w:rPr>
        <w:t>It is per-indicator rather than per-pillar because attribution physics differ by indicator</w:t>
      </w:r>
      <w:r>
        <w:rPr>
          <w:lang w:val="en-GB"/>
        </w:rPr>
        <w:t>.</w:t>
      </w:r>
    </w:p>
    <w:p w14:paraId="705C4E02" w14:textId="77777777" w:rsidR="00B07332" w:rsidRDefault="00B07332" w:rsidP="00B07332">
      <w:pPr>
        <w:rPr>
          <w:lang w:val="en-GB"/>
        </w:rPr>
      </w:pPr>
      <w:r w:rsidRPr="00FC7AD9">
        <w:rPr>
          <w:lang w:val="en-GB"/>
        </w:rPr>
        <w:t xml:space="preserve">It is deliberately kept </w:t>
      </w:r>
      <w:r>
        <w:rPr>
          <w:lang w:val="en-GB"/>
        </w:rPr>
        <w:t>external to</w:t>
      </w:r>
      <w:r w:rsidRPr="00FC7AD9">
        <w:rPr>
          <w:lang w:val="en-GB"/>
        </w:rPr>
        <w:t xml:space="preserve"> the composite and confidence chain (Appendix E §2.4), surfacing on the map and in the report so the user can </w:t>
      </w:r>
      <w:r>
        <w:rPr>
          <w:lang w:val="en-GB"/>
        </w:rPr>
        <w:t>contextualise</w:t>
      </w:r>
      <w:r w:rsidRPr="00FC7AD9">
        <w:rPr>
          <w:lang w:val="en-GB"/>
        </w:rPr>
        <w:t xml:space="preserve"> a finding. </w:t>
      </w:r>
      <w:r>
        <w:rPr>
          <w:lang w:val="en-GB"/>
        </w:rPr>
        <w:t>Since this</w:t>
      </w:r>
      <w:r w:rsidRPr="00FC7AD9">
        <w:rPr>
          <w:lang w:val="en-GB"/>
        </w:rPr>
        <w:t xml:space="preserve"> is the one place the tool comes </w:t>
      </w:r>
      <w:r>
        <w:rPr>
          <w:lang w:val="en-GB"/>
        </w:rPr>
        <w:t>close</w:t>
      </w:r>
      <w:r w:rsidRPr="00FC7AD9">
        <w:rPr>
          <w:lang w:val="en-GB"/>
        </w:rPr>
        <w:t xml:space="preserve"> to a causal claim</w:t>
      </w:r>
      <w:r>
        <w:rPr>
          <w:lang w:val="en-GB"/>
        </w:rPr>
        <w:t>, it</w:t>
      </w:r>
      <w:r w:rsidRPr="00FC7AD9">
        <w:rPr>
          <w:lang w:val="en-GB"/>
        </w:rPr>
        <w:t xml:space="preserve"> is quarantined from every score. </w:t>
      </w:r>
      <w:r w:rsidRPr="00D82069">
        <w:rPr>
          <w:lang w:val="en-GB"/>
        </w:rPr>
        <w:t xml:space="preserve">Three attributability mechanisms </w:t>
      </w:r>
      <w:r>
        <w:rPr>
          <w:lang w:val="en-GB"/>
        </w:rPr>
        <w:t>exist</w:t>
      </w:r>
      <w:r w:rsidRPr="00D82069">
        <w:rPr>
          <w:lang w:val="en-GB"/>
        </w:rPr>
        <w:t>, each matched to the physics of its indicators.</w:t>
      </w:r>
      <w:r>
        <w:rPr>
          <w:lang w:val="en-GB"/>
        </w:rPr>
        <w:t>:</w:t>
      </w:r>
    </w:p>
    <w:p w14:paraId="2029A46E" w14:textId="77777777" w:rsidR="00B07332" w:rsidRPr="00D82069" w:rsidRDefault="00B07332" w:rsidP="00B07332">
      <w:pPr>
        <w:pStyle w:val="ListParagraph"/>
        <w:numPr>
          <w:ilvl w:val="0"/>
          <w:numId w:val="16"/>
        </w:numPr>
        <w:rPr>
          <w:lang w:val="en-GB"/>
        </w:rPr>
      </w:pPr>
      <w:r w:rsidRPr="000B5023">
        <w:rPr>
          <w:lang w:val="en-GB"/>
        </w:rPr>
        <w:lastRenderedPageBreak/>
        <w:t>GHG</w:t>
      </w:r>
      <w:r>
        <w:rPr>
          <w:lang w:val="en-GB"/>
        </w:rPr>
        <w:t>’s</w:t>
      </w:r>
      <w:r w:rsidRPr="000B5023">
        <w:rPr>
          <w:lang w:val="en-GB"/>
        </w:rPr>
        <w:t xml:space="preserve"> VIIRS lit-contras</w:t>
      </w:r>
      <w:r>
        <w:rPr>
          <w:lang w:val="en-GB"/>
        </w:rPr>
        <w:t>t classifies</w:t>
      </w:r>
      <w:r w:rsidRPr="00D82069">
        <w:rPr>
          <w:lang w:val="en-GB"/>
        </w:rPr>
        <w:t xml:space="preserve"> the site's brightness as a percentile within the background ring's full pixel distribution </w:t>
      </w:r>
      <m:oMath>
        <m:r>
          <w:rPr>
            <w:rFonts w:ascii="Cambria Math" w:hAnsi="Cambria Math"/>
            <w:lang w:val="en-GB"/>
          </w:rPr>
          <m:t xml:space="preserve">(≥0.90→attrbutability is </m:t>
        </m:r>
        <m:r>
          <m:rPr>
            <m:nor/>
          </m:rPr>
          <w:rPr>
            <w:rFonts w:ascii="Cambria Math" w:hAnsi="Cambria Math"/>
            <w:lang w:val="en-GB"/>
          </w:rPr>
          <m:t>high)</m:t>
        </m:r>
      </m:oMath>
      <w:r>
        <w:rPr>
          <w:lang w:val="en-GB"/>
        </w:rPr>
        <w:t>.</w:t>
      </w:r>
    </w:p>
    <w:p w14:paraId="7895D39E" w14:textId="77777777" w:rsidR="00B07332" w:rsidRDefault="00B07332" w:rsidP="00B07332">
      <w:pPr>
        <w:pStyle w:val="ListParagraph"/>
        <w:numPr>
          <w:ilvl w:val="0"/>
          <w:numId w:val="16"/>
        </w:numPr>
        <w:rPr>
          <w:lang w:val="en-GB"/>
        </w:rPr>
      </w:pPr>
      <w:r w:rsidRPr="000B5023">
        <w:rPr>
          <w:lang w:val="en-GB"/>
        </w:rPr>
        <w:t xml:space="preserve">The Nature habitat spatial link measures the geodesic offset between the supplier point and the centroid of the natural-to-non-natural change pixels </w:t>
      </w:r>
      <m:oMath>
        <m:r>
          <w:rPr>
            <w:rFonts w:ascii="Cambria Math" w:hAnsi="Cambria Math"/>
            <w:lang w:val="en-GB"/>
          </w:rPr>
          <m:t>(≤1 km →high attributability, ≤ 3km →moderate attributability, beyond → low, &lt;10 pixels →sparse)</m:t>
        </m:r>
      </m:oMath>
    </w:p>
    <w:p w14:paraId="26E4556D" w14:textId="77777777" w:rsidR="00B07332" w:rsidRDefault="00B07332" w:rsidP="00B07332">
      <w:pPr>
        <w:pStyle w:val="ListParagraph"/>
        <w:numPr>
          <w:ilvl w:val="0"/>
          <w:numId w:val="16"/>
        </w:numPr>
        <w:rPr>
          <w:lang w:val="en-GB"/>
        </w:rPr>
      </w:pPr>
      <w:r>
        <w:rPr>
          <w:lang w:val="en-GB"/>
        </w:rPr>
        <w:t>Wind</w:t>
      </w:r>
      <w:r w:rsidRPr="00D82069">
        <w:rPr>
          <w:lang w:val="en-GB"/>
        </w:rPr>
        <w:t xml:space="preserve"> attribution applies only to a specific subset of air pollutants for a physical reason.</w:t>
      </w:r>
      <w:r>
        <w:rPr>
          <w:lang w:val="en-GB"/>
        </w:rPr>
        <w:t xml:space="preserve"> </w:t>
      </w:r>
      <w:r w:rsidRPr="00D82069">
        <w:rPr>
          <w:lang w:val="en-GB"/>
        </w:rPr>
        <w:t>A satellite sees a pollutant column; whether that column over the site was actually emitted there depends on how far the air moved between emission and overpass. For short-lived gases (atmospheric lifetime of hours) the wind at overpass dominates this, so two multiplicative dampening factors are applied: a speed factor and a direction factor.</w:t>
      </w:r>
      <w:r>
        <w:rPr>
          <w:lang w:val="en-GB"/>
        </w:rPr>
        <w:t xml:space="preserve"> </w:t>
      </w:r>
      <w:r w:rsidRPr="00D82069">
        <w:rPr>
          <w:lang w:val="en-GB"/>
        </w:rPr>
        <w:t>The speed factor follows Gaussian-plume physics, where concentration scales inversely with wind speed</w:t>
      </w:r>
      <w:r>
        <w:rPr>
          <w:lang w:val="en-GB"/>
        </w:rPr>
        <w:t>,</w:t>
      </w:r>
      <w:r w:rsidRPr="00D82069">
        <w:rPr>
          <w:lang w:val="en-GB"/>
        </w:rPr>
        <w:t xml:space="preserve"> </w:t>
      </w:r>
      <m:oMath>
        <m:r>
          <w:rPr>
            <w:rFonts w:ascii="Cambria Math" w:hAnsi="Cambria Math"/>
            <w:lang w:val="en-GB"/>
          </w:rPr>
          <m:t>C</m:t>
        </m:r>
        <m:r>
          <w:rPr>
            <w:rFonts w:ascii="Cambria Math" w:hAnsi="Cambria Math"/>
            <w:lang w:val="en-GB"/>
          </w:rPr>
          <m:t>∝1/</m:t>
        </m:r>
        <m:r>
          <w:rPr>
            <w:rFonts w:ascii="Cambria Math" w:hAnsi="Cambria Math"/>
            <w:lang w:val="en-GB"/>
          </w:rPr>
          <m:t>u</m:t>
        </m:r>
      </m:oMath>
      <w:r>
        <w:rPr>
          <w:lang w:val="en-GB"/>
        </w:rPr>
        <w:t xml:space="preserve"> </w:t>
      </w:r>
      <w:r>
        <w:t>(Pasquill, 1961; Turner, 1970):</w:t>
      </w:r>
    </w:p>
    <w:p w14:paraId="20AE0859" w14:textId="77777777" w:rsidR="00B07332" w:rsidRPr="00D82069" w:rsidRDefault="00B07332" w:rsidP="00B07332">
      <m:oMathPara>
        <m:oMath>
          <m:sSub>
            <m:sSubPr>
              <m:ctrlPr>
                <w:rPr>
                  <w:rFonts w:ascii="Cambria Math" w:hAnsi="Cambria Math"/>
                </w:rPr>
              </m:ctrlPr>
            </m:sSubPr>
            <m:e>
              <m:r>
                <w:rPr>
                  <w:rFonts w:ascii="Cambria Math" w:hAnsi="Cambria Math"/>
                </w:rPr>
                <m:t>f</m:t>
              </m:r>
            </m:e>
            <m:sub>
              <m:r>
                <m:rPr>
                  <m:nor/>
                </m:rPr>
                <w:rPr>
                  <w:rFonts w:ascii="Cambria Math" w:hAnsi="Cambria Math"/>
                </w:rPr>
                <m:t>speed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ref</m:t>
                  </m:r>
                </m:sub>
              </m:sSub>
            </m:num>
            <m:den>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m:t>
              </m:r>
              <m:acc>
                <m:accPr>
                  <m:chr m:val="̅"/>
                  <m:ctrlPr>
                    <w:rPr>
                      <w:rFonts w:ascii="Cambria Math" w:hAnsi="Cambria Math"/>
                    </w:rPr>
                  </m:ctrlPr>
                </m:accPr>
                <m:e>
                  <m:r>
                    <w:rPr>
                      <w:rFonts w:ascii="Cambria Math" w:hAnsi="Cambria Math"/>
                    </w:rPr>
                    <m:t>u</m:t>
                  </m:r>
                </m:e>
              </m:acc>
            </m:den>
          </m:f>
          <m:r>
            <w:rPr>
              <w:rFonts w:ascii="Cambria Math" w:hAnsi="Cambria Math"/>
            </w:rPr>
            <m:t>,  </m:t>
          </m:r>
          <m:sSub>
            <m:sSubPr>
              <m:ctrlPr>
                <w:rPr>
                  <w:rFonts w:ascii="Cambria Math" w:hAnsi="Cambria Math"/>
                </w:rPr>
              </m:ctrlPr>
            </m:sSubPr>
            <m:e>
              <m:r>
                <w:rPr>
                  <w:rFonts w:ascii="Cambria Math" w:hAnsi="Cambria Math"/>
                </w:rPr>
                <m:t>u</m:t>
              </m:r>
            </m:e>
            <m:sub>
              <m:r>
                <m:rPr>
                  <m:nor/>
                </m:rPr>
                <w:rPr>
                  <w:rFonts w:ascii="Cambria Math" w:hAnsi="Cambria Math"/>
                </w:rPr>
                <m:t>ref</m:t>
              </m:r>
            </m:sub>
          </m:sSub>
          <m:r>
            <w:rPr>
              <w:rFonts w:ascii="Cambria Math" w:hAnsi="Cambria Math"/>
            </w:rPr>
            <m:t>=2 </m:t>
          </m:r>
          <m:sSup>
            <m:sSupPr>
              <m:ctrlPr>
                <w:rPr>
                  <w:rFonts w:ascii="Cambria Math" w:hAnsi="Cambria Math"/>
                </w:rPr>
              </m:ctrlPr>
            </m:sSupPr>
            <m:e>
              <m:r>
                <m:rPr>
                  <m:nor/>
                </m:rPr>
                <w:rPr>
                  <w:rFonts w:ascii="Cambria Math" w:hAnsi="Cambria Math"/>
                </w:rPr>
                <m:t>m s</m:t>
              </m:r>
            </m:e>
            <m:sup>
              <m:r>
                <w:rPr>
                  <w:rFonts w:ascii="Cambria Math" w:hAnsi="Cambria Math"/>
                </w:rPr>
                <m:t>-1</m:t>
              </m:r>
            </m:sup>
          </m:sSup>
        </m:oMath>
      </m:oMathPara>
    </w:p>
    <w:p w14:paraId="4F82F853" w14:textId="77777777" w:rsidR="00B07332" w:rsidRPr="00E413DE" w:rsidRDefault="00B07332" w:rsidP="00B07332">
      <w:pPr>
        <w:ind w:left="720"/>
      </w:pPr>
      <w:r>
        <w:t xml:space="preserve">The reference speed is the Pasquill calm-to-light wind threshold that underpins Gaussian dispersion modelling (Pasquill, 1961; Gifford, 1961).  Below it, air leaves confidence intact </w:t>
      </w:r>
      <m:oMath>
        <m:d>
          <m:dPr>
            <m:ctrlPr>
              <w:rPr>
                <w:rFonts w:ascii="Cambria Math" w:hAnsi="Cambria Math"/>
              </w:rPr>
            </m:ctrlPr>
          </m:dPr>
          <m:e>
            <m:r>
              <w:rPr>
                <w:rFonts w:ascii="Cambria Math" w:hAnsi="Cambria Math"/>
              </w:rPr>
              <m:t>f=1</m:t>
            </m:r>
          </m:e>
        </m:d>
      </m:oMath>
      <w:r>
        <w:t xml:space="preserve"> and strong wind dampens it (at </w:t>
      </w:r>
      <m:oMath>
        <m:sSub>
          <m:sSubPr>
            <m:ctrlPr>
              <w:rPr>
                <w:rFonts w:ascii="Cambria Math" w:hAnsi="Cambria Math"/>
              </w:rPr>
            </m:ctrlPr>
          </m:sSubPr>
          <m:e>
            <m:r>
              <w:rPr>
                <w:rFonts w:ascii="Cambria Math" w:hAnsi="Cambria Math"/>
              </w:rPr>
              <m:t>u</m:t>
            </m:r>
          </m:e>
          <m:sub>
            <m:r>
              <w:rPr>
                <w:rFonts w:ascii="Cambria Math" w:hAnsi="Cambria Math"/>
              </w:rPr>
              <m:t>ref</m:t>
            </m:r>
          </m:sub>
        </m:sSub>
        <m:r>
          <w:rPr>
            <w:rFonts w:ascii="Cambria Math" w:hAnsi="Cambria Math"/>
          </w:rPr>
          <m:t>,f=0.5</m:t>
        </m:r>
      </m:oMath>
      <w:r>
        <w:t>). The direction factor compares the upwind and downwind halves of the background ring. If the upwind side is much brighter, an external source is likely feeding the site, and confidence is dampened toward a floor of 0.5:</w:t>
      </w:r>
    </w:p>
    <w:p w14:paraId="6E7D789E" w14:textId="77777777" w:rsidR="00B07332" w:rsidRPr="00E413DE" w:rsidRDefault="00B07332" w:rsidP="00B07332">
      <w:pPr>
        <w:ind w:left="720"/>
      </w:pPr>
      <m:oMathPara>
        <m:oMath>
          <m:sSub>
            <m:sSubPr>
              <m:ctrlPr>
                <w:rPr>
                  <w:rFonts w:ascii="Cambria Math" w:hAnsi="Cambria Math"/>
                </w:rPr>
              </m:ctrlPr>
            </m:sSubPr>
            <m:e>
              <m:r>
                <w:rPr>
                  <w:rFonts w:ascii="Cambria Math" w:hAnsi="Cambria Math"/>
                </w:rPr>
                <m:t>f</m:t>
              </m:r>
            </m:e>
            <m:sub>
              <m:r>
                <m:rPr>
                  <m:nor/>
                </m:rPr>
                <w:rPr>
                  <w:rFonts w:ascii="Cambria Math" w:hAnsi="Cambria Math"/>
                </w:rPr>
                <m:t>dir</m:t>
              </m:r>
            </m:sub>
          </m:sSub>
          <m:r>
            <w:rPr>
              <w:rFonts w:ascii="Cambria Math" w:hAnsi="Cambria Math"/>
            </w:rPr>
            <m:t>=</m:t>
          </m:r>
          <m:func>
            <m:funcPr>
              <m:ctrlPr>
                <w:rPr>
                  <w:rFonts w:ascii="Cambria Math" w:hAnsi="Cambria Math"/>
                </w:rPr>
              </m:ctrlPr>
            </m:funcPr>
            <m:fName>
              <m:r>
                <m:rPr>
                  <m:sty m:val="p"/>
                </m:rPr>
                <w:rPr>
                  <w:rFonts w:ascii="Cambria Math" w:hAnsi="Cambria Math"/>
                </w:rPr>
                <m:t>clamp</m:t>
              </m:r>
            </m:fName>
            <m:e>
              <m:r>
                <w:rPr>
                  <w:rFonts w:ascii="Cambria Math" w:hAnsi="Cambria Math"/>
                </w:rPr>
                <m:t>​</m:t>
              </m:r>
            </m:e>
          </m:func>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1+r</m:t>
                  </m:r>
                </m:den>
              </m:f>
              <m:r>
                <w:rPr>
                  <w:rFonts w:ascii="Cambria Math" w:hAnsi="Cambria Math"/>
                </w:rPr>
                <m:t>, 0.5, 1.0</m:t>
              </m:r>
            </m:e>
          </m:d>
          <m:r>
            <w:rPr>
              <w:rFonts w:ascii="Cambria Math" w:hAnsi="Cambria Math"/>
            </w:rPr>
            <m:t>,  r=</m:t>
          </m:r>
          <m:f>
            <m:fPr>
              <m:ctrlPr>
                <w:rPr>
                  <w:rFonts w:ascii="Cambria Math" w:hAnsi="Cambria Math"/>
                </w:rPr>
              </m:ctrlPr>
            </m:fPr>
            <m:num>
              <m:sSub>
                <m:sSubPr>
                  <m:ctrlPr>
                    <w:rPr>
                      <w:rFonts w:ascii="Cambria Math" w:hAnsi="Cambria Math"/>
                    </w:rPr>
                  </m:ctrlPr>
                </m:sSubPr>
                <m:e>
                  <m:r>
                    <m:rPr>
                      <m:nor/>
                    </m:rPr>
                    <w:rPr>
                      <w:rFonts w:ascii="Cambria Math" w:hAnsi="Cambria Math"/>
                    </w:rPr>
                    <m:t>bg</m:t>
                  </m:r>
                </m:e>
                <m:sub>
                  <m:r>
                    <m:rPr>
                      <m:nor/>
                    </m:rPr>
                    <w:rPr>
                      <w:rFonts w:ascii="Cambria Math" w:hAnsi="Cambria Math"/>
                    </w:rPr>
                    <m:t>upwind</m:t>
                  </m:r>
                </m:sub>
              </m:sSub>
            </m:num>
            <m:den>
              <m:sSub>
                <m:sSubPr>
                  <m:ctrlPr>
                    <w:rPr>
                      <w:rFonts w:ascii="Cambria Math" w:hAnsi="Cambria Math"/>
                    </w:rPr>
                  </m:ctrlPr>
                </m:sSubPr>
                <m:e>
                  <m:r>
                    <m:rPr>
                      <m:nor/>
                    </m:rPr>
                    <w:rPr>
                      <w:rFonts w:ascii="Cambria Math" w:hAnsi="Cambria Math"/>
                    </w:rPr>
                    <m:t>bg</m:t>
                  </m:r>
                </m:e>
                <m:sub>
                  <m:r>
                    <m:rPr>
                      <m:nor/>
                    </m:rPr>
                    <w:rPr>
                      <w:rFonts w:ascii="Cambria Math" w:hAnsi="Cambria Math"/>
                    </w:rPr>
                    <m:t>downwind</m:t>
                  </m:r>
                </m:sub>
              </m:sSub>
            </m:den>
          </m:f>
        </m:oMath>
      </m:oMathPara>
    </w:p>
    <w:p w14:paraId="5E8937E3" w14:textId="77777777" w:rsidR="00B07332" w:rsidRDefault="00B07332" w:rsidP="00B07332">
      <w:pPr>
        <w:ind w:left="720"/>
      </w:pPr>
      <w:r w:rsidRPr="00E413DE">
        <w:t xml:space="preserve">Wind is applied to NO₂, SO₂, HCHO, and AAI only </w:t>
      </w:r>
      <w:r>
        <w:t xml:space="preserve">as </w:t>
      </w:r>
      <w:r w:rsidRPr="00E413DE">
        <w:t>the</w:t>
      </w:r>
      <w:r>
        <w:t>se are the</w:t>
      </w:r>
      <w:r w:rsidRPr="00E413DE">
        <w:t xml:space="preserve"> short-lived signals whose attribution today's wind genuinely governs.</w:t>
      </w:r>
      <w:r>
        <w:t xml:space="preserve"> </w:t>
      </w:r>
      <w:r w:rsidRPr="00E413DE">
        <w:t xml:space="preserve">Below a five-anomaly-day minimum the factors fall back to 1.0, recorded with a </w:t>
      </w:r>
      <w:r w:rsidRPr="00E413DE">
        <w:rPr>
          <w:rFonts w:ascii="Consolas" w:hAnsi="Consolas" w:cs="Consolas"/>
          <w:sz w:val="20"/>
          <w:szCs w:val="20"/>
        </w:rPr>
        <w:t>low_anomaly_sample</w:t>
      </w:r>
      <w:r w:rsidRPr="00E413DE">
        <w:t xml:space="preserve"> flag, so a thin sample never </w:t>
      </w:r>
      <w:r>
        <w:t>skews</w:t>
      </w:r>
      <w:r w:rsidRPr="00E413DE">
        <w:t xml:space="preserve"> a confident attribution.</w:t>
      </w:r>
    </w:p>
    <w:p w14:paraId="50842DD7" w14:textId="0FD0AFB3" w:rsidR="00B07332" w:rsidRPr="007C2F07" w:rsidRDefault="00B07332" w:rsidP="00FC7AD9">
      <w:pPr>
        <w:rPr>
          <w:color w:val="EE0000"/>
        </w:rPr>
      </w:pPr>
      <w:r>
        <w:t>Full attributability results are given in Appendix X, Table X.5.</w:t>
      </w:r>
    </w:p>
    <w:p w14:paraId="20B4ACA6" w14:textId="2D699603" w:rsidR="00874DE9" w:rsidRDefault="00874DE9" w:rsidP="00874DE9">
      <w:pPr>
        <w:pStyle w:val="Heading3"/>
      </w:pPr>
      <w:bookmarkStart w:id="48" w:name="_Toc231372541"/>
      <w:r>
        <w:lastRenderedPageBreak/>
        <w:t>7.9</w:t>
      </w:r>
      <w:r>
        <w:tab/>
        <w:t>Design evolution and rejected approaches</w:t>
      </w:r>
      <w:bookmarkEnd w:id="48"/>
    </w:p>
    <w:p w14:paraId="44AA913E" w14:textId="70D7E017" w:rsidR="007C2F07" w:rsidRPr="00946526" w:rsidRDefault="007C2F07" w:rsidP="007C2F07">
      <w:r w:rsidRPr="007C2F07">
        <w:rPr>
          <w:lang w:val="en-GB" w:eastAsia="en-US"/>
        </w:rPr>
        <w:t xml:space="preserve">The most consequential correction concerns the denominator of the anomaly z-score (§7.1). In an earlier version the normalising spread </w:t>
      </w:r>
      <m:oMath>
        <m:r>
          <w:rPr>
            <w:rFonts w:ascii="Cambria Math" w:hAnsi="Cambria Math"/>
          </w:rPr>
          <m:t>σ</m:t>
        </m:r>
      </m:oMath>
      <w:r w:rsidR="00946526">
        <w:t xml:space="preserve"> </w:t>
      </w:r>
      <w:r w:rsidRPr="007C2F07">
        <w:rPr>
          <w:lang w:val="en-GB" w:eastAsia="en-US"/>
        </w:rPr>
        <w:t>was the background ring's spatial standard deviation</w:t>
      </w:r>
      <w:r w:rsidR="00946526">
        <w:rPr>
          <w:lang w:val="en-GB" w:eastAsia="en-US"/>
        </w:rPr>
        <w:t xml:space="preserve">. </w:t>
      </w:r>
      <w:r w:rsidRPr="007C2F07">
        <w:rPr>
          <w:lang w:val="en-GB" w:eastAsia="en-US"/>
        </w:rPr>
        <w:t xml:space="preserve">This inflated anomalies severely, by factors of roughly two to fourteen, because a quiet ring made any site look </w:t>
      </w:r>
      <w:r w:rsidR="00946526">
        <w:rPr>
          <w:lang w:val="en-GB" w:eastAsia="en-US"/>
        </w:rPr>
        <w:t>anomalous</w:t>
      </w:r>
      <w:r w:rsidRPr="007C2F07">
        <w:rPr>
          <w:lang w:val="en-GB" w:eastAsia="en-US"/>
        </w:rPr>
        <w:t>. The fix changed the denominator to the site's own temporal day-to-day spread over a trailing climatology baseline</w:t>
      </w:r>
      <w:r w:rsidR="00946526">
        <w:rPr>
          <w:lang w:val="en-GB" w:eastAsia="en-US"/>
        </w:rPr>
        <w:t xml:space="preserve"> -</w:t>
      </w:r>
      <w:r w:rsidRPr="007C2F07">
        <w:rPr>
          <w:lang w:val="en-GB" w:eastAsia="en-US"/>
        </w:rPr>
        <w:t xml:space="preserve"> how much the site varies through time</w:t>
      </w:r>
      <w:r w:rsidR="00946526">
        <w:rPr>
          <w:lang w:val="en-GB" w:eastAsia="en-US"/>
        </w:rPr>
        <w:t xml:space="preserve"> - </w:t>
      </w:r>
      <w:r w:rsidRPr="007C2F07">
        <w:rPr>
          <w:lang w:val="en-GB" w:eastAsia="en-US"/>
        </w:rPr>
        <w:t xml:space="preserve">which </w:t>
      </w:r>
      <w:r w:rsidR="00946526">
        <w:rPr>
          <w:lang w:val="en-GB" w:eastAsia="en-US"/>
        </w:rPr>
        <w:t xml:space="preserve">is </w:t>
      </w:r>
      <w:r w:rsidRPr="007C2F07">
        <w:rPr>
          <w:lang w:val="en-GB" w:eastAsia="en-US"/>
        </w:rPr>
        <w:t xml:space="preserve">physically the right reference. Night-lights are exempted from this temporal denominator, because a persistently-lit source </w:t>
      </w:r>
      <w:r w:rsidR="00946526">
        <w:rPr>
          <w:lang w:val="en-GB" w:eastAsia="en-US"/>
        </w:rPr>
        <w:t>suggests intense industrial activity and yet has near-zero variance.</w:t>
      </w:r>
    </w:p>
    <w:p w14:paraId="5E92D5DB" w14:textId="1DAF6AE7" w:rsidR="007C2F07" w:rsidRPr="007C2F07" w:rsidRDefault="007C2F07" w:rsidP="007C2F07">
      <w:pPr>
        <w:rPr>
          <w:lang w:val="en-GB" w:eastAsia="en-US"/>
        </w:rPr>
      </w:pPr>
      <w:r w:rsidRPr="007C2F07">
        <w:rPr>
          <w:lang w:val="en-GB" w:eastAsia="en-US"/>
        </w:rPr>
        <w:t xml:space="preserve">The </w:t>
      </w:r>
      <w:r w:rsidR="00946526">
        <w:rPr>
          <w:lang w:val="en-GB" w:eastAsia="en-US"/>
        </w:rPr>
        <w:t>GHG’s</w:t>
      </w:r>
      <w:r w:rsidRPr="007C2F07">
        <w:rPr>
          <w:lang w:val="en-GB" w:eastAsia="en-US"/>
        </w:rPr>
        <w:t xml:space="preserve"> flaring signal was originally scored by how much brighter the site was than its surroundings. It was abandoned because it could not rank intensity: a modest source and an extreme one both registered as "brighter than background". It was replaced by the absolute-anchor band of </w:t>
      </w:r>
      <w:r w:rsidR="00946526">
        <w:rPr>
          <w:lang w:val="en-GB" w:eastAsia="en-US"/>
        </w:rPr>
        <w:t xml:space="preserve">Section </w:t>
      </w:r>
      <w:r w:rsidRPr="007C2F07">
        <w:rPr>
          <w:lang w:val="en-GB" w:eastAsia="en-US"/>
        </w:rPr>
        <w:t xml:space="preserve">7.3, which measures the fraction of site pixels exceeding a fixed brightness threshold and so preserves the </w:t>
      </w:r>
      <w:r w:rsidR="00946526">
        <w:rPr>
          <w:lang w:val="en-GB" w:eastAsia="en-US"/>
        </w:rPr>
        <w:t xml:space="preserve">discriminatory </w:t>
      </w:r>
      <w:r w:rsidRPr="007C2F07">
        <w:rPr>
          <w:lang w:val="en-GB" w:eastAsia="en-US"/>
        </w:rPr>
        <w:t>ordering.</w:t>
      </w:r>
    </w:p>
    <w:p w14:paraId="376B8744" w14:textId="48ADF9AE" w:rsidR="00FC7AD9" w:rsidRPr="00FC7AD9" w:rsidRDefault="00FC7AD9" w:rsidP="00FC7AD9">
      <w:pPr>
        <w:pStyle w:val="Heading3"/>
      </w:pPr>
      <w:bookmarkStart w:id="49" w:name="_Toc231372542"/>
      <w:r>
        <w:t>7.</w:t>
      </w:r>
      <w:r>
        <w:t>10</w:t>
      </w:r>
      <w:r>
        <w:tab/>
      </w:r>
      <w:r>
        <w:t>Trend</w:t>
      </w:r>
      <w:bookmarkEnd w:id="49"/>
    </w:p>
    <w:p w14:paraId="32F683D4" w14:textId="77777777" w:rsidR="00047C5F" w:rsidRDefault="00DD5309" w:rsidP="00DD5309">
      <w:pPr>
        <w:rPr>
          <w:lang w:val="en-GB" w:eastAsia="en-US"/>
        </w:rPr>
      </w:pPr>
      <w:r>
        <w:rPr>
          <w:lang w:val="en-GB" w:eastAsia="en-US"/>
        </w:rPr>
        <w:t xml:space="preserve">The trend functions determines whether a signal is changing over time. </w:t>
      </w:r>
      <w:r w:rsidRPr="00DD5309">
        <w:rPr>
          <w:lang w:val="en-GB" w:eastAsia="en-US"/>
        </w:rPr>
        <w:t>It is computed per indicator as</w:t>
      </w:r>
      <w:r w:rsidR="00047C5F">
        <w:rPr>
          <w:lang w:val="en-GB" w:eastAsia="en-US"/>
        </w:rPr>
        <w:t>:</w:t>
      </w:r>
    </w:p>
    <w:p w14:paraId="6E053007" w14:textId="77777777" w:rsidR="00047C5F" w:rsidRDefault="00DD5309" w:rsidP="00047C5F">
      <w:pPr>
        <w:pStyle w:val="ListParagraph"/>
        <w:numPr>
          <w:ilvl w:val="0"/>
          <w:numId w:val="20"/>
        </w:numPr>
        <w:rPr>
          <w:lang w:val="en-GB" w:eastAsia="en-US"/>
        </w:rPr>
      </w:pPr>
      <w:r w:rsidRPr="00047C5F">
        <w:rPr>
          <w:lang w:val="en-GB" w:eastAsia="en-US"/>
        </w:rPr>
        <w:t>a Theil–Sen slope</w:t>
      </w:r>
      <w:r w:rsidRPr="00047C5F">
        <w:rPr>
          <w:lang w:val="en-GB" w:eastAsia="en-US"/>
        </w:rPr>
        <w:t xml:space="preserve"> -</w:t>
      </w:r>
      <w:r w:rsidRPr="00047C5F">
        <w:rPr>
          <w:lang w:val="en-GB" w:eastAsia="en-US"/>
        </w:rPr>
        <w:t xml:space="preserve"> the median of all pairwise slopes across the time series</w:t>
      </w:r>
    </w:p>
    <w:p w14:paraId="1B0A79A4" w14:textId="7543E0C3" w:rsidR="00047C5F" w:rsidRDefault="00047C5F" w:rsidP="00047C5F">
      <w:pPr>
        <w:pStyle w:val="ListParagraph"/>
        <w:numPr>
          <w:ilvl w:val="0"/>
          <w:numId w:val="20"/>
        </w:numPr>
        <w:rPr>
          <w:lang w:val="en-GB" w:eastAsia="en-US"/>
        </w:rPr>
      </w:pPr>
      <w:r>
        <w:rPr>
          <w:lang w:val="en-GB" w:eastAsia="en-US"/>
        </w:rPr>
        <w:t>a significance.</w:t>
      </w:r>
      <w:r w:rsidR="00DD5309" w:rsidRPr="00047C5F">
        <w:rPr>
          <w:lang w:val="en-GB" w:eastAsia="en-US"/>
        </w:rPr>
        <w:t xml:space="preserve"> </w:t>
      </w:r>
      <w:r>
        <w:rPr>
          <w:lang w:val="en-GB" w:eastAsia="en-US"/>
        </w:rPr>
        <w:t xml:space="preserve">This is </w:t>
      </w:r>
      <w:r w:rsidR="00DD5309" w:rsidRPr="00047C5F">
        <w:rPr>
          <w:lang w:val="en-GB" w:eastAsia="en-US"/>
        </w:rPr>
        <w:t>the Mann–Kendall</w:t>
      </w:r>
      <w:r w:rsidRPr="00047C5F">
        <w:t xml:space="preserve"> </w:t>
      </w:r>
      <w:r w:rsidRPr="00047C5F">
        <w:rPr>
          <w:lang w:val="en-GB" w:eastAsia="en-US"/>
        </w:rPr>
        <w:t xml:space="preserve">two-sided p-value for a monotonic trend, summarised into a </w:t>
      </w:r>
      <w:r>
        <w:rPr>
          <w:lang w:val="en-GB" w:eastAsia="en-US"/>
        </w:rPr>
        <w:t>bucket</w:t>
      </w:r>
      <w:r w:rsidRPr="00047C5F">
        <w:rPr>
          <w:lang w:val="en-GB" w:eastAsia="en-US"/>
        </w:rPr>
        <w:t xml:space="preserve"> that </w:t>
      </w:r>
      <w:r>
        <w:rPr>
          <w:lang w:val="en-GB" w:eastAsia="en-US"/>
        </w:rPr>
        <w:t xml:space="preserve">outputs </w:t>
      </w:r>
      <w:r w:rsidRPr="00047C5F">
        <w:rPr>
          <w:lang w:val="en-GB" w:eastAsia="en-US"/>
        </w:rPr>
        <w:t xml:space="preserve">"significant"` when </w:t>
      </w:r>
      <m:oMath>
        <m:r>
          <w:rPr>
            <w:rFonts w:ascii="Cambria Math" w:hAnsi="Cambria Math"/>
            <w:lang w:val="en-GB" w:eastAsia="en-US"/>
          </w:rPr>
          <m:t>p</m:t>
        </m:r>
      </m:oMath>
      <w:r>
        <w:rPr>
          <w:lang w:val="en-GB" w:eastAsia="en-US"/>
        </w:rPr>
        <w:t xml:space="preserve"> falls below 0.05.</w:t>
      </w:r>
    </w:p>
    <w:p w14:paraId="0D2145C3" w14:textId="51440393" w:rsidR="00047C5F" w:rsidRDefault="00047C5F" w:rsidP="00047C5F">
      <w:pPr>
        <w:pStyle w:val="ListParagraph"/>
        <w:numPr>
          <w:ilvl w:val="0"/>
          <w:numId w:val="20"/>
        </w:numPr>
        <w:rPr>
          <w:lang w:val="en-GB" w:eastAsia="en-US"/>
        </w:rPr>
      </w:pPr>
      <w:r w:rsidRPr="00047C5F">
        <w:rPr>
          <w:lang w:val="en-GB" w:eastAsia="en-US"/>
        </w:rPr>
        <w:t>a display severity on 0</w:t>
      </w:r>
      <w:r>
        <w:rPr>
          <w:lang w:val="en-GB" w:eastAsia="en-US"/>
        </w:rPr>
        <w:t>-1, which is t</w:t>
      </w:r>
      <w:r w:rsidRPr="00047C5F">
        <w:rPr>
          <w:lang w:val="en-GB" w:eastAsia="en-US"/>
        </w:rPr>
        <w:t>he slope expressed in background-</w:t>
      </w:r>
      <m:oMath>
        <m:r>
          <w:rPr>
            <w:rFonts w:ascii="Cambria Math" w:hAnsi="Cambria Math"/>
          </w:rPr>
          <m:t>σ</m:t>
        </m:r>
      </m:oMath>
      <w:r w:rsidRPr="00047C5F">
        <w:rPr>
          <w:lang w:val="en-GB" w:eastAsia="en-US"/>
        </w:rPr>
        <w:t>-per-year and clamped</w:t>
      </w:r>
      <w:r>
        <w:rPr>
          <w:lang w:val="en-GB" w:eastAsia="en-US"/>
        </w:rPr>
        <w:t>. It is also</w:t>
      </w:r>
      <w:r w:rsidRPr="00047C5F">
        <w:rPr>
          <w:lang w:val="en-GB" w:eastAsia="en-US"/>
        </w:rPr>
        <w:t xml:space="preserve"> directional so that the </w:t>
      </w:r>
      <w:r>
        <w:rPr>
          <w:lang w:val="en-GB" w:eastAsia="en-US"/>
        </w:rPr>
        <w:t>“</w:t>
      </w:r>
      <w:r w:rsidRPr="00047C5F">
        <w:rPr>
          <w:lang w:val="en-GB" w:eastAsia="en-US"/>
        </w:rPr>
        <w:t>worrying</w:t>
      </w:r>
      <w:r>
        <w:rPr>
          <w:lang w:val="en-GB" w:eastAsia="en-US"/>
        </w:rPr>
        <w:t xml:space="preserve">” </w:t>
      </w:r>
      <w:r w:rsidRPr="00047C5F">
        <w:rPr>
          <w:lang w:val="en-GB" w:eastAsia="en-US"/>
        </w:rPr>
        <w:t>sign depends on the indicator</w:t>
      </w:r>
      <w:r>
        <w:rPr>
          <w:lang w:val="en-GB" w:eastAsia="en-US"/>
        </w:rPr>
        <w:t>;</w:t>
      </w:r>
    </w:p>
    <w:p w14:paraId="6734C7A1" w14:textId="15042A5F" w:rsidR="00047C5F" w:rsidRPr="00047C5F" w:rsidRDefault="00047C5F" w:rsidP="00047C5F">
      <w:pPr>
        <w:pStyle w:val="ListParagraph"/>
        <w:numPr>
          <w:ilvl w:val="0"/>
          <w:numId w:val="20"/>
        </w:numPr>
        <w:rPr>
          <w:lang w:val="en-GB" w:eastAsia="en-US"/>
        </w:rPr>
      </w:pPr>
      <w:r>
        <w:rPr>
          <w:lang w:val="en-GB" w:eastAsia="en-US"/>
        </w:rPr>
        <w:t>a confidence.</w:t>
      </w:r>
    </w:p>
    <w:p w14:paraId="34AE02EB" w14:textId="5488F312" w:rsidR="00ED7CDA" w:rsidRPr="00047C5F" w:rsidRDefault="00047C5F" w:rsidP="00047C5F">
      <w:pPr>
        <w:rPr>
          <w:lang w:val="en-GB" w:eastAsia="en-US"/>
        </w:rPr>
      </w:pPr>
      <w:r w:rsidRPr="00047C5F">
        <w:rPr>
          <w:lang w:val="en-GB" w:eastAsia="en-US"/>
        </w:rPr>
        <w:t xml:space="preserve">Whether a trend is reported at all </w:t>
      </w:r>
      <w:r>
        <w:rPr>
          <w:lang w:val="en-GB" w:eastAsia="en-US"/>
        </w:rPr>
        <w:t>depends on</w:t>
      </w:r>
      <w:r w:rsidRPr="00047C5F">
        <w:rPr>
          <w:lang w:val="en-GB" w:eastAsia="en-US"/>
        </w:rPr>
        <w:t xml:space="preserve"> data sufficiency</w:t>
      </w:r>
      <w:r>
        <w:rPr>
          <w:lang w:val="en-GB" w:eastAsia="en-US"/>
        </w:rPr>
        <w:t xml:space="preserve">, </w:t>
      </w:r>
      <w:r w:rsidRPr="00047C5F">
        <w:rPr>
          <w:lang w:val="en-GB" w:eastAsia="en-US"/>
        </w:rPr>
        <w:t xml:space="preserve">while the underlying series and are still </w:t>
      </w:r>
      <w:r>
        <w:rPr>
          <w:lang w:val="en-GB" w:eastAsia="en-US"/>
        </w:rPr>
        <w:t>displayed</w:t>
      </w:r>
      <w:r w:rsidRPr="00047C5F">
        <w:rPr>
          <w:lang w:val="en-GB" w:eastAsia="en-US"/>
        </w:rPr>
        <w:t xml:space="preserve"> so the user can see why. </w:t>
      </w:r>
      <w:r>
        <w:rPr>
          <w:lang w:val="en-GB" w:eastAsia="en-US"/>
        </w:rPr>
        <w:t xml:space="preserve"> </w:t>
      </w:r>
      <w:r w:rsidR="00DD5309" w:rsidRPr="00047C5F">
        <w:rPr>
          <w:lang w:val="en-GB" w:eastAsia="en-US"/>
        </w:rPr>
        <w:t xml:space="preserve">Both non-parametric </w:t>
      </w:r>
      <w:r>
        <w:rPr>
          <w:lang w:val="en-GB" w:eastAsia="en-US"/>
        </w:rPr>
        <w:t>trend estimators are</w:t>
      </w:r>
      <w:r w:rsidR="00DD5309" w:rsidRPr="00047C5F">
        <w:rPr>
          <w:lang w:val="en-GB" w:eastAsia="en-US"/>
        </w:rPr>
        <w:t xml:space="preserve"> chosen over ordinary least-squares</w:t>
      </w:r>
      <w:r w:rsidR="00DD5309" w:rsidRPr="00047C5F">
        <w:rPr>
          <w:lang w:val="en-GB" w:eastAsia="en-US"/>
        </w:rPr>
        <w:t xml:space="preserve"> (OLS)</w:t>
      </w:r>
      <w:r w:rsidR="00DD5309" w:rsidRPr="00047C5F">
        <w:rPr>
          <w:lang w:val="en-GB" w:eastAsia="en-US"/>
        </w:rPr>
        <w:t xml:space="preserve"> regression because satellite time series are heavy-tailed</w:t>
      </w:r>
      <w:r w:rsidR="00DD5309" w:rsidRPr="00047C5F">
        <w:rPr>
          <w:lang w:val="en-GB" w:eastAsia="en-US"/>
        </w:rPr>
        <w:t xml:space="preserve">. This means that </w:t>
      </w:r>
      <w:r w:rsidR="00DD5309" w:rsidRPr="00047C5F">
        <w:rPr>
          <w:lang w:val="en-GB" w:eastAsia="en-US"/>
        </w:rPr>
        <w:t xml:space="preserve">cloud-affected days, retrieval dropouts, and the occasional extreme value would drag an OLS line, </w:t>
      </w:r>
      <w:r w:rsidR="00DD5309" w:rsidRPr="00047C5F">
        <w:rPr>
          <w:lang w:val="en-GB" w:eastAsia="en-US"/>
        </w:rPr>
        <w:t>but not the</w:t>
      </w:r>
      <w:r w:rsidR="00DD5309" w:rsidRPr="00047C5F">
        <w:rPr>
          <w:lang w:val="en-GB" w:eastAsia="en-US"/>
        </w:rPr>
        <w:t xml:space="preserve"> median-of-slopes </w:t>
      </w:r>
      <w:r w:rsidR="00DD5309" w:rsidRPr="00047C5F">
        <w:rPr>
          <w:lang w:val="en-GB" w:eastAsia="en-US"/>
        </w:rPr>
        <w:t xml:space="preserve">nor </w:t>
      </w:r>
      <w:r w:rsidR="00DD5309" w:rsidRPr="00047C5F">
        <w:rPr>
          <w:lang w:val="en-GB" w:eastAsia="en-US"/>
        </w:rPr>
        <w:t>the Mann–Kendall p-value</w:t>
      </w:r>
      <w:r w:rsidR="00DD5309" w:rsidRPr="00047C5F">
        <w:rPr>
          <w:lang w:val="en-GB" w:eastAsia="en-US"/>
        </w:rPr>
        <w:t>, which</w:t>
      </w:r>
      <w:r w:rsidR="00DD5309" w:rsidRPr="00047C5F">
        <w:rPr>
          <w:lang w:val="en-GB" w:eastAsia="en-US"/>
        </w:rPr>
        <w:t xml:space="preserve"> guards against </w:t>
      </w:r>
      <w:r w:rsidR="00DD5309" w:rsidRPr="00047C5F">
        <w:rPr>
          <w:lang w:val="en-GB" w:eastAsia="en-US"/>
        </w:rPr>
        <w:t xml:space="preserve">misreading </w:t>
      </w:r>
      <w:r w:rsidR="00DD5309" w:rsidRPr="00047C5F">
        <w:rPr>
          <w:lang w:val="en-GB" w:eastAsia="en-US"/>
        </w:rPr>
        <w:t>noise</w:t>
      </w:r>
      <w:r w:rsidR="00DD5309" w:rsidRPr="00047C5F">
        <w:rPr>
          <w:lang w:val="en-GB" w:eastAsia="en-US"/>
        </w:rPr>
        <w:t xml:space="preserve"> not a trend</w:t>
      </w:r>
      <w:r w:rsidR="00DD5309" w:rsidRPr="00047C5F">
        <w:rPr>
          <w:lang w:val="en-GB" w:eastAsia="en-US"/>
        </w:rPr>
        <w:t>.</w:t>
      </w:r>
    </w:p>
    <w:p w14:paraId="0021FF1B" w14:textId="6642591A" w:rsidR="00DD5309" w:rsidRDefault="00DD5309" w:rsidP="00DD5309">
      <w:pPr>
        <w:rPr>
          <w:lang w:val="en-GB" w:eastAsia="en-US"/>
        </w:rPr>
      </w:pPr>
      <w:r>
        <w:rPr>
          <w:lang w:val="en-GB" w:eastAsia="en-US"/>
        </w:rPr>
        <w:lastRenderedPageBreak/>
        <w:t>A</w:t>
      </w:r>
      <w:r w:rsidRPr="00DD5309">
        <w:rPr>
          <w:lang w:val="en-GB" w:eastAsia="en-US"/>
        </w:rPr>
        <w:t xml:space="preserve"> trend</w:t>
      </w:r>
      <w:r>
        <w:rPr>
          <w:lang w:val="en-GB" w:eastAsia="en-US"/>
        </w:rPr>
        <w:t xml:space="preserve"> “value”</w:t>
      </w:r>
      <w:r w:rsidRPr="00DD5309">
        <w:rPr>
          <w:lang w:val="en-GB" w:eastAsia="en-US"/>
        </w:rPr>
        <w:t xml:space="preserve"> is computed on demand, per indicator</w:t>
      </w:r>
      <w:r>
        <w:rPr>
          <w:lang w:val="en-GB" w:eastAsia="en-US"/>
        </w:rPr>
        <w:t xml:space="preserve">; it is </w:t>
      </w:r>
      <w:r w:rsidRPr="00DD5309">
        <w:rPr>
          <w:lang w:val="en-GB" w:eastAsia="en-US"/>
        </w:rPr>
        <w:t>never aggregated across indicators, because averaging the incommensurable, noisy, sparse slopes of chemically unrelated signals produces a number with no physical meaning (Section 7.9</w:t>
      </w:r>
      <w:r>
        <w:rPr>
          <w:lang w:val="en-GB" w:eastAsia="en-US"/>
        </w:rPr>
        <w:t>). Then</w:t>
      </w:r>
      <w:r w:rsidRPr="00DD5309">
        <w:rPr>
          <w:lang w:val="en-GB" w:eastAsia="en-US"/>
        </w:rPr>
        <w:t xml:space="preserve">, it </w:t>
      </w:r>
      <w:r>
        <w:rPr>
          <w:lang w:val="en-GB" w:eastAsia="en-US"/>
        </w:rPr>
        <w:t>does not</w:t>
      </w:r>
      <w:r w:rsidRPr="00DD5309">
        <w:rPr>
          <w:lang w:val="en-GB" w:eastAsia="en-US"/>
        </w:rPr>
        <w:t xml:space="preserve"> the composite or the confidence chain</w:t>
      </w:r>
      <w:r>
        <w:rPr>
          <w:lang w:val="en-GB" w:eastAsia="en-US"/>
        </w:rPr>
        <w:t xml:space="preserve"> given that</w:t>
      </w:r>
      <w:r w:rsidRPr="00DD5309">
        <w:rPr>
          <w:lang w:val="en-GB" w:eastAsia="en-US"/>
        </w:rPr>
        <w:t xml:space="preserve"> </w:t>
      </w:r>
      <w:r>
        <w:rPr>
          <w:lang w:val="en-GB" w:eastAsia="en-US"/>
        </w:rPr>
        <w:t xml:space="preserve">it is </w:t>
      </w:r>
      <w:r w:rsidRPr="00DD5309">
        <w:rPr>
          <w:lang w:val="en-GB" w:eastAsia="en-US"/>
        </w:rPr>
        <w:t xml:space="preserve">a monitoring finding, not a screening one. </w:t>
      </w:r>
      <w:r>
        <w:rPr>
          <w:lang w:val="en-GB" w:eastAsia="en-US"/>
        </w:rPr>
        <w:t>Further details will be provided in</w:t>
      </w:r>
      <w:r w:rsidRPr="00DD5309">
        <w:rPr>
          <w:lang w:val="en-GB" w:eastAsia="en-US"/>
        </w:rPr>
        <w:t xml:space="preserve"> the monitoring workflow is described (Section 9).</w:t>
      </w:r>
    </w:p>
    <w:p w14:paraId="18E565CA" w14:textId="7852A110" w:rsidR="00B07332" w:rsidRPr="00DD5309" w:rsidRDefault="00B07332" w:rsidP="00DD5309">
      <w:pPr>
        <w:rPr>
          <w:lang w:val="en-GB" w:eastAsia="en-US"/>
        </w:rPr>
      </w:pPr>
    </w:p>
    <w:p w14:paraId="04712921" w14:textId="37683B0C" w:rsidR="00183FC8" w:rsidRDefault="00B50197">
      <w:pPr>
        <w:pStyle w:val="Heading1"/>
      </w:pPr>
      <w:r>
        <w:br w:type="page"/>
      </w:r>
      <w:bookmarkStart w:id="50" w:name="_Toc231372543"/>
      <w:r>
        <w:lastRenderedPageBreak/>
        <w:t>8.0</w:t>
      </w:r>
      <w:r>
        <w:tab/>
        <w:t>System Architecture and Tool Implementation</w:t>
      </w:r>
      <w:bookmarkEnd w:id="50"/>
    </w:p>
    <w:p w14:paraId="044399E7" w14:textId="77777777" w:rsidR="00183FC8" w:rsidRDefault="00B50197">
      <w:pPr>
        <w:rPr>
          <w:i/>
          <w:color w:val="808080"/>
          <w:lang w:val="en-GB"/>
        </w:rPr>
      </w:pPr>
      <w:r>
        <w:rPr>
          <w:i/>
          <w:color w:val="808080"/>
          <w:lang w:val="en-GB"/>
        </w:rPr>
        <w:t>[Section introduction: one sentence outlining what this chapter covers.]</w:t>
      </w:r>
    </w:p>
    <w:p w14:paraId="3073EE43" w14:textId="77777777" w:rsidR="00183FC8" w:rsidRDefault="00B50197">
      <w:pPr>
        <w:pStyle w:val="Heading3"/>
      </w:pPr>
      <w:bookmarkStart w:id="51" w:name="_Toc231372544"/>
      <w:r>
        <w:t>8.1</w:t>
      </w:r>
      <w:r>
        <w:tab/>
        <w:t>From Google Earth Engine scripts to a Python application</w:t>
      </w:r>
      <w:bookmarkEnd w:id="51"/>
    </w:p>
    <w:p w14:paraId="6A8854C8" w14:textId="77777777" w:rsidR="00183FC8" w:rsidRDefault="00183FC8">
      <w:pPr>
        <w:rPr>
          <w:lang w:val="en-GB"/>
        </w:rPr>
      </w:pPr>
    </w:p>
    <w:p w14:paraId="0B2971B3" w14:textId="77777777" w:rsidR="00183FC8" w:rsidRDefault="00B50197">
      <w:pPr>
        <w:pStyle w:val="Heading3"/>
      </w:pPr>
      <w:bookmarkStart w:id="52" w:name="_Toc231372545"/>
      <w:r>
        <w:t>8.2</w:t>
      </w:r>
      <w:r>
        <w:tab/>
        <w:t>System architecture</w:t>
      </w:r>
      <w:bookmarkEnd w:id="52"/>
    </w:p>
    <w:p w14:paraId="4FFB88DD" w14:textId="77777777" w:rsidR="00183FC8" w:rsidRDefault="00183FC8">
      <w:pPr>
        <w:rPr>
          <w:lang w:val="en-GB"/>
        </w:rPr>
      </w:pPr>
    </w:p>
    <w:p w14:paraId="7FBE5FE5" w14:textId="77777777" w:rsidR="00183FC8" w:rsidRDefault="00B50197">
      <w:pPr>
        <w:pStyle w:val="Heading3"/>
      </w:pPr>
      <w:bookmarkStart w:id="53" w:name="_Toc231372546"/>
      <w:r>
        <w:t>8.3</w:t>
      </w:r>
      <w:r>
        <w:tab/>
        <w:t>The indicator engine</w:t>
      </w:r>
      <w:bookmarkEnd w:id="53"/>
    </w:p>
    <w:p w14:paraId="4571DDAF" w14:textId="77777777" w:rsidR="00183FC8" w:rsidRDefault="00183FC8">
      <w:pPr>
        <w:rPr>
          <w:lang w:val="en-GB"/>
        </w:rPr>
      </w:pPr>
    </w:p>
    <w:p w14:paraId="3C526867" w14:textId="77777777" w:rsidR="00183FC8" w:rsidRDefault="00B50197">
      <w:pPr>
        <w:pStyle w:val="Heading3"/>
      </w:pPr>
      <w:bookmarkStart w:id="54" w:name="_Toc231372547"/>
      <w:r>
        <w:t>8.4</w:t>
      </w:r>
      <w:r>
        <w:tab/>
        <w:t>Data sources and integration</w:t>
      </w:r>
      <w:bookmarkEnd w:id="54"/>
    </w:p>
    <w:p w14:paraId="407C0B7D" w14:textId="77777777" w:rsidR="00183FC8" w:rsidRDefault="00183FC8">
      <w:pPr>
        <w:rPr>
          <w:lang w:val="en-GB"/>
        </w:rPr>
      </w:pPr>
    </w:p>
    <w:p w14:paraId="71D18C9B" w14:textId="77777777" w:rsidR="00183FC8" w:rsidRDefault="00B50197">
      <w:pPr>
        <w:pStyle w:val="Heading3"/>
      </w:pPr>
      <w:bookmarkStart w:id="55" w:name="_Toc231372548"/>
      <w:r>
        <w:t>8.5</w:t>
      </w:r>
      <w:r>
        <w:tab/>
        <w:t>Testing and verification</w:t>
      </w:r>
      <w:bookmarkEnd w:id="55"/>
    </w:p>
    <w:p w14:paraId="0F0BFA1E" w14:textId="77777777" w:rsidR="00183FC8" w:rsidRDefault="00183FC8">
      <w:pPr>
        <w:rPr>
          <w:lang w:val="en-GB"/>
        </w:rPr>
      </w:pPr>
    </w:p>
    <w:p w14:paraId="59870246" w14:textId="77777777" w:rsidR="00183FC8" w:rsidRDefault="00B50197">
      <w:pPr>
        <w:pStyle w:val="Heading1"/>
      </w:pPr>
      <w:r>
        <w:br w:type="page"/>
      </w:r>
      <w:bookmarkStart w:id="56" w:name="_Toc231372549"/>
      <w:r>
        <w:lastRenderedPageBreak/>
        <w:t>9.0</w:t>
      </w:r>
      <w:r>
        <w:tab/>
        <w:t>Platform and Visualisation Design</w:t>
      </w:r>
      <w:bookmarkEnd w:id="56"/>
    </w:p>
    <w:p w14:paraId="2B6F2C2B" w14:textId="77777777" w:rsidR="00183FC8" w:rsidRDefault="00B50197">
      <w:pPr>
        <w:rPr>
          <w:i/>
          <w:color w:val="808080"/>
          <w:lang w:val="en-GB"/>
        </w:rPr>
      </w:pPr>
      <w:r>
        <w:rPr>
          <w:i/>
          <w:color w:val="808080"/>
          <w:lang w:val="en-GB"/>
        </w:rPr>
        <w:t>[Section introduction: one sentence outlining what this chapter covers.]</w:t>
      </w:r>
    </w:p>
    <w:p w14:paraId="62FE474F" w14:textId="77777777" w:rsidR="00183FC8" w:rsidRDefault="00B50197">
      <w:pPr>
        <w:pStyle w:val="Heading3"/>
      </w:pPr>
      <w:bookmarkStart w:id="57" w:name="_Toc231372550"/>
      <w:r>
        <w:t>9.1</w:t>
      </w:r>
      <w:r>
        <w:tab/>
        <w:t>Application workflow and page structure</w:t>
      </w:r>
      <w:bookmarkEnd w:id="57"/>
    </w:p>
    <w:p w14:paraId="50028BCC" w14:textId="77777777" w:rsidR="00183FC8" w:rsidRDefault="00183FC8">
      <w:pPr>
        <w:rPr>
          <w:lang w:val="en-GB"/>
        </w:rPr>
      </w:pPr>
    </w:p>
    <w:p w14:paraId="0CB9F2BF" w14:textId="77777777" w:rsidR="00183FC8" w:rsidRDefault="00B50197">
      <w:pPr>
        <w:pStyle w:val="Heading3"/>
      </w:pPr>
      <w:bookmarkStart w:id="58" w:name="_Toc231372551"/>
      <w:r>
        <w:t>9.2</w:t>
      </w:r>
      <w:r>
        <w:tab/>
        <w:t>Screening and prioritisation results</w:t>
      </w:r>
      <w:bookmarkEnd w:id="58"/>
    </w:p>
    <w:p w14:paraId="54A23080" w14:textId="77777777" w:rsidR="00183FC8" w:rsidRDefault="00183FC8">
      <w:pPr>
        <w:rPr>
          <w:lang w:val="en-GB"/>
        </w:rPr>
      </w:pPr>
    </w:p>
    <w:p w14:paraId="6D2B714B" w14:textId="77777777" w:rsidR="00183FC8" w:rsidRDefault="00B50197">
      <w:pPr>
        <w:pStyle w:val="Heading3"/>
      </w:pPr>
      <w:bookmarkStart w:id="59" w:name="_Toc231372552"/>
      <w:r>
        <w:t>9.3</w:t>
      </w:r>
      <w:r>
        <w:tab/>
        <w:t>Risk matrix and verbal summaries</w:t>
      </w:r>
      <w:bookmarkEnd w:id="59"/>
    </w:p>
    <w:p w14:paraId="36A63F6F" w14:textId="77777777" w:rsidR="00183FC8" w:rsidRDefault="00183FC8">
      <w:pPr>
        <w:rPr>
          <w:lang w:val="en-GB"/>
        </w:rPr>
      </w:pPr>
    </w:p>
    <w:p w14:paraId="22DC6276" w14:textId="77777777" w:rsidR="00183FC8" w:rsidRDefault="00B50197">
      <w:pPr>
        <w:pStyle w:val="Heading3"/>
      </w:pPr>
      <w:bookmarkStart w:id="60" w:name="_Toc231372553"/>
      <w:r>
        <w:t>9.4</w:t>
      </w:r>
      <w:r>
        <w:tab/>
        <w:t>Reporting and export</w:t>
      </w:r>
      <w:bookmarkEnd w:id="60"/>
    </w:p>
    <w:p w14:paraId="7BBA1A3C" w14:textId="77777777" w:rsidR="00183FC8" w:rsidRDefault="00183FC8">
      <w:pPr>
        <w:rPr>
          <w:lang w:val="en-GB"/>
        </w:rPr>
      </w:pPr>
    </w:p>
    <w:p w14:paraId="2D8D7A0B" w14:textId="77777777" w:rsidR="00183FC8" w:rsidRDefault="00B50197">
      <w:pPr>
        <w:pStyle w:val="Heading3"/>
      </w:pPr>
      <w:bookmarkStart w:id="61" w:name="_Toc231372554"/>
      <w:r>
        <w:t>9.5</w:t>
      </w:r>
      <w:r>
        <w:tab/>
        <w:t>Visual alignment with the parent platform</w:t>
      </w:r>
      <w:bookmarkEnd w:id="61"/>
    </w:p>
    <w:p w14:paraId="278FB06B" w14:textId="77777777" w:rsidR="00183FC8" w:rsidRDefault="00183FC8">
      <w:pPr>
        <w:rPr>
          <w:lang w:val="en-GB"/>
        </w:rPr>
      </w:pPr>
    </w:p>
    <w:p w14:paraId="4E6FCA18" w14:textId="77777777" w:rsidR="00183FC8" w:rsidRDefault="00B50197">
      <w:pPr>
        <w:pStyle w:val="Heading1"/>
      </w:pPr>
      <w:r>
        <w:br w:type="page"/>
      </w:r>
      <w:bookmarkStart w:id="62" w:name="_Toc231372555"/>
      <w:r>
        <w:lastRenderedPageBreak/>
        <w:t>10.0</w:t>
      </w:r>
      <w:r>
        <w:tab/>
        <w:t>Case Study</w:t>
      </w:r>
      <w:bookmarkEnd w:id="62"/>
    </w:p>
    <w:p w14:paraId="31A8D0AA" w14:textId="77777777" w:rsidR="00183FC8" w:rsidRDefault="00B50197">
      <w:pPr>
        <w:rPr>
          <w:i/>
          <w:color w:val="808080"/>
          <w:lang w:val="en-GB"/>
        </w:rPr>
      </w:pPr>
      <w:r>
        <w:rPr>
          <w:i/>
          <w:color w:val="808080"/>
          <w:lang w:val="en-GB"/>
        </w:rPr>
        <w:t>[Section introduction: one sentence outlining what this chapter covers.]</w:t>
      </w:r>
    </w:p>
    <w:p w14:paraId="3459CA59" w14:textId="77777777" w:rsidR="00183FC8" w:rsidRDefault="00B50197">
      <w:pPr>
        <w:pStyle w:val="Heading3"/>
      </w:pPr>
      <w:bookmarkStart w:id="63" w:name="_Toc231372556"/>
      <w:r>
        <w:t>10.1</w:t>
      </w:r>
      <w:r>
        <w:tab/>
        <w:t>Method</w:t>
      </w:r>
      <w:bookmarkEnd w:id="63"/>
    </w:p>
    <w:p w14:paraId="73B481D5" w14:textId="77777777" w:rsidR="00183FC8" w:rsidRDefault="00183FC8">
      <w:pPr>
        <w:rPr>
          <w:lang w:val="en-GB"/>
        </w:rPr>
      </w:pPr>
    </w:p>
    <w:p w14:paraId="6EE5CFD9" w14:textId="77777777" w:rsidR="00183FC8" w:rsidRDefault="00B50197">
      <w:pPr>
        <w:pStyle w:val="Heading3"/>
      </w:pPr>
      <w:bookmarkStart w:id="64" w:name="_Toc231372557"/>
      <w:r>
        <w:t>10.2</w:t>
      </w:r>
      <w:r>
        <w:tab/>
        <w:t>High-signal site</w:t>
      </w:r>
      <w:bookmarkEnd w:id="64"/>
    </w:p>
    <w:p w14:paraId="0163A143" w14:textId="77777777" w:rsidR="00183FC8" w:rsidRDefault="00183FC8">
      <w:pPr>
        <w:rPr>
          <w:lang w:val="en-GB"/>
        </w:rPr>
      </w:pPr>
    </w:p>
    <w:p w14:paraId="662E2A54" w14:textId="77777777" w:rsidR="00183FC8" w:rsidRDefault="00B50197">
      <w:pPr>
        <w:pStyle w:val="Heading3"/>
      </w:pPr>
      <w:bookmarkStart w:id="65" w:name="_Toc231372558"/>
      <w:r>
        <w:t>10.3</w:t>
      </w:r>
      <w:r>
        <w:tab/>
        <w:t>Low-signal site</w:t>
      </w:r>
      <w:bookmarkEnd w:id="65"/>
    </w:p>
    <w:p w14:paraId="141AD20E" w14:textId="77777777" w:rsidR="00183FC8" w:rsidRDefault="00183FC8">
      <w:pPr>
        <w:rPr>
          <w:lang w:val="en-GB"/>
        </w:rPr>
      </w:pPr>
    </w:p>
    <w:p w14:paraId="63F9137D" w14:textId="77777777" w:rsidR="00183FC8" w:rsidRDefault="00B50197">
      <w:pPr>
        <w:pStyle w:val="Heading3"/>
      </w:pPr>
      <w:bookmarkStart w:id="66" w:name="_Toc231372559"/>
      <w:r>
        <w:t>10.4</w:t>
      </w:r>
      <w:r>
        <w:tab/>
        <w:t>Discussion of results</w:t>
      </w:r>
      <w:bookmarkEnd w:id="66"/>
    </w:p>
    <w:p w14:paraId="656D8949" w14:textId="77777777" w:rsidR="00183FC8" w:rsidRDefault="00183FC8">
      <w:pPr>
        <w:rPr>
          <w:lang w:val="en-GB"/>
        </w:rPr>
      </w:pPr>
    </w:p>
    <w:p w14:paraId="36389E6C" w14:textId="77777777" w:rsidR="00183FC8" w:rsidRDefault="00B50197">
      <w:pPr>
        <w:pStyle w:val="Heading1"/>
      </w:pPr>
      <w:r>
        <w:br w:type="page"/>
      </w:r>
      <w:bookmarkStart w:id="67" w:name="_Toc231372560"/>
      <w:r>
        <w:lastRenderedPageBreak/>
        <w:t>11.0</w:t>
      </w:r>
      <w:r>
        <w:tab/>
        <w:t>Discussion</w:t>
      </w:r>
      <w:bookmarkEnd w:id="67"/>
    </w:p>
    <w:p w14:paraId="3522541A" w14:textId="77777777" w:rsidR="00183FC8" w:rsidRDefault="00B50197">
      <w:pPr>
        <w:rPr>
          <w:i/>
          <w:color w:val="808080"/>
          <w:lang w:val="en-GB"/>
        </w:rPr>
      </w:pPr>
      <w:r>
        <w:rPr>
          <w:i/>
          <w:color w:val="808080"/>
          <w:lang w:val="en-GB"/>
        </w:rPr>
        <w:t>[Section introduction: one sentence outlining what this chapter covers.]</w:t>
      </w:r>
    </w:p>
    <w:p w14:paraId="01012C23" w14:textId="77777777" w:rsidR="00183FC8" w:rsidRDefault="00B50197">
      <w:pPr>
        <w:pStyle w:val="Heading3"/>
      </w:pPr>
      <w:bookmarkStart w:id="68" w:name="_Toc231372561"/>
      <w:r>
        <w:t>11.1</w:t>
      </w:r>
      <w:r>
        <w:tab/>
        <w:t>Achievement against objectives</w:t>
      </w:r>
      <w:bookmarkEnd w:id="68"/>
    </w:p>
    <w:p w14:paraId="2506E128" w14:textId="77777777" w:rsidR="00183FC8" w:rsidRDefault="00183FC8">
      <w:pPr>
        <w:rPr>
          <w:lang w:val="en-GB"/>
        </w:rPr>
      </w:pPr>
    </w:p>
    <w:p w14:paraId="13F875FB" w14:textId="77777777" w:rsidR="00183FC8" w:rsidRDefault="00B50197">
      <w:pPr>
        <w:pStyle w:val="Heading3"/>
      </w:pPr>
      <w:bookmarkStart w:id="69" w:name="_Toc231372562"/>
      <w:r>
        <w:t>11.2</w:t>
      </w:r>
      <w:r>
        <w:tab/>
        <w:t>Limitations</w:t>
      </w:r>
      <w:bookmarkEnd w:id="69"/>
    </w:p>
    <w:p w14:paraId="3DD2D0DF" w14:textId="77777777" w:rsidR="00183FC8" w:rsidRDefault="00183FC8">
      <w:pPr>
        <w:rPr>
          <w:lang w:val="en-GB"/>
        </w:rPr>
      </w:pPr>
    </w:p>
    <w:p w14:paraId="5BA3E36C" w14:textId="77777777" w:rsidR="00183FC8" w:rsidRDefault="00B50197">
      <w:pPr>
        <w:pStyle w:val="Heading3"/>
      </w:pPr>
      <w:bookmarkStart w:id="70" w:name="_Toc231372563"/>
      <w:r>
        <w:t>11.3</w:t>
      </w:r>
      <w:r>
        <w:tab/>
        <w:t>What satellite data can responsibly claim</w:t>
      </w:r>
      <w:bookmarkEnd w:id="70"/>
    </w:p>
    <w:p w14:paraId="395897AD" w14:textId="77777777" w:rsidR="00183FC8" w:rsidRDefault="00183FC8">
      <w:pPr>
        <w:rPr>
          <w:lang w:val="en-GB"/>
        </w:rPr>
      </w:pPr>
    </w:p>
    <w:p w14:paraId="16BFA1D7" w14:textId="77777777" w:rsidR="00183FC8" w:rsidRDefault="00B50197">
      <w:pPr>
        <w:pStyle w:val="Heading1"/>
      </w:pPr>
      <w:r>
        <w:br w:type="page"/>
      </w:r>
      <w:bookmarkStart w:id="71" w:name="_Toc231372564"/>
      <w:r>
        <w:lastRenderedPageBreak/>
        <w:t>12.0</w:t>
      </w:r>
      <w:r>
        <w:tab/>
        <w:t>Conclusions and Recommendations</w:t>
      </w:r>
      <w:bookmarkEnd w:id="71"/>
    </w:p>
    <w:p w14:paraId="50B06E5A" w14:textId="77777777" w:rsidR="00183FC8" w:rsidRDefault="00B50197">
      <w:pPr>
        <w:rPr>
          <w:i/>
          <w:color w:val="808080"/>
          <w:lang w:val="en-GB"/>
        </w:rPr>
      </w:pPr>
      <w:r>
        <w:rPr>
          <w:i/>
          <w:color w:val="808080"/>
          <w:lang w:val="en-GB"/>
        </w:rPr>
        <w:t>[Section introduction: one sentence outlining what this chapter covers.]</w:t>
      </w:r>
    </w:p>
    <w:p w14:paraId="1B8643D8" w14:textId="77777777" w:rsidR="00183FC8" w:rsidRDefault="00B50197">
      <w:pPr>
        <w:pStyle w:val="Heading3"/>
      </w:pPr>
      <w:bookmarkStart w:id="72" w:name="_Toc231372565"/>
      <w:r>
        <w:t>12.1</w:t>
      </w:r>
      <w:r>
        <w:tab/>
        <w:t>Conclusions</w:t>
      </w:r>
      <w:bookmarkEnd w:id="72"/>
    </w:p>
    <w:p w14:paraId="08E58472" w14:textId="77777777" w:rsidR="00183FC8" w:rsidRDefault="00183FC8">
      <w:pPr>
        <w:rPr>
          <w:lang w:val="en-GB"/>
        </w:rPr>
      </w:pPr>
    </w:p>
    <w:p w14:paraId="6816CE1F" w14:textId="77777777" w:rsidR="00183FC8" w:rsidRDefault="00B50197">
      <w:pPr>
        <w:pStyle w:val="Heading3"/>
      </w:pPr>
      <w:bookmarkStart w:id="73" w:name="_Toc231372566"/>
      <w:r>
        <w:t>12.2</w:t>
      </w:r>
      <w:r>
        <w:tab/>
        <w:t>Recommendations for the GSCO team</w:t>
      </w:r>
      <w:bookmarkEnd w:id="73"/>
    </w:p>
    <w:p w14:paraId="4DEE6AC1" w14:textId="77777777" w:rsidR="00183FC8" w:rsidRDefault="00183FC8">
      <w:pPr>
        <w:rPr>
          <w:lang w:val="en-GB"/>
        </w:rPr>
      </w:pPr>
    </w:p>
    <w:p w14:paraId="4E8252BE" w14:textId="77777777" w:rsidR="00183FC8" w:rsidRDefault="00B50197">
      <w:pPr>
        <w:pStyle w:val="Heading3"/>
      </w:pPr>
      <w:bookmarkStart w:id="74" w:name="_Toc231372567"/>
      <w:r>
        <w:t>12.3</w:t>
      </w:r>
      <w:r>
        <w:tab/>
        <w:t>Future work</w:t>
      </w:r>
      <w:bookmarkEnd w:id="74"/>
    </w:p>
    <w:p w14:paraId="78AD1AB0" w14:textId="77777777" w:rsidR="00183FC8" w:rsidRDefault="00183FC8">
      <w:pPr>
        <w:rPr>
          <w:lang w:val="en-GB"/>
        </w:rPr>
      </w:pPr>
    </w:p>
    <w:p w14:paraId="23E5BFB6" w14:textId="77777777" w:rsidR="00183FC8" w:rsidRDefault="00B50197">
      <w:pPr>
        <w:pStyle w:val="Heading1"/>
      </w:pPr>
      <w:r>
        <w:br w:type="page"/>
      </w:r>
      <w:bookmarkStart w:id="75" w:name="_Toc231372568"/>
      <w:r>
        <w:lastRenderedPageBreak/>
        <w:t>References</w:t>
      </w:r>
      <w:bookmarkEnd w:id="75"/>
    </w:p>
    <w:p w14:paraId="3FF860A4" w14:textId="77777777" w:rsidR="00183FC8" w:rsidRDefault="00B50197">
      <w:pPr>
        <w:rPr>
          <w:i/>
          <w:color w:val="808080"/>
          <w:lang w:val="en-GB"/>
        </w:rPr>
      </w:pPr>
      <w:r>
        <w:rPr>
          <w:i/>
          <w:color w:val="808080"/>
          <w:lang w:val="en-GB"/>
        </w:rPr>
        <w:t>[Reference list. Use the template Reference style. Citation style to be confirmed with supervisor.]</w:t>
      </w:r>
    </w:p>
    <w:p w14:paraId="0E1C1416" w14:textId="4D3C08D9" w:rsidR="00464209" w:rsidRDefault="00464209" w:rsidP="00D31B08">
      <w:pPr>
        <w:pStyle w:val="font-claude-response-body"/>
      </w:pPr>
      <w:r>
        <w:t xml:space="preserve">Bai, C. and Sarkis, J. (2020) 'A supply chain transparency and sustainability framework', </w:t>
      </w:r>
      <w:r>
        <w:rPr>
          <w:rStyle w:val="Emphasis"/>
        </w:rPr>
        <w:t>Journal of Cleaner Production</w:t>
      </w:r>
      <w:r>
        <w:t>, 246, 118–124.</w:t>
      </w:r>
      <w:r w:rsidRPr="00464209">
        <w:t xml:space="preserve"> </w:t>
      </w:r>
      <w:r>
        <w:br/>
        <w:t xml:space="preserve">doi: </w:t>
      </w:r>
      <w:hyperlink r:id="rId13" w:history="1">
        <w:r w:rsidR="00DC14B1" w:rsidRPr="00155361">
          <w:rPr>
            <w:rStyle w:val="Hyperlink"/>
          </w:rPr>
          <w:t>https://doi.org/10.1080/00207543.2019.1708989</w:t>
        </w:r>
      </w:hyperlink>
      <w:r w:rsidR="00DC14B1">
        <w:t xml:space="preserve">. </w:t>
      </w:r>
    </w:p>
    <w:p w14:paraId="663B36BA" w14:textId="08F22EB0" w:rsidR="00464209" w:rsidRDefault="00464209" w:rsidP="00D31B08">
      <w:pPr>
        <w:pStyle w:val="font-claude-response-body"/>
      </w:pPr>
      <w:r>
        <w:t xml:space="preserve">LeBaron, G., Lister, J. and Dauvergne, P. (2017) 'Governing global supply chain sustainability through the ethical audit regime', </w:t>
      </w:r>
      <w:r>
        <w:rPr>
          <w:rStyle w:val="Emphasis"/>
        </w:rPr>
        <w:t>Globalizations</w:t>
      </w:r>
      <w:r>
        <w:t>, 14(6), pp. 958–975.</w:t>
      </w:r>
      <w:r w:rsidR="0022299F">
        <w:br/>
        <w:t xml:space="preserve">doi: </w:t>
      </w:r>
      <w:hyperlink r:id="rId14" w:history="1">
        <w:r w:rsidR="00DC14B1" w:rsidRPr="00155361">
          <w:rPr>
            <w:rStyle w:val="Hyperlink"/>
          </w:rPr>
          <w:t>https://doi.org/10.1080/14747731.2017.1304008</w:t>
        </w:r>
      </w:hyperlink>
      <w:r w:rsidR="00DC14B1">
        <w:t xml:space="preserve">. </w:t>
      </w:r>
    </w:p>
    <w:p w14:paraId="6C6C979B" w14:textId="55042D89" w:rsidR="00464209" w:rsidRDefault="00464209" w:rsidP="00D31B08">
      <w:pPr>
        <w:pStyle w:val="font-claude-response-body"/>
      </w:pPr>
      <w:r w:rsidRPr="00464209">
        <w:t xml:space="preserve">Zhao, Y., Wu, W., Shen, Z. and Ji, Z. (2025). Supply chain transparency and firm performance: the role of customer trust. Finance Research Letters, [online] 85, p.107880. </w:t>
      </w:r>
      <w:r w:rsidR="0022299F">
        <w:br/>
      </w:r>
      <w:r w:rsidRPr="00464209">
        <w:t>doi:</w:t>
      </w:r>
      <w:r w:rsidR="0022299F">
        <w:t xml:space="preserve"> </w:t>
      </w:r>
      <w:hyperlink r:id="rId15" w:history="1">
        <w:r w:rsidR="00DC14B1" w:rsidRPr="00155361">
          <w:rPr>
            <w:rStyle w:val="Hyperlink"/>
          </w:rPr>
          <w:t>https://doi.org/10.1016/j.frl.2025.107880</w:t>
        </w:r>
      </w:hyperlink>
      <w:r w:rsidR="00DC14B1">
        <w:t>.</w:t>
      </w:r>
    </w:p>
    <w:p w14:paraId="307139E0" w14:textId="6AED7174" w:rsidR="00464209" w:rsidRDefault="0022299F" w:rsidP="00D31B08">
      <w:pPr>
        <w:spacing w:after="240"/>
        <w:jc w:val="left"/>
        <w:rPr>
          <w:rFonts w:ascii="Times New Roman" w:hAnsi="Times New Roman"/>
          <w:lang w:val="en-IT"/>
        </w:rPr>
      </w:pPr>
      <w:r w:rsidRPr="0022299F">
        <w:rPr>
          <w:rFonts w:ascii="Times New Roman" w:hAnsi="Times New Roman"/>
          <w:lang w:val="en-IT"/>
        </w:rPr>
        <w:t xml:space="preserve">Li, D. (2025). Supply chain digitalization, corporate governance, and enterprise carbon emissions. International Review of Financial Analysis, 102(104115), p.104115. </w:t>
      </w:r>
      <w:r>
        <w:rPr>
          <w:rFonts w:ascii="Times New Roman" w:hAnsi="Times New Roman"/>
          <w:lang w:val="en-IT"/>
        </w:rPr>
        <w:br/>
      </w:r>
      <w:r w:rsidRPr="0022299F">
        <w:rPr>
          <w:rFonts w:ascii="Times New Roman" w:hAnsi="Times New Roman"/>
          <w:lang w:val="en-IT"/>
        </w:rPr>
        <w:t>doi:</w:t>
      </w:r>
      <w:r>
        <w:rPr>
          <w:rFonts w:ascii="Times New Roman" w:hAnsi="Times New Roman"/>
          <w:lang w:val="en-IT"/>
        </w:rPr>
        <w:t xml:space="preserve"> </w:t>
      </w:r>
      <w:hyperlink r:id="rId16" w:history="1">
        <w:r w:rsidR="00DC14B1" w:rsidRPr="00155361">
          <w:rPr>
            <w:rStyle w:val="Hyperlink"/>
            <w:rFonts w:ascii="Times New Roman" w:hAnsi="Times New Roman"/>
            <w:lang w:val="en-IT"/>
          </w:rPr>
          <w:t>https://doi.org/10.1016/j.irfa.2025.104115</w:t>
        </w:r>
      </w:hyperlink>
      <w:r w:rsidRPr="0022299F">
        <w:rPr>
          <w:rFonts w:ascii="Times New Roman" w:hAnsi="Times New Roman"/>
          <w:lang w:val="en-IT"/>
        </w:rPr>
        <w:t>.</w:t>
      </w:r>
    </w:p>
    <w:p w14:paraId="26CDAD12" w14:textId="6F4B80C7" w:rsidR="00DC14B1" w:rsidRDefault="00DC14B1" w:rsidP="00D31B08">
      <w:pPr>
        <w:spacing w:after="240"/>
        <w:jc w:val="left"/>
        <w:rPr>
          <w:rFonts w:ascii="Times New Roman" w:hAnsi="Times New Roman"/>
          <w:lang w:val="en-IT"/>
        </w:rPr>
      </w:pPr>
      <w:r>
        <w:rPr>
          <w:rFonts w:ascii="Times New Roman" w:hAnsi="Times New Roman"/>
          <w:lang w:val="en-IT"/>
        </w:rPr>
        <w:t xml:space="preserve">Li, E. (2024). </w:t>
      </w:r>
      <w:r w:rsidRPr="00DC14B1">
        <w:rPr>
          <w:rFonts w:ascii="Times New Roman" w:hAnsi="Times New Roman"/>
          <w:lang w:val="en-IT"/>
        </w:rPr>
        <w:t>Enhance Critical Mineral Supply Chain Visibility with Satellite Image</w:t>
      </w:r>
      <w:r>
        <w:rPr>
          <w:rFonts w:ascii="Times New Roman" w:hAnsi="Times New Roman"/>
          <w:lang w:val="en-IT"/>
        </w:rPr>
        <w:t xml:space="preserve">. Unpublished report, </w:t>
      </w:r>
      <w:r w:rsidRPr="00DC14B1">
        <w:rPr>
          <w:rFonts w:ascii="Times New Roman" w:hAnsi="Times New Roman"/>
          <w:lang w:val="en-IT"/>
        </w:rPr>
        <w:t>Institute for Manufacturing, University of Cambridge</w:t>
      </w:r>
      <w:r>
        <w:rPr>
          <w:rFonts w:ascii="Times New Roman" w:hAnsi="Times New Roman"/>
          <w:lang w:val="en-IT"/>
        </w:rPr>
        <w:t>.</w:t>
      </w:r>
    </w:p>
    <w:p w14:paraId="455AC94A" w14:textId="07EA9E62" w:rsidR="00DC14B1" w:rsidRDefault="00DC14B1" w:rsidP="00D31B08">
      <w:pPr>
        <w:spacing w:after="240"/>
        <w:jc w:val="left"/>
        <w:rPr>
          <w:rFonts w:ascii="Times New Roman" w:hAnsi="Times New Roman"/>
          <w:lang w:val="en-IT"/>
        </w:rPr>
      </w:pPr>
      <w:r w:rsidRPr="00DC14B1">
        <w:rPr>
          <w:rFonts w:ascii="Times New Roman" w:hAnsi="Times New Roman"/>
          <w:lang w:val="en-IT"/>
        </w:rPr>
        <w:t xml:space="preserve">Veefkind, J.P., et al. (2012) 'TROPOMI on the ESA Sentinel-5 Precursor: A GMES mission for global observations of the atmospheric composition for climate, air quality and ozone layer applications', </w:t>
      </w:r>
      <w:r w:rsidRPr="00DC14B1">
        <w:rPr>
          <w:rFonts w:ascii="Times New Roman" w:hAnsi="Times New Roman"/>
          <w:i/>
          <w:iCs/>
          <w:lang w:val="en-IT"/>
        </w:rPr>
        <w:t>Remote Sensing of Environment</w:t>
      </w:r>
      <w:r w:rsidRPr="00DC14B1">
        <w:rPr>
          <w:rFonts w:ascii="Times New Roman" w:hAnsi="Times New Roman"/>
          <w:lang w:val="en-IT"/>
        </w:rPr>
        <w:t>, 120, pp. 70–83.</w:t>
      </w:r>
      <w:r>
        <w:rPr>
          <w:rFonts w:ascii="Times New Roman" w:hAnsi="Times New Roman"/>
          <w:lang w:val="en-IT"/>
        </w:rPr>
        <w:br/>
        <w:t xml:space="preserve">doi: </w:t>
      </w:r>
      <w:hyperlink r:id="rId17" w:history="1">
        <w:r w:rsidRPr="00155361">
          <w:rPr>
            <w:rStyle w:val="Hyperlink"/>
            <w:rFonts w:ascii="Times New Roman" w:hAnsi="Times New Roman"/>
            <w:lang w:val="en-IT"/>
          </w:rPr>
          <w:t>https://doi.org/10.1016/j.rse.2011.09.027</w:t>
        </w:r>
      </w:hyperlink>
      <w:r>
        <w:rPr>
          <w:rFonts w:ascii="Times New Roman" w:hAnsi="Times New Roman"/>
          <w:lang w:val="en-IT"/>
        </w:rPr>
        <w:t xml:space="preserve">. </w:t>
      </w:r>
    </w:p>
    <w:p w14:paraId="470FB2D8" w14:textId="167C4143" w:rsidR="00DC14B1" w:rsidRPr="00D31B08" w:rsidRDefault="008B2828" w:rsidP="00D31B08">
      <w:pPr>
        <w:spacing w:after="240"/>
        <w:jc w:val="left"/>
        <w:rPr>
          <w:rFonts w:ascii="Times New Roman" w:hAnsi="Times New Roman"/>
          <w:lang w:val="en-IT"/>
        </w:rPr>
      </w:pPr>
      <w:r w:rsidRPr="008B2828">
        <w:rPr>
          <w:rFonts w:ascii="Times New Roman" w:hAnsi="Times New Roman"/>
        </w:rPr>
        <w:t xml:space="preserve">European Commission (2025) </w:t>
      </w:r>
      <w:r w:rsidRPr="008B2828">
        <w:rPr>
          <w:rFonts w:ascii="Times New Roman" w:hAnsi="Times New Roman"/>
          <w:i/>
          <w:iCs/>
        </w:rPr>
        <w:t>Corporate sustainability reporting</w:t>
      </w:r>
      <w:r w:rsidRPr="008B2828">
        <w:rPr>
          <w:rFonts w:ascii="Times New Roman" w:hAnsi="Times New Roman"/>
        </w:rPr>
        <w:t xml:space="preserve">. Available at: </w:t>
      </w:r>
      <w:hyperlink r:id="rId18" w:history="1">
        <w:r w:rsidRPr="008B2828">
          <w:rPr>
            <w:rStyle w:val="Hyperlink"/>
            <w:rFonts w:ascii="Times New Roman" w:hAnsi="Times New Roman"/>
          </w:rPr>
          <w:t>https://finance.ec.europa.eu/financial-markets/company-reporting-and-auditing/company-reporting/corporate-sustainability-reporting_en</w:t>
        </w:r>
      </w:hyperlink>
      <w:r w:rsidRPr="008B2828">
        <w:rPr>
          <w:rFonts w:ascii="Times New Roman" w:hAnsi="Times New Roman"/>
        </w:rPr>
        <w:t xml:space="preserve"> (Accessed: </w:t>
      </w:r>
      <w:r>
        <w:rPr>
          <w:rFonts w:ascii="Times New Roman" w:hAnsi="Times New Roman"/>
        </w:rPr>
        <w:t>1 May</w:t>
      </w:r>
      <w:r w:rsidRPr="008B2828">
        <w:rPr>
          <w:rFonts w:ascii="Times New Roman" w:hAnsi="Times New Roman"/>
        </w:rPr>
        <w:t xml:space="preserve"> 2026).</w:t>
      </w:r>
    </w:p>
    <w:p w14:paraId="3EC55F2E" w14:textId="0B68DC57" w:rsidR="00D31B08" w:rsidRPr="00D31B08" w:rsidRDefault="00D31B08" w:rsidP="00D31B08">
      <w:pPr>
        <w:spacing w:after="240"/>
        <w:jc w:val="left"/>
        <w:rPr>
          <w:rFonts w:ascii="Times New Roman" w:hAnsi="Times New Roman"/>
        </w:rPr>
      </w:pPr>
      <w:r w:rsidRPr="00D31B08">
        <w:rPr>
          <w:rFonts w:ascii="Times New Roman" w:hAnsi="Times New Roman"/>
        </w:rPr>
        <w:t>Global Forest Watch (2024) Early warning systems for deforestation: an explainer. Available at:</w:t>
      </w:r>
      <w:r>
        <w:rPr>
          <w:rFonts w:ascii="Times New Roman" w:hAnsi="Times New Roman"/>
        </w:rPr>
        <w:t xml:space="preserve"> </w:t>
      </w:r>
      <w:hyperlink r:id="rId19" w:history="1">
        <w:r w:rsidRPr="00155361">
          <w:rPr>
            <w:rStyle w:val="Hyperlink"/>
            <w:rFonts w:ascii="Times New Roman" w:hAnsi="Times New Roman"/>
          </w:rPr>
          <w:t>https://www.globalforestwatch.org/blog/data-and-tools/early-warning-systems-for-deforestation-an-explainer/</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34E14CB7" w14:textId="06A46249" w:rsidR="00D31B08" w:rsidRPr="00D31B08" w:rsidRDefault="00D31B08" w:rsidP="00D31B08">
      <w:pPr>
        <w:spacing w:after="240"/>
        <w:jc w:val="left"/>
        <w:rPr>
          <w:rFonts w:ascii="Times New Roman" w:hAnsi="Times New Roman"/>
        </w:rPr>
      </w:pPr>
      <w:r w:rsidRPr="00D31B08">
        <w:rPr>
          <w:rFonts w:ascii="Times New Roman" w:hAnsi="Times New Roman"/>
        </w:rPr>
        <w:lastRenderedPageBreak/>
        <w:t xml:space="preserve">Stockholm Environment Institute (2023) Trase: bringing radical transparency to global supply chains. Available at: </w:t>
      </w:r>
      <w:hyperlink r:id="rId20" w:history="1">
        <w:r w:rsidRPr="00155361">
          <w:rPr>
            <w:rStyle w:val="Hyperlink"/>
            <w:rFonts w:ascii="Times New Roman" w:hAnsi="Times New Roman"/>
          </w:rPr>
          <w:t>https://www.sei.org/features/supply-chain-transparency-trase/</w:t>
        </w:r>
      </w:hyperlink>
      <w:r>
        <w:rPr>
          <w:rFonts w:ascii="Times New Roman" w:hAnsi="Times New Roman"/>
        </w:rPr>
        <w:t xml:space="preserve"> </w:t>
      </w:r>
      <w:r w:rsidRPr="00D31B08">
        <w:rPr>
          <w:rFonts w:ascii="Times New Roman" w:hAnsi="Times New Roman"/>
        </w:rPr>
        <w:t xml:space="preserve"> (Accessed: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7030EB7" w14:textId="53D1768D" w:rsidR="00D31B08" w:rsidRDefault="00D31B08" w:rsidP="00D31B08">
      <w:pPr>
        <w:spacing w:after="240"/>
        <w:jc w:val="left"/>
        <w:rPr>
          <w:rFonts w:ascii="Times New Roman" w:hAnsi="Times New Roman"/>
        </w:rPr>
      </w:pPr>
      <w:r w:rsidRPr="00D31B08">
        <w:rPr>
          <w:rFonts w:ascii="Times New Roman" w:hAnsi="Times New Roman"/>
        </w:rPr>
        <w:t xml:space="preserve">Trase (2024) Methodology. Available at: </w:t>
      </w:r>
      <w:hyperlink r:id="rId21" w:history="1">
        <w:r w:rsidRPr="00155361">
          <w:rPr>
            <w:rStyle w:val="Hyperlink"/>
            <w:rFonts w:ascii="Times New Roman" w:hAnsi="Times New Roman"/>
          </w:rPr>
          <w:t>https://trase.earth/methodology</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w:t>
      </w:r>
      <w:r w:rsidRPr="00D31B08">
        <w:rPr>
          <w:rFonts w:ascii="Times New Roman" w:hAnsi="Times New Roman"/>
        </w:rPr>
        <w:t xml:space="preserve"> </w:t>
      </w:r>
      <w:r>
        <w:rPr>
          <w:rFonts w:ascii="Times New Roman" w:hAnsi="Times New Roman"/>
        </w:rPr>
        <w:t>May</w:t>
      </w:r>
      <w:r w:rsidRPr="00D31B08">
        <w:rPr>
          <w:rFonts w:ascii="Times New Roman" w:hAnsi="Times New Roman"/>
        </w:rPr>
        <w:t xml:space="preserve"> 2026).</w:t>
      </w:r>
    </w:p>
    <w:p w14:paraId="79239120" w14:textId="054A827A" w:rsidR="00D31B08" w:rsidRDefault="00D31B08" w:rsidP="00D31B08">
      <w:pPr>
        <w:spacing w:after="240"/>
        <w:jc w:val="left"/>
        <w:rPr>
          <w:rFonts w:ascii="Times New Roman" w:hAnsi="Times New Roman"/>
        </w:rPr>
      </w:pPr>
      <w:r w:rsidRPr="00D31B08">
        <w:rPr>
          <w:rFonts w:ascii="Times New Roman" w:hAnsi="Times New Roman"/>
        </w:rPr>
        <w:t xml:space="preserve">World Resources Institute (2024) Global Forest Watch. Available at: </w:t>
      </w:r>
      <w:hyperlink r:id="rId22" w:history="1">
        <w:r w:rsidRPr="00155361">
          <w:rPr>
            <w:rStyle w:val="Hyperlink"/>
            <w:rFonts w:ascii="Times New Roman" w:hAnsi="Times New Roman"/>
          </w:rPr>
          <w:t>https://www.globalforestwatch.org/</w:t>
        </w:r>
      </w:hyperlink>
      <w:r>
        <w:rPr>
          <w:rFonts w:ascii="Times New Roman" w:hAnsi="Times New Roman"/>
        </w:rPr>
        <w:t xml:space="preserve"> </w:t>
      </w:r>
      <w:r w:rsidRPr="00D31B08">
        <w:rPr>
          <w:rFonts w:ascii="Times New Roman" w:hAnsi="Times New Roman"/>
        </w:rPr>
        <w:t xml:space="preserve">(Accessed: </w:t>
      </w:r>
      <w:r>
        <w:rPr>
          <w:rFonts w:ascii="Times New Roman" w:hAnsi="Times New Roman"/>
        </w:rPr>
        <w:t>2 May</w:t>
      </w:r>
      <w:r w:rsidRPr="00D31B08">
        <w:rPr>
          <w:rFonts w:ascii="Times New Roman" w:hAnsi="Times New Roman"/>
        </w:rPr>
        <w:t xml:space="preserve"> 2026).</w:t>
      </w:r>
    </w:p>
    <w:p w14:paraId="78E54354" w14:textId="5F5C1E28" w:rsidR="00987CC7" w:rsidRPr="00D31B08" w:rsidRDefault="00987CC7" w:rsidP="00D31B08">
      <w:pPr>
        <w:spacing w:after="240"/>
        <w:jc w:val="left"/>
        <w:rPr>
          <w:rFonts w:ascii="Times New Roman" w:hAnsi="Times New Roman"/>
        </w:rPr>
      </w:pPr>
      <w:r w:rsidRPr="00987CC7">
        <w:rPr>
          <w:rFonts w:ascii="Times New Roman" w:hAnsi="Times New Roman"/>
        </w:rPr>
        <w:t xml:space="preserve">Climate TRACE (2024) </w:t>
      </w:r>
      <w:r w:rsidRPr="00987CC7">
        <w:rPr>
          <w:rFonts w:ascii="Times New Roman" w:hAnsi="Times New Roman"/>
          <w:i/>
          <w:iCs/>
        </w:rPr>
        <w:t>About the coalition</w:t>
      </w:r>
      <w:r w:rsidRPr="00987CC7">
        <w:rPr>
          <w:rFonts w:ascii="Times New Roman" w:hAnsi="Times New Roman"/>
        </w:rPr>
        <w:t xml:space="preserve">. Available at: </w:t>
      </w:r>
      <w:hyperlink r:id="rId23" w:history="1">
        <w:r w:rsidRPr="00987CC7">
          <w:rPr>
            <w:rStyle w:val="Hyperlink"/>
            <w:rFonts w:ascii="Times New Roman" w:hAnsi="Times New Roman"/>
          </w:rPr>
          <w:t>https://climatetrace.org/about</w:t>
        </w:r>
      </w:hyperlink>
      <w:r>
        <w:rPr>
          <w:rFonts w:ascii="Times New Roman" w:hAnsi="Times New Roman"/>
        </w:rPr>
        <w:t xml:space="preserve"> </w:t>
      </w:r>
      <w:r w:rsidRPr="00987CC7">
        <w:rPr>
          <w:rFonts w:ascii="Times New Roman" w:hAnsi="Times New Roman"/>
        </w:rPr>
        <w:t xml:space="preserve">(Accessed: </w:t>
      </w:r>
      <w:r>
        <w:rPr>
          <w:rFonts w:ascii="Times New Roman" w:hAnsi="Times New Roman"/>
        </w:rPr>
        <w:t>2</w:t>
      </w:r>
      <w:r w:rsidRPr="00987CC7">
        <w:rPr>
          <w:rFonts w:ascii="Times New Roman" w:hAnsi="Times New Roman"/>
        </w:rPr>
        <w:t xml:space="preserve"> </w:t>
      </w:r>
      <w:r>
        <w:rPr>
          <w:rFonts w:ascii="Times New Roman" w:hAnsi="Times New Roman"/>
        </w:rPr>
        <w:t>May</w:t>
      </w:r>
      <w:r w:rsidRPr="00987CC7">
        <w:rPr>
          <w:rFonts w:ascii="Times New Roman" w:hAnsi="Times New Roman"/>
        </w:rPr>
        <w:t xml:space="preserve"> 2026).</w:t>
      </w:r>
    </w:p>
    <w:p w14:paraId="250D4EBC" w14:textId="77777777" w:rsidR="004C46F6" w:rsidRDefault="004C46F6" w:rsidP="00464209">
      <w:pPr>
        <w:rPr>
          <w:rFonts w:ascii="Times New Roman" w:hAnsi="Times New Roman"/>
        </w:rPr>
      </w:pPr>
      <w:r w:rsidRPr="004C46F6">
        <w:rPr>
          <w:rFonts w:ascii="Times New Roman" w:hAnsi="Times New Roman"/>
        </w:rPr>
        <w:t>World Health Organization (2021) WHO global air quality guidelines: particulate matter (PM2.5 and PM10), ozone, nitrogen dioxide, sulfur dioxide and carbon monoxide. Geneva: World Health Organization. Available at:</w:t>
      </w:r>
    </w:p>
    <w:p w14:paraId="72A4DAD9" w14:textId="4E841CDF" w:rsidR="00DC14B1" w:rsidRDefault="004C46F6" w:rsidP="004C46F6">
      <w:pPr>
        <w:spacing w:before="0"/>
        <w:rPr>
          <w:rFonts w:ascii="Times New Roman" w:hAnsi="Times New Roman"/>
        </w:rPr>
      </w:pPr>
      <w:hyperlink r:id="rId24" w:history="1">
        <w:r w:rsidRPr="00155361">
          <w:rPr>
            <w:rStyle w:val="Hyperlink"/>
            <w:rFonts w:ascii="Times New Roman" w:hAnsi="Times New Roman"/>
          </w:rPr>
          <w:t>https://www.who.int/publications/i/item/9789240034228</w:t>
        </w:r>
      </w:hyperlink>
      <w:r w:rsidRPr="004C46F6">
        <w:rPr>
          <w:rFonts w:ascii="Times New Roman" w:hAnsi="Times New Roman"/>
        </w:rPr>
        <w:t xml:space="preserve"> (Accessed: </w:t>
      </w:r>
      <w:r>
        <w:rPr>
          <w:rFonts w:ascii="Times New Roman" w:hAnsi="Times New Roman"/>
        </w:rPr>
        <w:t>3 May</w:t>
      </w:r>
      <w:r w:rsidRPr="004C46F6">
        <w:rPr>
          <w:rFonts w:ascii="Times New Roman" w:hAnsi="Times New Roman"/>
        </w:rPr>
        <w:t xml:space="preserve"> 2026).</w:t>
      </w:r>
    </w:p>
    <w:p w14:paraId="54C360D3" w14:textId="5B805019" w:rsidR="00E560B9" w:rsidRDefault="00E560B9" w:rsidP="00E560B9">
      <w:pPr>
        <w:pStyle w:val="NormalWeb"/>
        <w:spacing w:before="240" w:beforeAutospacing="0" w:after="240" w:afterAutospacing="0" w:line="360" w:lineRule="auto"/>
      </w:pPr>
      <w:r>
        <w:t>Zhu, S., Tang, J., Zhou, X., Li, P., Liu, Z., Zhang, C., Zou, Z., Li, T. and Peng, C. (2023). Research progress, challenges, and prospects of PM</w:t>
      </w:r>
      <w:r>
        <w:rPr>
          <w:vertAlign w:val="subscript"/>
        </w:rPr>
        <w:t>2.5</w:t>
      </w:r>
      <w:r>
        <w:t xml:space="preserve"> concentration estimation using satellite data. </w:t>
      </w:r>
      <w:r>
        <w:rPr>
          <w:i/>
          <w:iCs/>
        </w:rPr>
        <w:t>Environmental Reviews</w:t>
      </w:r>
      <w:r>
        <w:t xml:space="preserve">, 31(4), pp.605–631. </w:t>
      </w:r>
      <w:r>
        <w:br/>
        <w:t xml:space="preserve">doi: </w:t>
      </w:r>
      <w:hyperlink r:id="rId25" w:history="1">
        <w:r w:rsidRPr="00155361">
          <w:rPr>
            <w:rStyle w:val="Hyperlink"/>
          </w:rPr>
          <w:t>https://doi.org/10.1139/er-2022-0125</w:t>
        </w:r>
      </w:hyperlink>
      <w:r>
        <w:t xml:space="preserve">. </w:t>
      </w:r>
    </w:p>
    <w:p w14:paraId="5401CCED" w14:textId="62B7E938" w:rsidR="00E560B9" w:rsidRDefault="00E560B9" w:rsidP="00E560B9">
      <w:pPr>
        <w:pStyle w:val="NormalWeb"/>
        <w:spacing w:before="0" w:beforeAutospacing="0" w:after="240" w:afterAutospacing="0" w:line="360" w:lineRule="auto"/>
      </w:pPr>
      <w:r>
        <w:t xml:space="preserve">Luka Mamić, Mateo Gašparović and Kaplan, G. (2023). Developing PM2.5 and PM10 prediction models on a national and regional scale using open-source remote sensing data. </w:t>
      </w:r>
      <w:r>
        <w:rPr>
          <w:i/>
          <w:iCs/>
        </w:rPr>
        <w:t>Environmental monitoring and assessment</w:t>
      </w:r>
      <w:r>
        <w:t xml:space="preserve">, 195(6). </w:t>
      </w:r>
      <w:r>
        <w:br/>
        <w:t xml:space="preserve">doi: </w:t>
      </w:r>
      <w:hyperlink r:id="rId26" w:history="1">
        <w:r w:rsidRPr="00155361">
          <w:rPr>
            <w:rStyle w:val="Hyperlink"/>
          </w:rPr>
          <w:t>https://doi.org/10.1007/s10661-023-11212-x</w:t>
        </w:r>
      </w:hyperlink>
      <w:r>
        <w:t xml:space="preserve">. </w:t>
      </w:r>
    </w:p>
    <w:p w14:paraId="0F4774F5" w14:textId="77F02F82" w:rsidR="00E560B9" w:rsidRDefault="00E560B9" w:rsidP="00E560B9">
      <w:pPr>
        <w:pStyle w:val="NormalWeb"/>
        <w:spacing w:before="0" w:beforeAutospacing="0" w:after="240" w:afterAutospacing="0" w:line="360" w:lineRule="auto"/>
      </w:pPr>
      <w:r>
        <w:t xml:space="preserve">Amiri, Z. and Shahne, M.Z. (2025). Modeling PM2.5 Concentration in Tehran Using Satellite-Based Aerosol Optical Depth (AOD) and Machine Learning: Assessing Input Contributions and Prediction Accuracy. </w:t>
      </w:r>
      <w:r>
        <w:rPr>
          <w:i/>
          <w:iCs/>
        </w:rPr>
        <w:t>Remote Sensing Applications Society and Environment</w:t>
      </w:r>
      <w:r>
        <w:t xml:space="preserve">, 38(101549), pp.101549–101549. </w:t>
      </w:r>
      <w:r>
        <w:br/>
        <w:t xml:space="preserve">doi: </w:t>
      </w:r>
      <w:hyperlink r:id="rId27" w:history="1">
        <w:r w:rsidRPr="00155361">
          <w:rPr>
            <w:rStyle w:val="Hyperlink"/>
          </w:rPr>
          <w:t>https://doi.org/10.1016/j.rsase.2025.101549</w:t>
        </w:r>
      </w:hyperlink>
      <w:r>
        <w:t xml:space="preserve">. </w:t>
      </w:r>
    </w:p>
    <w:p w14:paraId="2C38EC96" w14:textId="77777777" w:rsidR="00F70BE4" w:rsidRDefault="00F70BE4" w:rsidP="00F70BE4">
      <w:pPr>
        <w:pStyle w:val="NormalWeb"/>
        <w:spacing w:before="0" w:beforeAutospacing="0" w:after="240" w:afterAutospacing="0" w:line="360" w:lineRule="auto"/>
      </w:pPr>
      <w:r>
        <w:t xml:space="preserve">IPCC (2023). </w:t>
      </w:r>
      <w:r>
        <w:rPr>
          <w:i/>
          <w:iCs/>
        </w:rPr>
        <w:t>Climate Change 2021 – The Physical Science Basis</w:t>
      </w:r>
      <w:r>
        <w:t>. Cambridge University Press.</w:t>
      </w:r>
    </w:p>
    <w:p w14:paraId="7BCDEB6B" w14:textId="77777777" w:rsidR="00F70BE4" w:rsidRDefault="00F70BE4" w:rsidP="00F70BE4">
      <w:pPr>
        <w:pStyle w:val="NormalWeb"/>
        <w:spacing w:before="0" w:beforeAutospacing="0" w:after="240" w:afterAutospacing="0" w:line="360" w:lineRule="auto"/>
      </w:pPr>
      <w:r>
        <w:lastRenderedPageBreak/>
        <w:t>Fioletov, V., McLinden, C.A., Griffin, D., Theys, N., Loyola, D.G., Hedelt, P., Krotkov, N.A. and Li, C. (2020). Anthropogenic and volcanic point source SO</w:t>
      </w:r>
      <w:r>
        <w:rPr>
          <w:vertAlign w:val="subscript"/>
        </w:rPr>
        <w:t>2</w:t>
      </w:r>
      <w:r>
        <w:t xml:space="preserve"> emissions derived from TROPOMI on board Sentinel-5 Precursor: first results. </w:t>
      </w:r>
      <w:r>
        <w:rPr>
          <w:i/>
          <w:iCs/>
        </w:rPr>
        <w:t>Atmospheric Chemistry and Physics</w:t>
      </w:r>
      <w:r>
        <w:t xml:space="preserve">, 20(9), pp.5591–5607. </w:t>
      </w:r>
      <w:r>
        <w:br/>
        <w:t xml:space="preserve">doi: </w:t>
      </w:r>
      <w:hyperlink r:id="rId28" w:history="1">
        <w:r w:rsidRPr="00155361">
          <w:rPr>
            <w:rStyle w:val="Hyperlink"/>
          </w:rPr>
          <w:t>https://doi.org/10.5194/acp-20-5591-2020</w:t>
        </w:r>
      </w:hyperlink>
      <w:r>
        <w:t>.</w:t>
      </w:r>
    </w:p>
    <w:p w14:paraId="6364D8FC" w14:textId="098E975E" w:rsidR="00F70BE4" w:rsidRDefault="00F70BE4" w:rsidP="00F70BE4">
      <w:pPr>
        <w:pStyle w:val="NormalWeb"/>
        <w:spacing w:before="0" w:beforeAutospacing="0" w:after="240" w:afterAutospacing="0" w:line="360" w:lineRule="auto"/>
      </w:pPr>
      <w:r>
        <w:t xml:space="preserve">Liu, F., Beirle, S., Joiner, J., Choi, S., Tao, Z., Knowland, K.E., Smith, S.J., Tong, D.Q., Ma, S., Fasnacht, Z.T. and Wagner, T. (2024). High-resolution mapping of nitrogen oxide emissions in large US cities from TROPOMI retrievals of tropospheric nitrogen dioxide columns. </w:t>
      </w:r>
      <w:r>
        <w:rPr>
          <w:i/>
          <w:iCs/>
        </w:rPr>
        <w:t>Atmospheric Chemistry and Physics</w:t>
      </w:r>
      <w:r>
        <w:t>, 24(6), pp.3717–3728.</w:t>
      </w:r>
      <w:r>
        <w:br/>
        <w:t xml:space="preserve">doi: </w:t>
      </w:r>
      <w:hyperlink r:id="rId29" w:history="1">
        <w:r w:rsidRPr="00155361">
          <w:rPr>
            <w:rStyle w:val="Hyperlink"/>
          </w:rPr>
          <w:t>https://doi.org/10.5194/acp-24-3717-2024</w:t>
        </w:r>
      </w:hyperlink>
      <w:r>
        <w:t xml:space="preserve">. </w:t>
      </w:r>
    </w:p>
    <w:p w14:paraId="7475926A" w14:textId="1B369E3A" w:rsidR="00F644B6" w:rsidRDefault="00F644B6" w:rsidP="00F644B6">
      <w:pPr>
        <w:pStyle w:val="NormalWeb"/>
        <w:spacing w:before="0" w:beforeAutospacing="0" w:after="240" w:afterAutospacing="0" w:line="360" w:lineRule="auto"/>
      </w:pPr>
      <w:r>
        <w:t xml:space="preserve">Gibson, J., Olivia, S. and Boe‐Gibson, G. (2020). NIGHT LIGHTS IN ECONOMICS: SOURCES AND USES1. </w:t>
      </w:r>
      <w:r>
        <w:rPr>
          <w:i/>
          <w:iCs/>
        </w:rPr>
        <w:t>Journal of Economic Surveys</w:t>
      </w:r>
      <w:r>
        <w:t>, 34(5), pp.955–980.</w:t>
      </w:r>
      <w:r>
        <w:br/>
        <w:t xml:space="preserve">doi: </w:t>
      </w:r>
      <w:hyperlink r:id="rId30" w:history="1">
        <w:r w:rsidRPr="001C34B9">
          <w:rPr>
            <w:rStyle w:val="Hyperlink"/>
          </w:rPr>
          <w:t>https://doi.org/10.1111/joes.12387</w:t>
        </w:r>
      </w:hyperlink>
      <w:r>
        <w:t xml:space="preserve">. </w:t>
      </w:r>
    </w:p>
    <w:p w14:paraId="1DC2A738" w14:textId="77777777" w:rsidR="00F644B6" w:rsidRDefault="00F644B6" w:rsidP="00F644B6">
      <w:pPr>
        <w:pStyle w:val="NormalWeb"/>
        <w:spacing w:before="0" w:beforeAutospacing="0" w:after="240" w:afterAutospacing="0" w:line="360" w:lineRule="auto"/>
      </w:pPr>
      <w:r>
        <w:t xml:space="preserve">Elvidge, C., Zhizhin, M., Baugh, K., Hsu, F.-C. and Ghosh, T. (2015). Methods for Global Survey of Natural Gas Flaring from Visible Infrared Imaging Radiometer Suite Data. </w:t>
      </w:r>
      <w:r>
        <w:rPr>
          <w:i/>
          <w:iCs/>
        </w:rPr>
        <w:t>Energies</w:t>
      </w:r>
      <w:r>
        <w:t xml:space="preserve">, 9(1), p.14. </w:t>
      </w:r>
      <w:r>
        <w:br/>
        <w:t xml:space="preserve">doi: </w:t>
      </w:r>
      <w:hyperlink r:id="rId31" w:history="1">
        <w:r w:rsidRPr="001C34B9">
          <w:rPr>
            <w:rStyle w:val="Hyperlink"/>
          </w:rPr>
          <w:t>https://doi.org/10.3390/en9010014</w:t>
        </w:r>
      </w:hyperlink>
      <w:r>
        <w:t>.</w:t>
      </w:r>
    </w:p>
    <w:p w14:paraId="34A6A2F2" w14:textId="74B392CF" w:rsidR="00F644B6" w:rsidRDefault="00F644B6" w:rsidP="00F644B6">
      <w:pPr>
        <w:pStyle w:val="NormalWeb"/>
        <w:spacing w:before="0" w:beforeAutospacing="0" w:after="240" w:afterAutospacing="0" w:line="360" w:lineRule="auto"/>
      </w:pPr>
      <w:r>
        <w:t xml:space="preserve">Brown, C.F., Brumby, S.P., Guzder-Williams, B., Birch, T., Hyde, S.B., Mazzariello, J., Czerwinski, W., Pasquarella, V.J., Haertel, R., Ilyushchenko, S., Schwehr, K., Weisse, M., Stolle, F., Hanson, C., Guinan, O., Moore, R. and Tait, A.M. (2022). Dynamic World, Near real-time global 10 m land use land cover mapping. </w:t>
      </w:r>
      <w:r>
        <w:rPr>
          <w:i/>
          <w:iCs/>
        </w:rPr>
        <w:t>Scientific Data</w:t>
      </w:r>
      <w:r>
        <w:t>, 9(1).</w:t>
      </w:r>
      <w:r>
        <w:br/>
        <w:t xml:space="preserve">doi: </w:t>
      </w:r>
      <w:hyperlink r:id="rId32" w:history="1">
        <w:r w:rsidRPr="001C34B9">
          <w:rPr>
            <w:rStyle w:val="Hyperlink"/>
          </w:rPr>
          <w:t>https://doi.org/10.1038/s41597-022-01307-4</w:t>
        </w:r>
      </w:hyperlink>
      <w:r>
        <w:t xml:space="preserve">. </w:t>
      </w:r>
    </w:p>
    <w:p w14:paraId="3DDFDA29" w14:textId="3D577A01" w:rsidR="004711D1" w:rsidRDefault="004711D1" w:rsidP="00F644B6">
      <w:pPr>
        <w:pStyle w:val="NormalWeb"/>
        <w:spacing w:before="0" w:beforeAutospacing="0" w:after="240" w:afterAutospacing="0" w:line="360" w:lineRule="auto"/>
      </w:pPr>
      <w:r w:rsidRPr="004711D1">
        <w:t>EFRAG (2023) ESRS E4 Biodiversity and Ecosystems. European Sustainability Reporting Standards, Commission Delegated Regulation (EU) 2023/2772.</w:t>
      </w:r>
    </w:p>
    <w:p w14:paraId="35DD4EB5" w14:textId="77777777" w:rsidR="009C07F5" w:rsidRDefault="004711D1" w:rsidP="00F644B6">
      <w:pPr>
        <w:pStyle w:val="NormalWeb"/>
        <w:spacing w:before="0" w:beforeAutospacing="0" w:after="240" w:afterAutospacing="0" w:line="360" w:lineRule="auto"/>
      </w:pPr>
      <w:r w:rsidRPr="004711D1">
        <w:t>TNFD (2023) Recommendations of the Taskforce on Nature-related Financial Disclosures. — LEAP "Locate" phase.</w:t>
      </w:r>
    </w:p>
    <w:p w14:paraId="0C46673C" w14:textId="1CCB147A" w:rsidR="00F644B6" w:rsidRDefault="004711D1" w:rsidP="00F644B6">
      <w:pPr>
        <w:pStyle w:val="NormalWeb"/>
        <w:spacing w:before="0" w:beforeAutospacing="0" w:after="240" w:afterAutospacing="0" w:line="360" w:lineRule="auto"/>
      </w:pPr>
      <w:r w:rsidRPr="004711D1">
        <w:t>BirdLife International (2023) Key Biodiversity Areas / KBA Partnership.</w:t>
      </w:r>
    </w:p>
    <w:p w14:paraId="0EEF36D6" w14:textId="34314636" w:rsidR="009C07F5" w:rsidRDefault="009C07F5" w:rsidP="00F644B6">
      <w:pPr>
        <w:pStyle w:val="NormalWeb"/>
        <w:spacing w:before="0" w:beforeAutospacing="0" w:after="240" w:afterAutospacing="0" w:line="360" w:lineRule="auto"/>
      </w:pPr>
      <w:r w:rsidRPr="009C07F5">
        <w:t>Wang, P., Zeng, G., Gan, R., Wang, J. and Hongbin Zha (2013). Structure-Sensitive Superpixels via Geodesic Distance. International Journal of Computer Vision, 103(1), pp.1–</w:t>
      </w:r>
      <w:r w:rsidRPr="009C07F5">
        <w:lastRenderedPageBreak/>
        <w:t xml:space="preserve">21. </w:t>
      </w:r>
      <w:r>
        <w:br/>
      </w:r>
      <w:r w:rsidRPr="009C07F5">
        <w:t>doi:</w:t>
      </w:r>
      <w:r>
        <w:t xml:space="preserve"> </w:t>
      </w:r>
      <w:hyperlink r:id="rId33" w:history="1">
        <w:r w:rsidRPr="00C8485B">
          <w:rPr>
            <w:rStyle w:val="Hyperlink"/>
          </w:rPr>
          <w:t>https://doi.org/10.1007/s11263-012-0588-6</w:t>
        </w:r>
      </w:hyperlink>
      <w:r>
        <w:t xml:space="preserve">. </w:t>
      </w:r>
    </w:p>
    <w:p w14:paraId="33A8931D" w14:textId="001D24F9" w:rsidR="00F644B6" w:rsidRDefault="00047C5F" w:rsidP="00F644B6">
      <w:pPr>
        <w:pStyle w:val="NormalWeb"/>
        <w:spacing w:before="0" w:beforeAutospacing="0" w:after="240" w:afterAutospacing="0" w:line="360" w:lineRule="auto"/>
      </w:pPr>
      <w:r w:rsidRPr="00047C5F">
        <w:t>Pasquill, F. (1961) 'The estimation of the dispersion of windborne material', Meteorological Magazine, 90(1063), pp. 33–49.</w:t>
      </w:r>
    </w:p>
    <w:p w14:paraId="5F4B9D1C" w14:textId="48D50B3B" w:rsidR="00047C5F" w:rsidRDefault="00047C5F" w:rsidP="00F644B6">
      <w:pPr>
        <w:pStyle w:val="NormalWeb"/>
        <w:spacing w:before="0" w:beforeAutospacing="0" w:after="240" w:afterAutospacing="0" w:line="360" w:lineRule="auto"/>
      </w:pPr>
      <w:r w:rsidRPr="00047C5F">
        <w:t>Gifford, F.A. (1961) 'Use of routine meteorological observations for estimating atmospheric dispersion', Nuclear Safety, 2(4), pp. 47–51.</w:t>
      </w:r>
    </w:p>
    <w:p w14:paraId="0C47CFEE" w14:textId="77777777" w:rsidR="00A60BF7" w:rsidRDefault="00A60BF7" w:rsidP="00A60BF7">
      <w:pPr>
        <w:pStyle w:val="NormalWeb"/>
        <w:spacing w:before="0" w:beforeAutospacing="0" w:after="240" w:afterAutospacing="0" w:line="360" w:lineRule="auto"/>
      </w:pPr>
      <w:r>
        <w:t xml:space="preserve">Goldberg, D.L., Anenberg, S.C., Kerr, G.H., Mohegh, A., Lu, Z. and Streets, D.G. (2021). TROPOMI NO 2 in the United States: A Detailed Look at the Annual Averages, Weekly Cycles, Effects of Temperature, and Correlation With Surface NO 2 Concentrations. </w:t>
      </w:r>
      <w:r>
        <w:rPr>
          <w:i/>
          <w:iCs/>
        </w:rPr>
        <w:t>Earth’s Future</w:t>
      </w:r>
      <w:r>
        <w:t xml:space="preserve">, 9(4). </w:t>
      </w:r>
      <w:r>
        <w:br/>
      </w:r>
      <w:r>
        <w:t>doi:</w:t>
      </w:r>
      <w:r>
        <w:t xml:space="preserve"> </w:t>
      </w:r>
      <w:hyperlink r:id="rId34" w:history="1">
        <w:r w:rsidRPr="00C8485B">
          <w:rPr>
            <w:rStyle w:val="Hyperlink"/>
          </w:rPr>
          <w:t>https://doi.org/10.1029/2020ef001665</w:t>
        </w:r>
      </w:hyperlink>
      <w:r>
        <w:t>.</w:t>
      </w:r>
    </w:p>
    <w:p w14:paraId="7D82C045" w14:textId="1E651E5F" w:rsidR="00A60BF7" w:rsidRDefault="00A60BF7" w:rsidP="00A60BF7">
      <w:pPr>
        <w:pStyle w:val="NormalWeb"/>
        <w:spacing w:before="0" w:beforeAutospacing="0" w:after="240" w:afterAutospacing="0" w:line="360" w:lineRule="auto"/>
      </w:pPr>
      <w:r w:rsidRPr="00A60BF7">
        <w:t xml:space="preserve">Chang, B., Liu, H., Zhang, C. et al. Relating satellite NO2 tropospheric columns to near-surface concentrations: implications from ground-based MAX-DOAS NO2 vertical profile observations. npj Clim Atmos Sci 8, 1 (2025). </w:t>
      </w:r>
      <w:r>
        <w:br/>
        <w:t xml:space="preserve">doi: </w:t>
      </w:r>
      <w:hyperlink r:id="rId35" w:history="1">
        <w:r w:rsidRPr="00C8485B">
          <w:rPr>
            <w:rStyle w:val="Hyperlink"/>
          </w:rPr>
          <w:t>https://doi.org/10.1038/s41612-024-00891-z</w:t>
        </w:r>
      </w:hyperlink>
      <w:r>
        <w:t xml:space="preserve">.   </w:t>
      </w:r>
    </w:p>
    <w:p w14:paraId="7742F899" w14:textId="77777777" w:rsidR="00F644B6" w:rsidRDefault="00F644B6" w:rsidP="00F70BE4">
      <w:pPr>
        <w:pStyle w:val="NormalWeb"/>
        <w:spacing w:before="0" w:beforeAutospacing="0" w:after="240" w:afterAutospacing="0" w:line="360" w:lineRule="auto"/>
      </w:pPr>
    </w:p>
    <w:p w14:paraId="74C3C23D" w14:textId="2EE51696" w:rsidR="00F70BE4" w:rsidRDefault="00F70BE4" w:rsidP="00F70BE4">
      <w:pPr>
        <w:pStyle w:val="NormalWeb"/>
        <w:spacing w:before="0" w:beforeAutospacing="0" w:after="240" w:afterAutospacing="0" w:line="360" w:lineRule="auto"/>
      </w:pPr>
    </w:p>
    <w:p w14:paraId="1DBC9E02" w14:textId="77777777" w:rsidR="00F70BE4" w:rsidRDefault="00F70BE4" w:rsidP="00F70BE4">
      <w:pPr>
        <w:pStyle w:val="NormalWeb"/>
        <w:spacing w:before="0" w:beforeAutospacing="0" w:after="240" w:afterAutospacing="0" w:line="360" w:lineRule="auto"/>
      </w:pPr>
    </w:p>
    <w:p w14:paraId="11E13462" w14:textId="77777777" w:rsidR="00F70BE4" w:rsidRDefault="00F70BE4" w:rsidP="00F70BE4">
      <w:pPr>
        <w:pStyle w:val="NormalWeb"/>
        <w:spacing w:before="0" w:beforeAutospacing="0" w:after="240" w:afterAutospacing="0" w:line="360" w:lineRule="auto"/>
      </w:pPr>
    </w:p>
    <w:p w14:paraId="15DF295A" w14:textId="77777777" w:rsidR="00F70BE4" w:rsidRDefault="00F70BE4" w:rsidP="00E560B9">
      <w:pPr>
        <w:pStyle w:val="NormalWeb"/>
        <w:spacing w:before="0" w:beforeAutospacing="0" w:after="240" w:afterAutospacing="0" w:line="360" w:lineRule="auto"/>
      </w:pPr>
    </w:p>
    <w:p w14:paraId="73B3803B" w14:textId="77777777" w:rsidR="00E560B9" w:rsidRDefault="00E560B9" w:rsidP="00E560B9">
      <w:pPr>
        <w:pStyle w:val="NormalWeb"/>
        <w:spacing w:before="240" w:beforeAutospacing="0" w:after="240" w:afterAutospacing="0" w:line="360" w:lineRule="auto"/>
      </w:pPr>
    </w:p>
    <w:p w14:paraId="30F7BA54" w14:textId="77777777" w:rsidR="005900C1" w:rsidRPr="00E560B9" w:rsidRDefault="005900C1" w:rsidP="004C46F6">
      <w:pPr>
        <w:spacing w:before="0"/>
        <w:rPr>
          <w:rFonts w:ascii="Times New Roman" w:hAnsi="Times New Roman"/>
          <w:lang w:val="en-IT"/>
        </w:rPr>
      </w:pPr>
    </w:p>
    <w:p w14:paraId="36A03DE8" w14:textId="77777777" w:rsidR="00183FC8" w:rsidRDefault="00B50197">
      <w:pPr>
        <w:pStyle w:val="Heading1"/>
      </w:pPr>
      <w:r w:rsidRPr="00E560B9">
        <w:rPr>
          <w:rFonts w:ascii="Times New Roman" w:hAnsi="Times New Roman"/>
          <w:b w:val="0"/>
          <w:sz w:val="24"/>
          <w:lang w:val="en-IT"/>
        </w:rPr>
        <w:br w:type="page"/>
      </w:r>
      <w:bookmarkStart w:id="76" w:name="_Toc231372569"/>
      <w:r>
        <w:lastRenderedPageBreak/>
        <w:t>Appendices</w:t>
      </w:r>
      <w:bookmarkEnd w:id="76"/>
    </w:p>
    <w:p w14:paraId="3C73CE50" w14:textId="77777777" w:rsidR="00183FC8" w:rsidRDefault="00B50197">
      <w:pPr>
        <w:rPr>
          <w:i/>
          <w:color w:val="808080"/>
          <w:lang w:val="en-GB"/>
        </w:rPr>
      </w:pPr>
      <w:r>
        <w:rPr>
          <w:i/>
          <w:color w:val="808080"/>
          <w:lang w:val="en-GB"/>
        </w:rPr>
        <w:t>[Appendix A: Development milestones. Appendix B: Full indicator list. Others as needed.]</w:t>
      </w:r>
    </w:p>
    <w:p w14:paraId="354035B6" w14:textId="3A9FC03C" w:rsidR="004C46F6" w:rsidRDefault="004C46F6" w:rsidP="004C46F6">
      <w:pPr>
        <w:pStyle w:val="Heading2"/>
        <w:rPr>
          <w:lang w:val="en-GB"/>
        </w:rPr>
      </w:pPr>
      <w:bookmarkStart w:id="77" w:name="_Toc231372570"/>
      <w:r>
        <w:rPr>
          <w:lang w:val="en-GB"/>
        </w:rPr>
        <w:t>Appendix B</w:t>
      </w:r>
      <w:bookmarkEnd w:id="77"/>
    </w:p>
    <w:p w14:paraId="5FF2F3A4" w14:textId="77777777" w:rsidR="004C46F6" w:rsidRDefault="004C46F6" w:rsidP="004C46F6">
      <w:pPr>
        <w:rPr>
          <w:lang w:val="en-GB"/>
        </w:rPr>
      </w:pPr>
      <w:bookmarkStart w:id="78" w:name="_Toc231372571"/>
      <w:r w:rsidRPr="004C46F6">
        <w:rPr>
          <w:rStyle w:val="Heading3Char"/>
          <w:lang w:val="en-GB"/>
        </w:rPr>
        <w:t>Appendix B.1 — Research questions by gap.</w:t>
      </w:r>
      <w:bookmarkEnd w:id="78"/>
      <w:r w:rsidRPr="004C46F6">
        <w:rPr>
          <w:lang w:val="en-GB"/>
        </w:rPr>
        <w:t xml:space="preserve"> </w:t>
      </w:r>
    </w:p>
    <w:p w14:paraId="64916366" w14:textId="4DB97CBB" w:rsidR="004C46F6" w:rsidRDefault="004C46F6" w:rsidP="004C46F6">
      <w:pPr>
        <w:rPr>
          <w:lang w:val="en-GB"/>
        </w:rPr>
      </w:pPr>
      <w:r w:rsidRPr="004C46F6">
        <w:rPr>
          <w:lang w:val="en-GB"/>
        </w:rPr>
        <w:t>[Placeholder: reproduce verbatim the numbered research questions under each of the four gaps from the scoping brief (Radice Fossati, 2026) — Gap 1: Indicator Coverage &amp; Design (Q1–3); Gap 2: Usability (Q4–6); Gap 3: Decision-Making (Q7–9); Gap 4: Control vs Collaboration (Q1–3). I have the full text and will format it as a table when you confirm.]</w:t>
      </w:r>
    </w:p>
    <w:p w14:paraId="237A902B" w14:textId="54E02AC2" w:rsidR="004C46F6" w:rsidRDefault="004C46F6" w:rsidP="004C46F6">
      <w:pPr>
        <w:rPr>
          <w:lang w:val="en-GB"/>
        </w:rPr>
      </w:pPr>
      <w:bookmarkStart w:id="79" w:name="_Toc231372572"/>
      <w:r w:rsidRPr="004C46F6">
        <w:rPr>
          <w:rStyle w:val="Heading3Char"/>
          <w:lang w:val="en-GB"/>
        </w:rPr>
        <w:t>Appendix B.</w:t>
      </w:r>
      <w:r>
        <w:rPr>
          <w:rStyle w:val="Heading3Char"/>
          <w:lang w:val="en-GB"/>
        </w:rPr>
        <w:t>2</w:t>
      </w:r>
      <w:r w:rsidRPr="004C46F6">
        <w:rPr>
          <w:rStyle w:val="Heading3Char"/>
          <w:lang w:val="en-GB"/>
        </w:rPr>
        <w:t xml:space="preserve"> — </w:t>
      </w:r>
      <w:r>
        <w:rPr>
          <w:rStyle w:val="Heading3Char"/>
          <w:lang w:val="en-GB"/>
        </w:rPr>
        <w:t xml:space="preserve">Full </w:t>
      </w:r>
      <w:r w:rsidR="00296AE8">
        <w:rPr>
          <w:rStyle w:val="Heading3Char"/>
          <w:lang w:val="en-GB"/>
        </w:rPr>
        <w:t>requirements matrix.</w:t>
      </w:r>
      <w:bookmarkEnd w:id="79"/>
    </w:p>
    <w:p w14:paraId="7BFE7D91" w14:textId="1DFFE662" w:rsidR="005900C1" w:rsidRDefault="005900C1" w:rsidP="005900C1">
      <w:pPr>
        <w:pStyle w:val="Heading2"/>
        <w:rPr>
          <w:lang w:val="en-GB"/>
        </w:rPr>
      </w:pPr>
      <w:bookmarkStart w:id="80" w:name="_Toc231372573"/>
      <w:r>
        <w:rPr>
          <w:lang w:val="en-GB"/>
        </w:rPr>
        <w:t>Appendix C</w:t>
      </w:r>
      <w:bookmarkEnd w:id="80"/>
    </w:p>
    <w:p w14:paraId="4CB26432" w14:textId="22CFB1F1" w:rsidR="005900C1" w:rsidRDefault="005900C1" w:rsidP="005900C1">
      <w:pPr>
        <w:rPr>
          <w:lang w:val="en-GB"/>
        </w:rPr>
      </w:pPr>
      <w:bookmarkStart w:id="81" w:name="_Toc231372574"/>
      <w:r w:rsidRPr="004C46F6">
        <w:rPr>
          <w:rStyle w:val="Heading3Char"/>
          <w:lang w:val="en-GB"/>
        </w:rPr>
        <w:t xml:space="preserve">Appendix </w:t>
      </w:r>
      <w:r>
        <w:rPr>
          <w:rStyle w:val="Heading3Char"/>
          <w:lang w:val="en-GB"/>
        </w:rPr>
        <w:t>C</w:t>
      </w:r>
      <w:r w:rsidRPr="004C46F6">
        <w:rPr>
          <w:rStyle w:val="Heading3Char"/>
          <w:lang w:val="en-GB"/>
        </w:rPr>
        <w:t xml:space="preserve">.1 — </w:t>
      </w:r>
      <w:r w:rsidRPr="005900C1">
        <w:rPr>
          <w:rStyle w:val="Heading3Char"/>
          <w:lang w:val="en-GB"/>
        </w:rPr>
        <w:t>Indicator evaluation scorecard</w:t>
      </w:r>
      <w:r w:rsidRPr="004C46F6">
        <w:rPr>
          <w:rStyle w:val="Heading3Char"/>
          <w:lang w:val="en-GB"/>
        </w:rPr>
        <w:t>.</w:t>
      </w:r>
      <w:bookmarkEnd w:id="81"/>
      <w:r w:rsidRPr="004C46F6">
        <w:rPr>
          <w:lang w:val="en-GB"/>
        </w:rPr>
        <w:t xml:space="preserve"> </w:t>
      </w:r>
    </w:p>
    <w:p w14:paraId="761B725D" w14:textId="0CFD0EF5" w:rsidR="005900C1" w:rsidRDefault="005900C1" w:rsidP="005900C1">
      <w:r>
        <w:t>[Placeholder: full table, every candidate indicator (rows) × the ten criteria of Section 6.1 (columns), with the score/verdict for each. Source: Final_Indicators_List "Refined Indicator Usefulness Criteria" + per-indicator entries. I have the full content and will format when you confirm the layout.]</w:t>
      </w:r>
    </w:p>
    <w:p w14:paraId="3FF7ADEF" w14:textId="5A4BB8EE" w:rsidR="005715FC" w:rsidRDefault="005715FC" w:rsidP="005715FC">
      <w:pPr>
        <w:pStyle w:val="Heading2"/>
        <w:rPr>
          <w:lang w:val="en-GB"/>
        </w:rPr>
      </w:pPr>
      <w:bookmarkStart w:id="82" w:name="_Toc231372575"/>
      <w:r>
        <w:rPr>
          <w:lang w:val="en-GB"/>
        </w:rPr>
        <w:t xml:space="preserve">Appendix </w:t>
      </w:r>
      <w:r>
        <w:rPr>
          <w:lang w:val="en-GB"/>
        </w:rPr>
        <w:t>E</w:t>
      </w:r>
      <w:bookmarkEnd w:id="82"/>
    </w:p>
    <w:p w14:paraId="47841AA4" w14:textId="77777777" w:rsidR="005715FC" w:rsidRPr="005715FC" w:rsidRDefault="005715FC" w:rsidP="005715FC">
      <w:pPr>
        <w:rPr>
          <w:lang w:val="en-GB"/>
        </w:rPr>
      </w:pPr>
    </w:p>
    <w:p w14:paraId="25FB97B4" w14:textId="77777777" w:rsidR="005715FC" w:rsidRDefault="005715FC" w:rsidP="005900C1">
      <w:pPr>
        <w:rPr>
          <w:lang w:val="en-GB"/>
        </w:rPr>
      </w:pPr>
    </w:p>
    <w:p w14:paraId="1A825186" w14:textId="77777777" w:rsidR="005900C1" w:rsidRPr="005900C1" w:rsidRDefault="005900C1" w:rsidP="005900C1">
      <w:pPr>
        <w:rPr>
          <w:lang w:val="en-GB"/>
        </w:rPr>
      </w:pPr>
    </w:p>
    <w:p w14:paraId="08AEC028" w14:textId="307CBC1D" w:rsidR="004C46F6" w:rsidRPr="004C46F6" w:rsidRDefault="004C46F6" w:rsidP="004C46F6">
      <w:pPr>
        <w:rPr>
          <w:lang w:val="en-GB"/>
        </w:rPr>
      </w:pPr>
    </w:p>
    <w:p>
      <w:r>
        <w:br w:type="page"/>
      </w:r>
    </w:p>
    <w:p>
      <w:pPr>
        <w:pStyle w:val="Heading2"/>
      </w:pPr>
      <w:r>
        <w:t>Appendix X: Worked-example screening data</w:t>
      </w:r>
    </w:p>
    <w:p>
      <w:r>
        <w:t>The tables below give the full per-indicator screening detail underlying Section 7. All values come from the single-supplier worked-example sweep (5 km site buffer, engine-default 5×-capped background ring, latest-valid 90-day window, SPPY temporal fallback on, all 19 indicators).</w:t>
      </w:r>
    </w:p>
    <w:tbl>
      <w:tblPr>
        <w:tblStyle w:val="TableGrid"/>
        <w:tblW w:type="auto" w:w="0"/>
        <w:tblLook w:firstColumn="1" w:firstRow="1" w:lastColumn="0" w:lastRow="0" w:noHBand="0" w:noVBand="1" w:val="04A0"/>
      </w:tblPr>
      <w:tblGrid>
        <w:gridCol w:w="4535"/>
        <w:gridCol w:w="4535"/>
      </w:tblGrid>
      <w:tr>
        <w:tc>
          <w:tcPr>
            <w:tcW w:type="dxa" w:w="4535"/>
            <w:shd w:val="clear" w:color="auto" w:fill="D9D9D9"/>
          </w:tcPr>
          <w:p>
            <w:r>
              <w:rPr>
                <w:b/>
                <w:i w:val="0"/>
              </w:rPr>
              <w:t>Step</w:t>
            </w:r>
          </w:p>
        </w:tc>
        <w:tc>
          <w:tcPr>
            <w:tcW w:type="dxa" w:w="4535"/>
            <w:shd w:val="clear" w:color="auto" w:fill="D9D9D9"/>
          </w:tcPr>
          <w:p>
            <w:pPr>
              <w:jc w:val="right"/>
            </w:pPr>
            <w:r>
              <w:rPr>
                <w:b/>
                <w:i w:val="0"/>
              </w:rPr>
              <w:t>Value</w:t>
            </w:r>
          </w:p>
        </w:tc>
      </w:tr>
      <w:tr>
        <w:tc>
          <w:tcPr>
            <w:tcW w:type="dxa" w:w="4535"/>
          </w:tcPr>
          <w:p>
            <w:r>
              <w:rPr>
                <w:b w:val="0"/>
                <w:i w:val="0"/>
              </w:rPr>
              <w:t>Raw site value (NO₂, ring units)</w:t>
            </w:r>
          </w:p>
        </w:tc>
        <w:tc>
          <w:tcPr>
            <w:tcW w:type="dxa" w:w="4535"/>
          </w:tcPr>
          <w:p>
            <w:pPr>
              <w:jc w:val="right"/>
            </w:pPr>
            <w:r>
              <w:rPr>
                <w:b w:val="0"/>
                <w:i w:val="0"/>
              </w:rPr>
              <w:t>79.208</w:t>
            </w:r>
          </w:p>
        </w:tc>
      </w:tr>
      <w:tr>
        <w:tc>
          <w:tcPr>
            <w:tcW w:type="dxa" w:w="4535"/>
          </w:tcPr>
          <w:p>
            <w:r>
              <w:rPr>
                <w:b w:val="0"/>
                <w:i w:val="0"/>
              </w:rPr>
              <w:t>Background median (ring)</w:t>
            </w:r>
          </w:p>
        </w:tc>
        <w:tc>
          <w:tcPr>
            <w:tcW w:type="dxa" w:w="4535"/>
          </w:tcPr>
          <w:p>
            <w:pPr>
              <w:jc w:val="right"/>
            </w:pPr>
            <w:r>
              <w:rPr>
                <w:b w:val="0"/>
                <w:i w:val="0"/>
              </w:rPr>
              <w:t>57.383</w:t>
            </w:r>
          </w:p>
        </w:tc>
      </w:tr>
      <w:tr>
        <w:tc>
          <w:tcPr>
            <w:tcW w:type="dxa" w:w="4535"/>
          </w:tcPr>
          <w:p>
            <w:r>
              <w:rPr>
                <w:b w:val="0"/>
                <w:i w:val="0"/>
              </w:rPr>
              <w:t>Anomaly (site − median)</w:t>
            </w:r>
          </w:p>
        </w:tc>
        <w:tc>
          <w:tcPr>
            <w:tcW w:type="dxa" w:w="4535"/>
          </w:tcPr>
          <w:p>
            <w:pPr>
              <w:jc w:val="right"/>
            </w:pPr>
            <w:r>
              <w:rPr>
                <w:b w:val="0"/>
                <w:i w:val="0"/>
              </w:rPr>
              <w:t>21.826</w:t>
            </w:r>
          </w:p>
        </w:tc>
      </w:tr>
      <w:tr>
        <w:tc>
          <w:tcPr>
            <w:tcW w:type="dxa" w:w="4535"/>
          </w:tcPr>
          <w:p>
            <w:r>
              <w:rPr>
                <w:b w:val="0"/>
                <w:i w:val="0"/>
              </w:rPr>
              <w:t>Background σ (standardising)</w:t>
            </w:r>
          </w:p>
        </w:tc>
        <w:tc>
          <w:tcPr>
            <w:tcW w:type="dxa" w:w="4535"/>
          </w:tcPr>
          <w:p>
            <w:pPr>
              <w:jc w:val="right"/>
            </w:pPr>
            <w:r>
              <w:rPr>
                <w:b w:val="0"/>
                <w:i w:val="0"/>
              </w:rPr>
              <w:t>17.037</w:t>
            </w:r>
          </w:p>
        </w:tc>
      </w:tr>
      <w:tr>
        <w:tc>
          <w:tcPr>
            <w:tcW w:type="dxa" w:w="4535"/>
          </w:tcPr>
          <w:p>
            <w:r>
              <w:rPr>
                <w:b w:val="0"/>
                <w:i w:val="0"/>
              </w:rPr>
              <w:t>z-score (anomaly ÷ σ)</w:t>
            </w:r>
          </w:p>
        </w:tc>
        <w:tc>
          <w:tcPr>
            <w:tcW w:type="dxa" w:w="4535"/>
          </w:tcPr>
          <w:p>
            <w:pPr>
              <w:jc w:val="right"/>
            </w:pPr>
            <w:r>
              <w:rPr>
                <w:b w:val="0"/>
                <w:i w:val="0"/>
              </w:rPr>
              <w:t>1.281</w:t>
            </w:r>
          </w:p>
        </w:tc>
      </w:tr>
      <w:tr>
        <w:tc>
          <w:tcPr>
            <w:tcW w:type="dxa" w:w="4535"/>
          </w:tcPr>
          <w:p>
            <w:r>
              <w:rPr>
                <w:b w:val="0"/>
                <w:i w:val="0"/>
              </w:rPr>
              <w:t>Normalised score (0–1)</w:t>
            </w:r>
          </w:p>
        </w:tc>
        <w:tc>
          <w:tcPr>
            <w:tcW w:type="dxa" w:w="4535"/>
          </w:tcPr>
          <w:p>
            <w:pPr>
              <w:jc w:val="right"/>
            </w:pPr>
            <w:r>
              <w:rPr>
                <w:b w:val="0"/>
                <w:i w:val="0"/>
              </w:rPr>
              <w:t>0.427</w:t>
            </w:r>
          </w:p>
        </w:tc>
      </w:tr>
    </w:tbl>
    <w:p>
      <w:pPr>
        <w:pStyle w:val="Caption"/>
      </w:pPr>
      <w:r>
        <w:rPr>
          <w:i/>
        </w:rPr>
        <w:t>Table X.1: The repeatable-core anomaly trace on a single indicator (Escondida, NO₂). Each step is verifiable: site − median = anomaly; anomaly ÷ σ = z; z maps to the normalised score. σ is the standardising (climatology-baseline) spread.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D9D9"/>
          </w:tcPr>
          <w:p>
            <w:r>
              <w:rPr>
                <w:b/>
                <w:i w:val="0"/>
              </w:rPr>
              <w:t>Indicator</w:t>
            </w:r>
          </w:p>
        </w:tc>
        <w:tc>
          <w:tcPr>
            <w:tcW w:type="dxa" w:w="1814"/>
            <w:shd w:val="clear" w:color="auto" w:fill="D9D9D9"/>
          </w:tcPr>
          <w:p>
            <w:pPr>
              <w:jc w:val="right"/>
            </w:pPr>
            <w:r>
              <w:rPr>
                <w:b/>
                <w:i w:val="0"/>
              </w:rPr>
              <w:t>Esc. z</w:t>
            </w:r>
          </w:p>
        </w:tc>
        <w:tc>
          <w:tcPr>
            <w:tcW w:type="dxa" w:w="1814"/>
            <w:shd w:val="clear" w:color="auto" w:fill="D9D9D9"/>
          </w:tcPr>
          <w:p>
            <w:pPr>
              <w:jc w:val="right"/>
            </w:pPr>
            <w:r>
              <w:rPr>
                <w:b/>
                <w:i w:val="0"/>
              </w:rPr>
              <w:t>Esc. score</w:t>
            </w:r>
          </w:p>
        </w:tc>
        <w:tc>
          <w:tcPr>
            <w:tcW w:type="dxa" w:w="1814"/>
            <w:shd w:val="clear" w:color="auto" w:fill="D9D9D9"/>
          </w:tcPr>
          <w:p>
            <w:pPr>
              <w:jc w:val="right"/>
            </w:pPr>
            <w:r>
              <w:rPr>
                <w:b/>
                <w:i w:val="0"/>
              </w:rPr>
              <w:t>Com. z</w:t>
            </w:r>
          </w:p>
        </w:tc>
        <w:tc>
          <w:tcPr>
            <w:tcW w:type="dxa" w:w="1814"/>
            <w:shd w:val="clear" w:color="auto" w:fill="D9D9D9"/>
          </w:tcPr>
          <w:p>
            <w:pPr>
              <w:jc w:val="right"/>
            </w:pPr>
            <w:r>
              <w:rPr>
                <w:b/>
                <w:i w:val="0"/>
              </w:rPr>
              <w:t>Com. score</w:t>
            </w:r>
          </w:p>
        </w:tc>
      </w:tr>
      <w:tr>
        <w:tc>
          <w:tcPr>
            <w:tcW w:type="dxa" w:w="1814"/>
          </w:tcPr>
          <w:p>
            <w:r>
              <w:rPr>
                <w:b w:val="0"/>
                <w:i w:val="0"/>
              </w:rPr>
              <w:t>NO₂</w:t>
            </w:r>
          </w:p>
        </w:tc>
        <w:tc>
          <w:tcPr>
            <w:tcW w:type="dxa" w:w="1814"/>
          </w:tcPr>
          <w:p>
            <w:pPr>
              <w:jc w:val="right"/>
            </w:pPr>
            <w:r>
              <w:rPr>
                <w:b w:val="0"/>
                <w:i w:val="0"/>
              </w:rPr>
              <w:t>1.281</w:t>
            </w:r>
          </w:p>
        </w:tc>
        <w:tc>
          <w:tcPr>
            <w:tcW w:type="dxa" w:w="1814"/>
          </w:tcPr>
          <w:p>
            <w:pPr>
              <w:jc w:val="right"/>
            </w:pPr>
            <w:r>
              <w:rPr>
                <w:b w:val="0"/>
                <w:i w:val="0"/>
              </w:rPr>
              <w:t>0.427</w:t>
            </w:r>
          </w:p>
        </w:tc>
        <w:tc>
          <w:tcPr>
            <w:tcW w:type="dxa" w:w="1814"/>
          </w:tcPr>
          <w:p>
            <w:pPr>
              <w:jc w:val="right"/>
            </w:pPr>
            <w:r>
              <w:rPr>
                <w:b w:val="0"/>
                <w:i w:val="0"/>
              </w:rPr>
              <w:t>0.362</w:t>
            </w:r>
          </w:p>
        </w:tc>
        <w:tc>
          <w:tcPr>
            <w:tcW w:type="dxa" w:w="1814"/>
          </w:tcPr>
          <w:p>
            <w:pPr>
              <w:jc w:val="right"/>
            </w:pPr>
            <w:r>
              <w:rPr>
                <w:b w:val="0"/>
                <w:i w:val="0"/>
              </w:rPr>
              <w:t>0.121</w:t>
            </w:r>
          </w:p>
        </w:tc>
      </w:tr>
      <w:tr>
        <w:tc>
          <w:tcPr>
            <w:tcW w:type="dxa" w:w="1814"/>
          </w:tcPr>
          <w:p>
            <w:r>
              <w:rPr>
                <w:b w:val="0"/>
                <w:i w:val="0"/>
              </w:rPr>
              <w:t>SO₂</w:t>
            </w:r>
          </w:p>
        </w:tc>
        <w:tc>
          <w:tcPr>
            <w:tcW w:type="dxa" w:w="1814"/>
          </w:tcPr>
          <w:p>
            <w:pPr>
              <w:jc w:val="right"/>
            </w:pPr>
            <w:r>
              <w:rPr>
                <w:b w:val="0"/>
                <w:i w:val="0"/>
              </w:rPr>
              <w:t>-0.080</w:t>
            </w:r>
          </w:p>
        </w:tc>
        <w:tc>
          <w:tcPr>
            <w:tcW w:type="dxa" w:w="1814"/>
          </w:tcPr>
          <w:p>
            <w:pPr>
              <w:jc w:val="right"/>
            </w:pPr>
            <w:r>
              <w:rPr>
                <w:b w:val="0"/>
                <w:i w:val="0"/>
              </w:rPr>
              <w:t>0.000</w:t>
            </w:r>
          </w:p>
        </w:tc>
        <w:tc>
          <w:tcPr>
            <w:tcW w:type="dxa" w:w="1814"/>
          </w:tcPr>
          <w:p>
            <w:pPr>
              <w:jc w:val="right"/>
            </w:pPr>
            <w:r>
              <w:rPr>
                <w:b w:val="0"/>
                <w:i w:val="0"/>
              </w:rPr>
              <w:t>0.141</w:t>
            </w:r>
          </w:p>
        </w:tc>
        <w:tc>
          <w:tcPr>
            <w:tcW w:type="dxa" w:w="1814"/>
          </w:tcPr>
          <w:p>
            <w:pPr>
              <w:jc w:val="right"/>
            </w:pPr>
            <w:r>
              <w:rPr>
                <w:b w:val="0"/>
                <w:i w:val="0"/>
              </w:rPr>
              <w:t>0.047</w:t>
            </w:r>
          </w:p>
        </w:tc>
      </w:tr>
      <w:tr>
        <w:tc>
          <w:tcPr>
            <w:tcW w:type="dxa" w:w="1814"/>
          </w:tcPr>
          <w:p>
            <w:r>
              <w:rPr>
                <w:b w:val="0"/>
                <w:i w:val="0"/>
              </w:rPr>
              <w:t>CO</w:t>
            </w:r>
          </w:p>
        </w:tc>
        <w:tc>
          <w:tcPr>
            <w:tcW w:type="dxa" w:w="1814"/>
          </w:tcPr>
          <w:p>
            <w:pPr>
              <w:jc w:val="right"/>
            </w:pPr>
            <w:r>
              <w:rPr>
                <w:b w:val="0"/>
                <w:i w:val="0"/>
              </w:rPr>
              <w:t>0.063</w:t>
            </w:r>
          </w:p>
        </w:tc>
        <w:tc>
          <w:tcPr>
            <w:tcW w:type="dxa" w:w="1814"/>
          </w:tcPr>
          <w:p>
            <w:pPr>
              <w:jc w:val="right"/>
            </w:pPr>
            <w:r>
              <w:rPr>
                <w:b w:val="0"/>
                <w:i w:val="0"/>
              </w:rPr>
              <w:t>0.021</w:t>
            </w:r>
          </w:p>
        </w:tc>
        <w:tc>
          <w:tcPr>
            <w:tcW w:type="dxa" w:w="1814"/>
          </w:tcPr>
          <w:p>
            <w:pPr>
              <w:jc w:val="right"/>
            </w:pPr>
            <w:r>
              <w:rPr>
                <w:b w:val="0"/>
                <w:i w:val="0"/>
              </w:rPr>
              <w:t>0.195</w:t>
            </w:r>
          </w:p>
        </w:tc>
        <w:tc>
          <w:tcPr>
            <w:tcW w:type="dxa" w:w="1814"/>
          </w:tcPr>
          <w:p>
            <w:pPr>
              <w:jc w:val="right"/>
            </w:pPr>
            <w:r>
              <w:rPr>
                <w:b w:val="0"/>
                <w:i w:val="0"/>
              </w:rPr>
              <w:t>0.065</w:t>
            </w:r>
          </w:p>
        </w:tc>
      </w:tr>
      <w:tr>
        <w:tc>
          <w:tcPr>
            <w:tcW w:type="dxa" w:w="1814"/>
          </w:tcPr>
          <w:p>
            <w:r>
              <w:rPr>
                <w:b w:val="0"/>
                <w:i w:val="0"/>
              </w:rPr>
              <w:t>HCHO</w:t>
            </w:r>
          </w:p>
        </w:tc>
        <w:tc>
          <w:tcPr>
            <w:tcW w:type="dxa" w:w="1814"/>
          </w:tcPr>
          <w:p>
            <w:pPr>
              <w:jc w:val="right"/>
            </w:pPr>
            <w:r>
              <w:rPr>
                <w:b w:val="0"/>
                <w:i w:val="0"/>
              </w:rPr>
              <w:t>0.207</w:t>
            </w:r>
          </w:p>
        </w:tc>
        <w:tc>
          <w:tcPr>
            <w:tcW w:type="dxa" w:w="1814"/>
          </w:tcPr>
          <w:p>
            <w:pPr>
              <w:jc w:val="right"/>
            </w:pPr>
            <w:r>
              <w:rPr>
                <w:b w:val="0"/>
                <w:i w:val="0"/>
              </w:rPr>
              <w:t>0.069</w:t>
            </w:r>
          </w:p>
        </w:tc>
        <w:tc>
          <w:tcPr>
            <w:tcW w:type="dxa" w:w="1814"/>
          </w:tcPr>
          <w:p>
            <w:pPr>
              <w:jc w:val="right"/>
            </w:pPr>
            <w:r>
              <w:rPr>
                <w:b w:val="0"/>
                <w:i w:val="0"/>
              </w:rPr>
              <w:t>-0.060</w:t>
            </w:r>
          </w:p>
        </w:tc>
        <w:tc>
          <w:tcPr>
            <w:tcW w:type="dxa" w:w="1814"/>
          </w:tcPr>
          <w:p>
            <w:pPr>
              <w:jc w:val="right"/>
            </w:pPr>
            <w:r>
              <w:rPr>
                <w:b w:val="0"/>
                <w:i w:val="0"/>
              </w:rPr>
              <w:t>0.000</w:t>
            </w:r>
          </w:p>
        </w:tc>
      </w:tr>
      <w:tr>
        <w:tc>
          <w:tcPr>
            <w:tcW w:type="dxa" w:w="1814"/>
          </w:tcPr>
          <w:p>
            <w:r>
              <w:rPr>
                <w:b w:val="0"/>
                <w:i w:val="0"/>
              </w:rPr>
              <w:t>O₃</w:t>
            </w:r>
          </w:p>
        </w:tc>
        <w:tc>
          <w:tcPr>
            <w:tcW w:type="dxa" w:w="1814"/>
          </w:tcPr>
          <w:p>
            <w:pPr>
              <w:jc w:val="right"/>
            </w:pPr>
            <w:r>
              <w:rPr>
                <w:b w:val="0"/>
                <w:i w:val="0"/>
              </w:rPr>
              <w:t>-0.023</w:t>
            </w:r>
          </w:p>
        </w:tc>
        <w:tc>
          <w:tcPr>
            <w:tcW w:type="dxa" w:w="1814"/>
          </w:tcPr>
          <w:p>
            <w:pPr>
              <w:jc w:val="right"/>
            </w:pPr>
            <w:r>
              <w:rPr>
                <w:b w:val="0"/>
                <w:i w:val="0"/>
              </w:rPr>
              <w:t>0.000</w:t>
            </w:r>
          </w:p>
        </w:tc>
        <w:tc>
          <w:tcPr>
            <w:tcW w:type="dxa" w:w="1814"/>
          </w:tcPr>
          <w:p>
            <w:pPr>
              <w:jc w:val="right"/>
            </w:pPr>
            <w:r>
              <w:rPr>
                <w:b w:val="0"/>
                <w:i w:val="0"/>
              </w:rPr>
              <w:t>0.031</w:t>
            </w:r>
          </w:p>
        </w:tc>
        <w:tc>
          <w:tcPr>
            <w:tcW w:type="dxa" w:w="1814"/>
          </w:tcPr>
          <w:p>
            <w:pPr>
              <w:jc w:val="right"/>
            </w:pPr>
            <w:r>
              <w:rPr>
                <w:b w:val="0"/>
                <w:i w:val="0"/>
              </w:rPr>
              <w:t>0.010</w:t>
            </w:r>
          </w:p>
        </w:tc>
      </w:tr>
      <w:tr>
        <w:tc>
          <w:tcPr>
            <w:tcW w:type="dxa" w:w="1814"/>
          </w:tcPr>
          <w:p>
            <w:r>
              <w:rPr>
                <w:b w:val="0"/>
                <w:i w:val="0"/>
              </w:rPr>
              <w:t>AAI</w:t>
            </w:r>
          </w:p>
        </w:tc>
        <w:tc>
          <w:tcPr>
            <w:tcW w:type="dxa" w:w="1814"/>
          </w:tcPr>
          <w:p>
            <w:pPr>
              <w:jc w:val="right"/>
            </w:pPr>
            <w:r>
              <w:rPr>
                <w:b w:val="0"/>
                <w:i w:val="0"/>
              </w:rPr>
              <w:t>1.055</w:t>
            </w:r>
          </w:p>
        </w:tc>
        <w:tc>
          <w:tcPr>
            <w:tcW w:type="dxa" w:w="1814"/>
          </w:tcPr>
          <w:p>
            <w:pPr>
              <w:jc w:val="right"/>
            </w:pPr>
            <w:r>
              <w:rPr>
                <w:b w:val="0"/>
                <w:i w:val="0"/>
              </w:rPr>
              <w:t>0.352</w:t>
            </w:r>
          </w:p>
        </w:tc>
        <w:tc>
          <w:tcPr>
            <w:tcW w:type="dxa" w:w="1814"/>
          </w:tcPr>
          <w:p>
            <w:pPr>
              <w:jc w:val="right"/>
            </w:pPr>
            <w:r>
              <w:rPr>
                <w:b w:val="0"/>
                <w:i w:val="0"/>
              </w:rPr>
              <w:t>-0.041</w:t>
            </w:r>
          </w:p>
        </w:tc>
        <w:tc>
          <w:tcPr>
            <w:tcW w:type="dxa" w:w="1814"/>
          </w:tcPr>
          <w:p>
            <w:pPr>
              <w:jc w:val="right"/>
            </w:pPr>
            <w:r>
              <w:rPr>
                <w:b w:val="0"/>
                <w:i w:val="0"/>
              </w:rPr>
              <w:t>0.000</w:t>
            </w:r>
          </w:p>
        </w:tc>
      </w:tr>
      <w:tr>
        <w:tc>
          <w:tcPr>
            <w:tcW w:type="dxa" w:w="1814"/>
          </w:tcPr>
          <w:p>
            <w:r>
              <w:rPr>
                <w:b w:val="0"/>
                <w:i w:val="0"/>
              </w:rPr>
              <w:t>AOD</w:t>
            </w:r>
          </w:p>
        </w:tc>
        <w:tc>
          <w:tcPr>
            <w:tcW w:type="dxa" w:w="1814"/>
          </w:tcPr>
          <w:p>
            <w:pPr>
              <w:jc w:val="right"/>
            </w:pPr>
            <w:r>
              <w:rPr>
                <w:b w:val="0"/>
                <w:i w:val="0"/>
              </w:rPr>
              <w:t>-0.127</w:t>
            </w:r>
          </w:p>
        </w:tc>
        <w:tc>
          <w:tcPr>
            <w:tcW w:type="dxa" w:w="1814"/>
          </w:tcPr>
          <w:p>
            <w:pPr>
              <w:jc w:val="right"/>
            </w:pPr>
            <w:r>
              <w:rPr>
                <w:b w:val="0"/>
                <w:i w:val="0"/>
              </w:rPr>
              <w:t>0.000</w:t>
            </w:r>
          </w:p>
        </w:tc>
        <w:tc>
          <w:tcPr>
            <w:tcW w:type="dxa" w:w="1814"/>
          </w:tcPr>
          <w:p>
            <w:pPr>
              <w:jc w:val="right"/>
            </w:pPr>
            <w:r>
              <w:rPr>
                <w:b w:val="0"/>
                <w:i w:val="0"/>
              </w:rPr>
              <w:t>0.464</w:t>
            </w:r>
          </w:p>
        </w:tc>
        <w:tc>
          <w:tcPr>
            <w:tcW w:type="dxa" w:w="1814"/>
          </w:tcPr>
          <w:p>
            <w:pPr>
              <w:jc w:val="right"/>
            </w:pPr>
            <w:r>
              <w:rPr>
                <w:b w:val="0"/>
                <w:i w:val="0"/>
              </w:rPr>
              <w:t>0.155</w:t>
            </w:r>
          </w:p>
        </w:tc>
      </w:tr>
    </w:tbl>
    <w:p>
      <w:pPr>
        <w:pStyle w:val="Caption"/>
      </w:pPr>
      <w:r>
        <w:rPr>
          <w:i/>
        </w:rPr>
        <w:t>Table X.2: Per-indicator Air results (z and normalised score) — Escondida vs Comodoro Rivadavia. PM₂.₅ and PM₁₀ are omitted (dropped: 5 km buffer &lt; 44.5 km native pixel). Cells shown as — had no valid retrieval in-window.</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Pr>
          <w:p>
            <w:r>
              <w:rPr>
                <w:b/>
                <w:i w:val="0"/>
              </w:rPr>
              <w:t>Site</w:t>
            </w:r>
          </w:p>
        </w:tc>
        <w:tc>
          <w:tcPr>
            <w:tcW w:type="dxa" w:w="1512"/>
            <w:shd w:val="clear" w:color="auto" w:fill="D9D9D9"/>
          </w:tcPr>
          <w:p>
            <w:pPr>
              <w:jc w:val="right"/>
            </w:pPr>
            <w:r>
              <w:rPr>
                <w:b/>
                <w:i w:val="0"/>
              </w:rPr>
              <w:t>CO₂ raw mean</w:t>
            </w:r>
          </w:p>
        </w:tc>
        <w:tc>
          <w:tcPr>
            <w:tcW w:type="dxa" w:w="1512"/>
            <w:shd w:val="clear" w:color="auto" w:fill="D9D9D9"/>
          </w:tcPr>
          <w:p>
            <w:pPr>
              <w:jc w:val="right"/>
            </w:pPr>
            <w:r>
              <w:rPr>
                <w:b/>
                <w:i w:val="0"/>
              </w:rPr>
              <w:t>CO₂ rel. int.</w:t>
            </w:r>
          </w:p>
        </w:tc>
        <w:tc>
          <w:tcPr>
            <w:tcW w:type="dxa" w:w="1512"/>
            <w:shd w:val="clear" w:color="auto" w:fill="D9D9D9"/>
          </w:tcPr>
          <w:p>
            <w:pPr>
              <w:jc w:val="right"/>
            </w:pPr>
            <w:r>
              <w:rPr>
                <w:b/>
                <w:i w:val="0"/>
              </w:rPr>
              <w:t>VIIRS bright.</w:t>
            </w:r>
          </w:p>
        </w:tc>
        <w:tc>
          <w:tcPr>
            <w:tcW w:type="dxa" w:w="1512"/>
            <w:shd w:val="clear" w:color="auto" w:fill="D9D9D9"/>
          </w:tcPr>
          <w:p>
            <w:pPr>
              <w:jc w:val="right"/>
            </w:pPr>
            <w:r>
              <w:rPr>
                <w:b/>
                <w:i w:val="0"/>
              </w:rPr>
              <w:t>CH₄ z</w:t>
            </w:r>
          </w:p>
        </w:tc>
        <w:tc>
          <w:tcPr>
            <w:tcW w:type="dxa" w:w="1512"/>
            <w:shd w:val="clear" w:color="auto" w:fill="D9D9D9"/>
          </w:tcPr>
          <w:p>
            <w:pPr>
              <w:jc w:val="right"/>
            </w:pPr>
            <w:r>
              <w:rPr>
                <w:b/>
                <w:i w:val="0"/>
              </w:rPr>
              <w:t>CH₄ score</w:t>
            </w:r>
          </w:p>
        </w:tc>
      </w:tr>
      <w:tr>
        <w:tc>
          <w:tcPr>
            <w:tcW w:type="dxa" w:w="1512"/>
          </w:tcPr>
          <w:p>
            <w:r>
              <w:rPr>
                <w:b w:val="0"/>
                <w:i w:val="0"/>
              </w:rPr>
              <w:t>Jamnagar</w:t>
            </w:r>
          </w:p>
        </w:tc>
        <w:tc>
          <w:tcPr>
            <w:tcW w:type="dxa" w:w="1512"/>
          </w:tcPr>
          <w:p>
            <w:pPr>
              <w:jc w:val="right"/>
            </w:pPr>
            <w:r>
              <w:rPr>
                <w:b w:val="0"/>
                <w:i w:val="0"/>
              </w:rPr>
              <w:t>18810.0</w:t>
            </w:r>
          </w:p>
        </w:tc>
        <w:tc>
          <w:tcPr>
            <w:tcW w:type="dxa" w:w="1512"/>
          </w:tcPr>
          <w:p>
            <w:pPr>
              <w:jc w:val="right"/>
            </w:pPr>
            <w:r>
              <w:rPr>
                <w:b w:val="0"/>
                <w:i w:val="0"/>
              </w:rPr>
              <w:t>5.0</w:t>
            </w:r>
          </w:p>
        </w:tc>
        <w:tc>
          <w:tcPr>
            <w:tcW w:type="dxa" w:w="1512"/>
          </w:tcPr>
          <w:p>
            <w:pPr>
              <w:jc w:val="right"/>
            </w:pPr>
            <w:r>
              <w:rPr>
                <w:b w:val="0"/>
                <w:i w:val="0"/>
              </w:rPr>
              <w:t>61.021</w:t>
            </w:r>
          </w:p>
        </w:tc>
        <w:tc>
          <w:tcPr>
            <w:tcW w:type="dxa" w:w="1512"/>
          </w:tcPr>
          <w:p>
            <w:pPr>
              <w:jc w:val="right"/>
            </w:pPr>
            <w:r>
              <w:rPr>
                <w:b w:val="0"/>
                <w:i w:val="0"/>
              </w:rPr>
              <w:t>-0.009</w:t>
            </w:r>
          </w:p>
        </w:tc>
        <w:tc>
          <w:tcPr>
            <w:tcW w:type="dxa" w:w="1512"/>
          </w:tcPr>
          <w:p>
            <w:pPr>
              <w:jc w:val="right"/>
            </w:pPr>
            <w:r>
              <w:rPr>
                <w:b w:val="0"/>
                <w:i w:val="0"/>
              </w:rPr>
              <w:t>0.000</w:t>
            </w:r>
          </w:p>
        </w:tc>
      </w:tr>
      <w:tr>
        <w:tc>
          <w:tcPr>
            <w:tcW w:type="dxa" w:w="1512"/>
          </w:tcPr>
          <w:p>
            <w:r>
              <w:rPr>
                <w:b w:val="0"/>
                <w:i w:val="0"/>
              </w:rPr>
              <w:t>Escondida</w:t>
            </w:r>
          </w:p>
        </w:tc>
        <w:tc>
          <w:tcPr>
            <w:tcW w:type="dxa" w:w="1512"/>
          </w:tcPr>
          <w:p>
            <w:pPr>
              <w:jc w:val="right"/>
            </w:pPr>
            <w:r>
              <w:rPr>
                <w:b w:val="0"/>
                <w:i w:val="0"/>
              </w:rPr>
              <w:t>2304.6</w:t>
            </w:r>
          </w:p>
        </w:tc>
        <w:tc>
          <w:tcPr>
            <w:tcW w:type="dxa" w:w="1512"/>
          </w:tcPr>
          <w:p>
            <w:pPr>
              <w:jc w:val="right"/>
            </w:pPr>
            <w:r>
              <w:rPr>
                <w:b w:val="0"/>
                <w:i w:val="0"/>
              </w:rPr>
              <w:t>10.0</w:t>
            </w:r>
          </w:p>
        </w:tc>
        <w:tc>
          <w:tcPr>
            <w:tcW w:type="dxa" w:w="1512"/>
          </w:tcPr>
          <w:p>
            <w:pPr>
              <w:jc w:val="right"/>
            </w:pPr>
            <w:r>
              <w:rPr>
                <w:b w:val="0"/>
                <w:i w:val="0"/>
              </w:rPr>
              <w:t>5.406</w:t>
            </w:r>
          </w:p>
        </w:tc>
        <w:tc>
          <w:tcPr>
            <w:tcW w:type="dxa" w:w="1512"/>
          </w:tcPr>
          <w:p>
            <w:pPr>
              <w:jc w:val="right"/>
            </w:pPr>
            <w:r>
              <w:rPr>
                <w:b w:val="0"/>
                <w:i w:val="0"/>
              </w:rPr>
              <w:t>0.872</w:t>
            </w:r>
          </w:p>
        </w:tc>
        <w:tc>
          <w:tcPr>
            <w:tcW w:type="dxa" w:w="1512"/>
          </w:tcPr>
          <w:p>
            <w:pPr>
              <w:jc w:val="right"/>
            </w:pPr>
            <w:r>
              <w:rPr>
                <w:b w:val="0"/>
                <w:i w:val="0"/>
              </w:rPr>
              <w:t>0.291</w:t>
            </w:r>
          </w:p>
        </w:tc>
      </w:tr>
    </w:tbl>
    <w:p>
      <w:pPr>
        <w:pStyle w:val="Caption"/>
      </w:pPr>
      <w:r>
        <w:rPr>
          <w:i/>
        </w:rPr>
        <w:t>Table X.3: GHG reference/context terms (displayed, NOT scored) — Jamnagar vs Escondida. CO₂ (ODIAC) relative intensity is capped at 10; CH₄ is an M-CH4-A1 reference signal. None enter the GHG core (combustion + VIIRS flaring).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Pr>
          <w:p>
            <w:r>
              <w:rPr>
                <w:b/>
                <w:i w:val="0"/>
              </w:rPr>
              <w:t>Site</w:t>
            </w:r>
          </w:p>
        </w:tc>
        <w:tc>
          <w:tcPr>
            <w:tcW w:type="dxa" w:w="1512"/>
            <w:shd w:val="clear" w:color="auto" w:fill="D9D9D9"/>
          </w:tcPr>
          <w:p>
            <w:pPr>
              <w:jc w:val="right"/>
            </w:pPr>
            <w:r>
              <w:rPr>
                <w:b/>
                <w:i w:val="0"/>
              </w:rPr>
              <w:t>KBA overlap (ha)</w:t>
            </w:r>
          </w:p>
        </w:tc>
        <w:tc>
          <w:tcPr>
            <w:tcW w:type="dxa" w:w="1512"/>
            <w:shd w:val="clear" w:color="auto" w:fill="D9D9D9"/>
          </w:tcPr>
          <w:p>
            <w:pPr>
              <w:jc w:val="right"/>
            </w:pPr>
            <w:r>
              <w:rPr>
                <w:b/>
                <w:i w:val="0"/>
              </w:rPr>
              <w:t>KBA dist (km)</w:t>
            </w:r>
          </w:p>
        </w:tc>
        <w:tc>
          <w:tcPr>
            <w:tcW w:type="dxa" w:w="1512"/>
            <w:shd w:val="clear" w:color="auto" w:fill="D9D9D9"/>
          </w:tcPr>
          <w:p>
            <w:r>
              <w:rPr>
                <w:b/>
                <w:i w:val="0"/>
              </w:rPr>
              <w:t>Proximity branch</w:t>
            </w:r>
          </w:p>
        </w:tc>
        <w:tc>
          <w:tcPr>
            <w:tcW w:type="dxa" w:w="1512"/>
            <w:shd w:val="clear" w:color="auto" w:fill="D9D9D9"/>
          </w:tcPr>
          <w:p>
            <w:pPr>
              <w:jc w:val="right"/>
            </w:pPr>
            <w:r>
              <w:rPr>
                <w:b/>
                <w:i w:val="0"/>
              </w:rPr>
              <w:t>Habitat conv.</w:t>
            </w:r>
          </w:p>
        </w:tc>
        <w:tc>
          <w:tcPr>
            <w:tcW w:type="dxa" w:w="1512"/>
            <w:shd w:val="clear" w:color="auto" w:fill="D9D9D9"/>
          </w:tcPr>
          <w:p>
            <w:pPr>
              <w:jc w:val="right"/>
            </w:pPr>
            <w:r>
              <w:rPr>
                <w:b/>
                <w:i w:val="0"/>
              </w:rPr>
              <w:t>Nature follow-up</w:t>
            </w:r>
          </w:p>
        </w:tc>
      </w:tr>
      <w:tr>
        <w:tc>
          <w:tcPr>
            <w:tcW w:type="dxa" w:w="1512"/>
          </w:tcPr>
          <w:p>
            <w:r>
              <w:rPr>
                <w:b w:val="0"/>
                <w:i w:val="0"/>
              </w:rPr>
              <w:t>Carajás</w:t>
            </w:r>
          </w:p>
        </w:tc>
        <w:tc>
          <w:tcPr>
            <w:tcW w:type="dxa" w:w="1512"/>
          </w:tcPr>
          <w:p>
            <w:pPr>
              <w:jc w:val="right"/>
            </w:pPr>
            <w:r>
              <w:rPr>
                <w:b w:val="0"/>
                <w:i w:val="0"/>
              </w:rPr>
              <w:t>7,760</w:t>
            </w:r>
          </w:p>
        </w:tc>
        <w:tc>
          <w:tcPr>
            <w:tcW w:type="dxa" w:w="1512"/>
          </w:tcPr>
          <w:p>
            <w:pPr>
              <w:jc w:val="right"/>
            </w:pPr>
            <w:r>
              <w:rPr>
                <w:b w:val="0"/>
                <w:i w:val="0"/>
              </w:rPr>
              <w:t>0.00</w:t>
            </w:r>
          </w:p>
        </w:tc>
        <w:tc>
          <w:tcPr>
            <w:tcW w:type="dxa" w:w="1512"/>
          </w:tcPr>
          <w:p>
            <w:r>
              <w:rPr>
                <w:b w:val="0"/>
                <w:i w:val="0"/>
              </w:rPr>
              <w:t>overlap</w:t>
            </w:r>
          </w:p>
        </w:tc>
        <w:tc>
          <w:tcPr>
            <w:tcW w:type="dxa" w:w="1512"/>
          </w:tcPr>
          <w:p>
            <w:pPr>
              <w:jc w:val="right"/>
            </w:pPr>
            <w:r>
              <w:rPr>
                <w:b w:val="0"/>
                <w:i w:val="0"/>
              </w:rPr>
              <w:t>0.201</w:t>
            </w:r>
          </w:p>
        </w:tc>
        <w:tc>
          <w:tcPr>
            <w:tcW w:type="dxa" w:w="1512"/>
          </w:tcPr>
          <w:p>
            <w:pPr>
              <w:jc w:val="right"/>
            </w:pPr>
            <w:r>
              <w:rPr>
                <w:b w:val="0"/>
                <w:i w:val="0"/>
              </w:rPr>
              <w:t>0.601</w:t>
            </w:r>
          </w:p>
        </w:tc>
      </w:tr>
      <w:tr>
        <w:tc>
          <w:tcPr>
            <w:tcW w:type="dxa" w:w="1512"/>
          </w:tcPr>
          <w:p>
            <w:r>
              <w:rPr>
                <w:b w:val="0"/>
                <w:i w:val="0"/>
              </w:rPr>
              <w:t>Morowali IMIP</w:t>
            </w:r>
          </w:p>
        </w:tc>
        <w:tc>
          <w:tcPr>
            <w:tcW w:type="dxa" w:w="1512"/>
          </w:tcPr>
          <w:p>
            <w:pPr>
              <w:jc w:val="right"/>
            </w:pPr>
            <w:r>
              <w:rPr>
                <w:b w:val="0"/>
                <w:i w:val="0"/>
              </w:rPr>
              <w:t>0</w:t>
            </w:r>
          </w:p>
        </w:tc>
        <w:tc>
          <w:tcPr>
            <w:tcW w:type="dxa" w:w="1512"/>
          </w:tcPr>
          <w:p>
            <w:pPr>
              <w:jc w:val="right"/>
            </w:pPr>
            <w:r>
              <w:rPr>
                <w:b w:val="0"/>
                <w:i w:val="0"/>
              </w:rPr>
              <w:t>5.97</w:t>
            </w:r>
          </w:p>
        </w:tc>
        <w:tc>
          <w:tcPr>
            <w:tcW w:type="dxa" w:w="1512"/>
          </w:tcPr>
          <w:p>
            <w:r>
              <w:rPr>
                <w:b w:val="0"/>
                <w:i w:val="0"/>
              </w:rPr>
              <w:t>distance-decay</w:t>
            </w:r>
          </w:p>
        </w:tc>
        <w:tc>
          <w:tcPr>
            <w:tcW w:type="dxa" w:w="1512"/>
          </w:tcPr>
          <w:p>
            <w:pPr>
              <w:jc w:val="right"/>
            </w:pPr>
            <w:r>
              <w:rPr>
                <w:b w:val="0"/>
                <w:i w:val="0"/>
              </w:rPr>
              <w:t>0.726</w:t>
            </w:r>
          </w:p>
        </w:tc>
        <w:tc>
          <w:tcPr>
            <w:tcW w:type="dxa" w:w="1512"/>
          </w:tcPr>
          <w:p>
            <w:pPr>
              <w:jc w:val="right"/>
            </w:pPr>
            <w:r>
              <w:rPr>
                <w:b w:val="0"/>
                <w:i w:val="0"/>
              </w:rPr>
              <w:t>0.723</w:t>
            </w:r>
          </w:p>
        </w:tc>
      </w:tr>
    </w:tbl>
    <w:p>
      <w:pPr>
        <w:pStyle w:val="Caption"/>
      </w:pPr>
      <w:r>
        <w:rPr>
          <w:i/>
        </w:rPr>
        <w:t>Table X.4: Per-strand Nature results — Carajás (inside a KBA: 98.8 % overlap → overlap branch) vs Morowali IMIP (KBA ~6 km away → distance-decay branch; highest on-site habitat conversion). Proximity = max(overlap_pct, exp(−dist/10)).</w:t>
      </w:r>
    </w:p>
    <w:tbl>
      <w:tblPr>
        <w:tblStyle w:val="TableGrid"/>
        <w:tblW w:type="auto" w:w="0"/>
        <w:tblLook w:firstColumn="1" w:firstRow="1" w:lastColumn="0" w:lastRow="0" w:noHBand="0" w:noVBand="1" w:val="04A0"/>
      </w:tblPr>
      <w:tblGrid>
        <w:gridCol w:w="2267"/>
        <w:gridCol w:w="2267"/>
        <w:gridCol w:w="2267"/>
        <w:gridCol w:w="2267"/>
      </w:tblGrid>
      <w:tr>
        <w:tc>
          <w:tcPr>
            <w:tcW w:type="dxa" w:w="2267"/>
            <w:shd w:val="clear" w:color="auto" w:fill="D9D9D9"/>
          </w:tcPr>
          <w:p>
            <w:r>
              <w:rPr>
                <w:b/>
                <w:i w:val="0"/>
              </w:rPr>
              <w:t>Site</w:t>
            </w:r>
          </w:p>
        </w:tc>
        <w:tc>
          <w:tcPr>
            <w:tcW w:type="dxa" w:w="2267"/>
            <w:shd w:val="clear" w:color="auto" w:fill="D9D9D9"/>
          </w:tcPr>
          <w:p>
            <w:r>
              <w:rPr>
                <w:b/>
                <w:i w:val="0"/>
              </w:rPr>
              <w:t>VIIRS lit-contrast (state · pct)</w:t>
            </w:r>
          </w:p>
        </w:tc>
        <w:tc>
          <w:tcPr>
            <w:tcW w:type="dxa" w:w="2267"/>
            <w:shd w:val="clear" w:color="auto" w:fill="D9D9D9"/>
          </w:tcPr>
          <w:p>
            <w:r>
              <w:rPr>
                <w:b/>
                <w:i w:val="0"/>
              </w:rPr>
              <w:t>Habitat spatial-link (state · offset km)</w:t>
            </w:r>
          </w:p>
        </w:tc>
        <w:tc>
          <w:tcPr>
            <w:tcW w:type="dxa" w:w="2267"/>
            <w:shd w:val="clear" w:color="auto" w:fill="D9D9D9"/>
          </w:tcPr>
          <w:p>
            <w:r>
              <w:rPr>
                <w:b/>
                <w:i w:val="0"/>
              </w:rPr>
              <w:t>Wind states</w:t>
            </w:r>
          </w:p>
        </w:tc>
      </w:tr>
      <w:tr>
        <w:tc>
          <w:tcPr>
            <w:tcW w:type="dxa" w:w="2267"/>
          </w:tcPr>
          <w:p>
            <w:r>
              <w:rPr>
                <w:b w:val="0"/>
                <w:i w:val="0"/>
              </w:rPr>
              <w:t>Morowali IMIP</w:t>
            </w:r>
          </w:p>
        </w:tc>
        <w:tc>
          <w:tcPr>
            <w:tcW w:type="dxa" w:w="2267"/>
          </w:tcPr>
          <w:p>
            <w:r>
              <w:rPr>
                <w:b w:val="0"/>
                <w:i w:val="0"/>
              </w:rPr>
              <w:t>high · 98.4%</w:t>
            </w:r>
          </w:p>
        </w:tc>
        <w:tc>
          <w:tcPr>
            <w:tcW w:type="dxa" w:w="2267"/>
          </w:tcPr>
          <w:p>
            <w:r>
              <w:rPr>
                <w:b w:val="0"/>
                <w:i w:val="0"/>
              </w:rPr>
              <w:t>moderate · 1.05 km</w:t>
            </w:r>
          </w:p>
        </w:tc>
        <w:tc>
          <w:tcPr>
            <w:tcW w:type="dxa" w:w="2267"/>
          </w:tcPr>
          <w:p>
            <w:r>
              <w:rPr>
                <w:b w:val="0"/>
                <w:i w:val="0"/>
              </w:rPr>
              <w:t>aai=sparse, aod=sparse, hcho=sparse, no2=high, so2=high</w:t>
            </w:r>
          </w:p>
        </w:tc>
      </w:tr>
      <w:tr>
        <w:tc>
          <w:tcPr>
            <w:tcW w:type="dxa" w:w="2267"/>
          </w:tcPr>
          <w:p>
            <w:r>
              <w:rPr>
                <w:b w:val="0"/>
                <w:i w:val="0"/>
              </w:rPr>
              <w:t>Comodoro (Patagonia)</w:t>
            </w:r>
          </w:p>
        </w:tc>
        <w:tc>
          <w:tcPr>
            <w:tcW w:type="dxa" w:w="2267"/>
          </w:tcPr>
          <w:p>
            <w:r>
              <w:rPr>
                <w:b w:val="0"/>
                <w:i w:val="0"/>
              </w:rPr>
              <w:t>high · 94.3%</w:t>
            </w:r>
          </w:p>
        </w:tc>
        <w:tc>
          <w:tcPr>
            <w:tcW w:type="dxa" w:w="2267"/>
          </w:tcPr>
          <w:p>
            <w:r>
              <w:rPr>
                <w:b w:val="0"/>
                <w:i w:val="0"/>
              </w:rPr>
              <w:t>moderate · 2.01 km</w:t>
            </w:r>
          </w:p>
        </w:tc>
        <w:tc>
          <w:tcPr>
            <w:tcW w:type="dxa" w:w="2267"/>
          </w:tcPr>
          <w:p>
            <w:r>
              <w:rPr>
                <w:b w:val="0"/>
                <w:i w:val="0"/>
              </w:rPr>
              <w:t>aai=sparse, aod=low, hcho=sparse, no2=low, so2=sparse</w:t>
            </w:r>
          </w:p>
        </w:tc>
      </w:tr>
      <w:tr>
        <w:tc>
          <w:tcPr>
            <w:tcW w:type="dxa" w:w="2267"/>
          </w:tcPr>
          <w:p>
            <w:r>
              <w:rPr>
                <w:b w:val="0"/>
                <w:i w:val="0"/>
              </w:rPr>
              <w:t>Jamnagar</w:t>
            </w:r>
          </w:p>
        </w:tc>
        <w:tc>
          <w:tcPr>
            <w:tcW w:type="dxa" w:w="2267"/>
          </w:tcPr>
          <w:p>
            <w:r>
              <w:rPr>
                <w:b w:val="0"/>
                <w:i w:val="0"/>
              </w:rPr>
              <w:t>high · 97.5%</w:t>
            </w:r>
          </w:p>
        </w:tc>
        <w:tc>
          <w:tcPr>
            <w:tcW w:type="dxa" w:w="2267"/>
          </w:tcPr>
          <w:p>
            <w:r>
              <w:rPr>
                <w:b w:val="0"/>
                <w:i w:val="0"/>
              </w:rPr>
              <w:t>moderate · 1.41 km</w:t>
            </w:r>
          </w:p>
        </w:tc>
        <w:tc>
          <w:tcPr>
            <w:tcW w:type="dxa" w:w="2267"/>
          </w:tcPr>
          <w:p>
            <w:r>
              <w:rPr>
                <w:b w:val="0"/>
                <w:i w:val="0"/>
              </w:rPr>
              <w:t>aai=low, aod=sparse, hcho=sparse, no2=sparse, so2=sparse</w:t>
            </w:r>
          </w:p>
        </w:tc>
      </w:tr>
      <w:tr>
        <w:tc>
          <w:tcPr>
            <w:tcW w:type="dxa" w:w="2267"/>
          </w:tcPr>
          <w:p>
            <w:r>
              <w:rPr>
                <w:b w:val="0"/>
                <w:i w:val="0"/>
              </w:rPr>
              <w:t>Leshan (LONGi)</w:t>
            </w:r>
          </w:p>
        </w:tc>
        <w:tc>
          <w:tcPr>
            <w:tcW w:type="dxa" w:w="2267"/>
          </w:tcPr>
          <w:p>
            <w:r>
              <w:rPr>
                <w:b w:val="0"/>
                <w:i w:val="0"/>
              </w:rPr>
              <w:t>high · 90.7%</w:t>
            </w:r>
          </w:p>
        </w:tc>
        <w:tc>
          <w:tcPr>
            <w:tcW w:type="dxa" w:w="2267"/>
          </w:tcPr>
          <w:p>
            <w:r>
              <w:rPr>
                <w:b w:val="0"/>
                <w:i w:val="0"/>
              </w:rPr>
              <w:t>high · 0.13 km</w:t>
            </w:r>
          </w:p>
        </w:tc>
        <w:tc>
          <w:tcPr>
            <w:tcW w:type="dxa" w:w="2267"/>
          </w:tcPr>
          <w:p>
            <w:r>
              <w:rPr>
                <w:b w:val="0"/>
                <w:i w:val="0"/>
              </w:rPr>
              <w:t>aai=moderate, aod=sparse, hcho=sparse, no2=sparse, so2=sparse</w:t>
            </w:r>
          </w:p>
        </w:tc>
      </w:tr>
    </w:tbl>
    <w:p>
      <w:pPr>
        <w:pStyle w:val="Caption"/>
      </w:pPr>
      <w:r>
        <w:rPr>
          <w:i/>
        </w:rPr>
        <w:t>Table X.5: Attributability labels at the flaring sites and the polysilicon site — VIIRS lit-contrast state (ring percentile), habitat spatial-link state (change-centroid offset from the supplier), and per-pollutant wind states. 'sparse' offsets show as — (too few change pixels to localise).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D9D9"/>
          </w:tcPr>
          <w:p>
            <w:r>
              <w:rPr>
                <w:b/>
                <w:i w:val="0"/>
              </w:rPr>
              <w:t>Site</w:t>
            </w:r>
          </w:p>
        </w:tc>
        <w:tc>
          <w:tcPr>
            <w:tcW w:type="dxa" w:w="1814"/>
            <w:shd w:val="clear" w:color="auto" w:fill="D9D9D9"/>
          </w:tcPr>
          <w:p>
            <w:r>
              <w:rPr>
                <w:b/>
                <w:i w:val="0"/>
              </w:rPr>
              <w:t>Dropped indicators</w:t>
            </w:r>
          </w:p>
        </w:tc>
        <w:tc>
          <w:tcPr>
            <w:tcW w:type="dxa" w:w="1814"/>
            <w:shd w:val="clear" w:color="auto" w:fill="D9D9D9"/>
          </w:tcPr>
          <w:p>
            <w:r>
              <w:rPr>
                <w:b/>
                <w:i w:val="0"/>
              </w:rPr>
              <w:t>Fallbacks fired</w:t>
            </w:r>
          </w:p>
        </w:tc>
        <w:tc>
          <w:tcPr>
            <w:tcW w:type="dxa" w:w="1814"/>
            <w:shd w:val="clear" w:color="auto" w:fill="D9D9D9"/>
          </w:tcPr>
          <w:p>
            <w:pPr>
              <w:jc w:val="right"/>
            </w:pPr>
            <w:r>
              <w:rPr>
                <w:b/>
                <w:i w:val="0"/>
              </w:rPr>
              <w:t>Survivors (Air)</w:t>
            </w:r>
          </w:p>
        </w:tc>
        <w:tc>
          <w:tcPr>
            <w:tcW w:type="dxa" w:w="1814"/>
            <w:shd w:val="clear" w:color="auto" w:fill="D9D9D9"/>
          </w:tcPr>
          <w:p>
            <w:pPr>
              <w:jc w:val="right"/>
            </w:pPr>
            <w:r>
              <w:rPr>
                <w:b/>
                <w:i w:val="0"/>
              </w:rPr>
              <w:t>Composite conf.</w:t>
            </w:r>
          </w:p>
        </w:tc>
      </w:tr>
      <w:tr>
        <w:tc>
          <w:tcPr>
            <w:tcW w:type="dxa" w:w="1814"/>
          </w:tcPr>
          <w:p>
            <w:r>
              <w:rPr>
                <w:b w:val="0"/>
                <w:i w:val="0"/>
              </w:rPr>
              <w:t>Norilsk</w:t>
            </w:r>
          </w:p>
        </w:tc>
        <w:tc>
          <w:tcPr>
            <w:tcW w:type="dxa" w:w="1814"/>
          </w:tcPr>
          <w:p>
            <w:r>
              <w:rPr>
                <w:b w:val="0"/>
                <w:i w:val="0"/>
              </w:rPr>
              <w:t>PM₂.₅, PM₁₀</w:t>
            </w:r>
          </w:p>
        </w:tc>
        <w:tc>
          <w:tcPr>
            <w:tcW w:type="dxa" w:w="1814"/>
          </w:tcPr>
          <w:p>
            <w:r>
              <w:rPr>
                <w:b w:val="0"/>
                <w:i w:val="0"/>
              </w:rPr>
              <w:t>AOD, SO₂ (SPPY)</w:t>
            </w:r>
          </w:p>
        </w:tc>
        <w:tc>
          <w:tcPr>
            <w:tcW w:type="dxa" w:w="1814"/>
          </w:tcPr>
          <w:p>
            <w:pPr>
              <w:jc w:val="right"/>
            </w:pPr>
            <w:r>
              <w:rPr>
                <w:b w:val="0"/>
                <w:i w:val="0"/>
              </w:rPr>
              <w:t>7 of 9</w:t>
            </w:r>
          </w:p>
        </w:tc>
        <w:tc>
          <w:tcPr>
            <w:tcW w:type="dxa" w:w="1814"/>
          </w:tcPr>
          <w:p>
            <w:pPr>
              <w:jc w:val="right"/>
            </w:pPr>
            <w:r>
              <w:rPr>
                <w:b w:val="0"/>
                <w:i w:val="0"/>
              </w:rPr>
              <w:t>0.594</w:t>
            </w:r>
          </w:p>
        </w:tc>
      </w:tr>
      <w:tr>
        <w:tc>
          <w:tcPr>
            <w:tcW w:type="dxa" w:w="1814"/>
          </w:tcPr>
          <w:p>
            <w:r>
              <w:rPr>
                <w:b w:val="0"/>
                <w:i w:val="0"/>
              </w:rPr>
              <w:t>Escondida</w:t>
            </w:r>
          </w:p>
        </w:tc>
        <w:tc>
          <w:tcPr>
            <w:tcW w:type="dxa" w:w="1814"/>
          </w:tcPr>
          <w:p>
            <w:r>
              <w:rPr>
                <w:b w:val="0"/>
                <w:i w:val="0"/>
              </w:rPr>
              <w:t>PM₂.₅, PM₁₀</w:t>
            </w:r>
          </w:p>
        </w:tc>
        <w:tc>
          <w:tcPr>
            <w:tcW w:type="dxa" w:w="1814"/>
          </w:tcPr>
          <w:p>
            <w:r>
              <w:rPr>
                <w:b w:val="0"/>
                <w:i w:val="0"/>
              </w:rPr>
              <w:t>none</w:t>
            </w:r>
          </w:p>
        </w:tc>
        <w:tc>
          <w:tcPr>
            <w:tcW w:type="dxa" w:w="1814"/>
          </w:tcPr>
          <w:p>
            <w:pPr>
              <w:jc w:val="right"/>
            </w:pPr>
            <w:r>
              <w:rPr>
                <w:b w:val="0"/>
                <w:i w:val="0"/>
              </w:rPr>
              <w:t>7 of 9</w:t>
            </w:r>
          </w:p>
        </w:tc>
        <w:tc>
          <w:tcPr>
            <w:tcW w:type="dxa" w:w="1814"/>
          </w:tcPr>
          <w:p>
            <w:pPr>
              <w:jc w:val="right"/>
            </w:pPr>
            <w:r>
              <w:rPr>
                <w:b w:val="0"/>
                <w:i w:val="0"/>
              </w:rPr>
              <w:t>0.694</w:t>
            </w:r>
          </w:p>
        </w:tc>
      </w:tr>
    </w:tbl>
    <w:p>
      <w:pPr>
        <w:pStyle w:val="Caption"/>
      </w:pPr>
      <w:r>
        <w:rPr>
          <w:i/>
        </w:rPr>
        <w:t>Table X.6: Degradation events (full) — Norilsk vs Escondida. PM₂.₅ and PM₁₀ drop at every site (5 km buffer &lt; 44.5 km native pixel), renormalising Air to 7 of 9 survivors. Norilsk additionally recovered SO₂ and AOD via the SPPY temporal fallback; Escondida fired none.</w:t>
      </w:r>
    </w:p>
    <w:sectPr w:rsidR="004C46F6" w:rsidRPr="004C46F6" w:rsidSect="00B5019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Benedetta Radice Fossati Confalonieri" w:date="2026-06-03T01:08:00Z" w:initials="BRFC">
    <w:p w14:paraId="495E20CF" w14:textId="77777777" w:rsidR="0040189F" w:rsidRDefault="0040189F" w:rsidP="0040189F">
      <w:pPr>
        <w:jc w:val="left"/>
      </w:pPr>
      <w:r>
        <w:rPr>
          <w:rStyle w:val="CommentReference"/>
        </w:rPr>
        <w:annotationRef/>
      </w:r>
      <w:r>
        <w:rPr>
          <w:sz w:val="20"/>
          <w:szCs w:val="20"/>
        </w:rPr>
        <w:t>Redo analysis, think of display mode</w:t>
      </w:r>
    </w:p>
  </w:comment>
  <w:comment w:id="40" w:author="Benedetta Radice Fossati Confalonieri" w:date="2026-06-03T00:42:00Z" w:initials="BRFC">
    <w:p w14:paraId="2731BC3C" w14:textId="77777777" w:rsidR="00E961DA" w:rsidRDefault="00E961DA" w:rsidP="00E961DA">
      <w:pPr>
        <w:jc w:val="left"/>
      </w:pPr>
      <w:r>
        <w:rPr>
          <w:rStyle w:val="CommentReference"/>
        </w:rPr>
        <w:annotationRef/>
      </w:r>
      <w:r>
        <w:rPr>
          <w:sz w:val="20"/>
          <w:szCs w:val="20"/>
        </w:rPr>
        <w:t>Ensure this is well explained in section 6.3</w:t>
      </w:r>
    </w:p>
  </w:comment>
  <w:comment w:id="42" w:author="Benedetta Radice Fossati Confalonieri" w:date="2026-06-03T00:48:00Z" w:initials="BRFC">
    <w:p w14:paraId="4B688C8A" w14:textId="77777777" w:rsidR="00542C6F" w:rsidRDefault="00542C6F" w:rsidP="00542C6F">
      <w:pPr>
        <w:jc w:val="left"/>
      </w:pPr>
      <w:r>
        <w:rPr>
          <w:rStyle w:val="CommentReference"/>
        </w:rPr>
        <w:annotationRef/>
      </w:r>
      <w:r>
        <w:rPr>
          <w:sz w:val="20"/>
          <w:szCs w:val="20"/>
        </w:rPr>
        <w:t>Needs more explanation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5E20CF" w15:done="0"/>
  <w15:commentEx w15:paraId="2731BC3C" w15:done="0"/>
  <w15:commentEx w15:paraId="4B688C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68566" w16cex:dateUtc="2026-06-03T00:08:00Z"/>
  <w16cex:commentExtensible w16cex:durableId="5BFF7B1E" w16cex:dateUtc="2026-06-02T23:42:00Z"/>
  <w16cex:commentExtensible w16cex:durableId="3F4E0269" w16cex:dateUtc="2026-06-02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5E20CF" w16cid:durableId="29B68566"/>
  <w16cid:commentId w16cid:paraId="2731BC3C" w16cid:durableId="5BFF7B1E"/>
  <w16cid:commentId w16cid:paraId="4B688C8A" w16cid:durableId="3F4E02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A313C" w14:textId="77777777" w:rsidR="0000445B" w:rsidRDefault="0000445B" w:rsidP="00A31EED">
      <w:pPr>
        <w:spacing w:before="0"/>
      </w:pPr>
      <w:r>
        <w:separator/>
      </w:r>
    </w:p>
  </w:endnote>
  <w:endnote w:type="continuationSeparator" w:id="0">
    <w:p w14:paraId="64D76D53" w14:textId="77777777" w:rsidR="0000445B" w:rsidRDefault="0000445B" w:rsidP="00A31EE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C2F61" w14:textId="77777777" w:rsidR="0000445B" w:rsidRDefault="0000445B" w:rsidP="00A31EED">
      <w:pPr>
        <w:spacing w:before="0"/>
      </w:pPr>
      <w:r>
        <w:separator/>
      </w:r>
    </w:p>
  </w:footnote>
  <w:footnote w:type="continuationSeparator" w:id="0">
    <w:p w14:paraId="1966E8EF" w14:textId="77777777" w:rsidR="0000445B" w:rsidRDefault="0000445B" w:rsidP="00A31EED">
      <w:pPr>
        <w:spacing w:before="0"/>
      </w:pPr>
      <w:r>
        <w:continuationSeparator/>
      </w:r>
    </w:p>
  </w:footnote>
  <w:footnote w:id="1">
    <w:p w14:paraId="1E5E7CFA" w14:textId="1B4762F6" w:rsidR="00E91C85" w:rsidRPr="00E91C85" w:rsidRDefault="00E91C85">
      <w:pPr>
        <w:pStyle w:val="FootnoteText"/>
        <w:rPr>
          <w:lang w:val="it-IT"/>
        </w:rPr>
      </w:pPr>
      <w:r>
        <w:rPr>
          <w:rStyle w:val="FootnoteReference"/>
        </w:rPr>
        <w:footnoteRef/>
      </w:r>
      <w:r>
        <w:t xml:space="preserve"> </w:t>
      </w:r>
      <w:r>
        <w:rPr>
          <w:lang w:val="it-IT"/>
        </w:rPr>
        <w:t>Screening, monitoring, prioritisation, reporting.</w:t>
      </w:r>
    </w:p>
  </w:footnote>
  <w:footnote w:id="2">
    <w:p w14:paraId="1541B6B0" w14:textId="61CF5398" w:rsidR="001775A7" w:rsidRPr="001775A7" w:rsidRDefault="001775A7">
      <w:pPr>
        <w:pStyle w:val="FootnoteText"/>
        <w:rPr>
          <w:lang w:val="en-GB"/>
        </w:rPr>
      </w:pPr>
      <w:r>
        <w:rPr>
          <w:rStyle w:val="FootnoteReference"/>
        </w:rPr>
        <w:footnoteRef/>
      </w:r>
      <w:r>
        <w:t xml:space="preserve"> </w:t>
      </w:r>
      <w:r w:rsidRPr="001775A7">
        <w:t>the length of the shortest path linking them, where the path is strictly constrained to travel through a specific subset of the image domain</w:t>
      </w:r>
      <w:r>
        <w:t xml:space="preserve"> </w:t>
      </w:r>
      <w:r w:rsidR="009C07F5" w:rsidRPr="009C07F5">
        <w:t>(Wang et al., 2013)</w:t>
      </w:r>
      <w:r w:rsidR="009C07F5">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E07"/>
    <w:multiLevelType w:val="hybridMultilevel"/>
    <w:tmpl w:val="331C20BC"/>
    <w:lvl w:ilvl="0" w:tplc="84DA19D4">
      <w:start w:val="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3A710C"/>
    <w:multiLevelType w:val="hybridMultilevel"/>
    <w:tmpl w:val="1750C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F30880"/>
    <w:multiLevelType w:val="hybridMultilevel"/>
    <w:tmpl w:val="182C90C0"/>
    <w:lvl w:ilvl="0" w:tplc="D4A2EFC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2863F4"/>
    <w:multiLevelType w:val="hybridMultilevel"/>
    <w:tmpl w:val="06C4D3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AD5EB7"/>
    <w:multiLevelType w:val="hybridMultilevel"/>
    <w:tmpl w:val="EDDA42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390756"/>
    <w:multiLevelType w:val="hybridMultilevel"/>
    <w:tmpl w:val="4598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892A43"/>
    <w:multiLevelType w:val="hybridMultilevel"/>
    <w:tmpl w:val="909E7474"/>
    <w:lvl w:ilvl="0" w:tplc="2820E0D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AE1B50"/>
    <w:multiLevelType w:val="hybridMultilevel"/>
    <w:tmpl w:val="1A9C46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1A2339"/>
    <w:multiLevelType w:val="hybridMultilevel"/>
    <w:tmpl w:val="ECF64980"/>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337C9B"/>
    <w:multiLevelType w:val="hybridMultilevel"/>
    <w:tmpl w:val="636ED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8D3DB4"/>
    <w:multiLevelType w:val="hybridMultilevel"/>
    <w:tmpl w:val="094A9E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62743F"/>
    <w:multiLevelType w:val="hybridMultilevel"/>
    <w:tmpl w:val="673E1AE4"/>
    <w:lvl w:ilvl="0" w:tplc="0410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B33395F"/>
    <w:multiLevelType w:val="hybridMultilevel"/>
    <w:tmpl w:val="F288F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454B08"/>
    <w:multiLevelType w:val="hybridMultilevel"/>
    <w:tmpl w:val="BBA89880"/>
    <w:lvl w:ilvl="0" w:tplc="F0742CDE">
      <w:start w:val="1"/>
      <w:numFmt w:val="bullet"/>
      <w:pStyle w:val="Bullet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Symbo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Symbol"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243088"/>
    <w:multiLevelType w:val="hybridMultilevel"/>
    <w:tmpl w:val="99F6D7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B407054"/>
    <w:multiLevelType w:val="hybridMultilevel"/>
    <w:tmpl w:val="0D48F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C114C6"/>
    <w:multiLevelType w:val="hybridMultilevel"/>
    <w:tmpl w:val="462EE5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0AB2562"/>
    <w:multiLevelType w:val="hybridMultilevel"/>
    <w:tmpl w:val="3FA8A3A2"/>
    <w:lvl w:ilvl="0" w:tplc="EC145BDE">
      <w:start w:val="1"/>
      <w:numFmt w:val="decimal"/>
      <w:lvlText w:val="%1."/>
      <w:lvlJc w:val="left"/>
      <w:pPr>
        <w:ind w:left="720" w:hanging="360"/>
      </w:pPr>
      <w:rPr>
        <w:rFonts w:hint="default"/>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11759E"/>
    <w:multiLevelType w:val="multilevel"/>
    <w:tmpl w:val="069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95A53"/>
    <w:multiLevelType w:val="hybridMultilevel"/>
    <w:tmpl w:val="DD1AC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FE3AA2"/>
    <w:multiLevelType w:val="hybridMultilevel"/>
    <w:tmpl w:val="31E23910"/>
    <w:lvl w:ilvl="0" w:tplc="04100001">
      <w:start w:val="1"/>
      <w:numFmt w:val="bullet"/>
      <w:lvlText w:val=""/>
      <w:lvlJc w:val="left"/>
      <w:pPr>
        <w:ind w:left="720" w:hanging="360"/>
      </w:pPr>
      <w:rPr>
        <w:rFonts w:ascii="Symbol" w:hAnsi="Symbol" w:cs="Symbol"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1988745">
    <w:abstractNumId w:val="13"/>
  </w:num>
  <w:num w:numId="2" w16cid:durableId="2076463601">
    <w:abstractNumId w:val="6"/>
  </w:num>
  <w:num w:numId="3" w16cid:durableId="1071923168">
    <w:abstractNumId w:val="9"/>
  </w:num>
  <w:num w:numId="4" w16cid:durableId="121391885">
    <w:abstractNumId w:val="2"/>
  </w:num>
  <w:num w:numId="5" w16cid:durableId="203177944">
    <w:abstractNumId w:val="7"/>
  </w:num>
  <w:num w:numId="6" w16cid:durableId="1757045819">
    <w:abstractNumId w:val="16"/>
  </w:num>
  <w:num w:numId="7" w16cid:durableId="181436087">
    <w:abstractNumId w:val="4"/>
  </w:num>
  <w:num w:numId="8" w16cid:durableId="2032949077">
    <w:abstractNumId w:val="5"/>
  </w:num>
  <w:num w:numId="9" w16cid:durableId="819807541">
    <w:abstractNumId w:val="14"/>
  </w:num>
  <w:num w:numId="10" w16cid:durableId="820191022">
    <w:abstractNumId w:val="19"/>
  </w:num>
  <w:num w:numId="11" w16cid:durableId="1362631634">
    <w:abstractNumId w:val="1"/>
  </w:num>
  <w:num w:numId="12" w16cid:durableId="1380202275">
    <w:abstractNumId w:val="17"/>
  </w:num>
  <w:num w:numId="13" w16cid:durableId="1936941274">
    <w:abstractNumId w:val="15"/>
  </w:num>
  <w:num w:numId="14" w16cid:durableId="363361902">
    <w:abstractNumId w:val="20"/>
  </w:num>
  <w:num w:numId="15" w16cid:durableId="113137220">
    <w:abstractNumId w:val="0"/>
  </w:num>
  <w:num w:numId="16" w16cid:durableId="1828663377">
    <w:abstractNumId w:val="11"/>
  </w:num>
  <w:num w:numId="17" w16cid:durableId="1659336174">
    <w:abstractNumId w:val="10"/>
  </w:num>
  <w:num w:numId="18" w16cid:durableId="157814924">
    <w:abstractNumId w:val="3"/>
  </w:num>
  <w:num w:numId="19" w16cid:durableId="1124620818">
    <w:abstractNumId w:val="18"/>
  </w:num>
  <w:num w:numId="20" w16cid:durableId="782387357">
    <w:abstractNumId w:val="12"/>
  </w:num>
  <w:num w:numId="21" w16cid:durableId="142745562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etta Radice Fossati Confalonieri">
    <w15:presenceInfo w15:providerId="AD" w15:userId="S::mbr38@cam.ac.uk::784caa4a-d9db-440e-9d36-08ce03f19e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3C"/>
    <w:rsid w:val="0000445B"/>
    <w:rsid w:val="00047C5F"/>
    <w:rsid w:val="000A381D"/>
    <w:rsid w:val="000B5023"/>
    <w:rsid w:val="000D6E67"/>
    <w:rsid w:val="000F4A2E"/>
    <w:rsid w:val="001775A7"/>
    <w:rsid w:val="00183FC8"/>
    <w:rsid w:val="0022299F"/>
    <w:rsid w:val="002269F4"/>
    <w:rsid w:val="00296AE8"/>
    <w:rsid w:val="002A39B7"/>
    <w:rsid w:val="002F008A"/>
    <w:rsid w:val="00367C29"/>
    <w:rsid w:val="0038510B"/>
    <w:rsid w:val="00395F3C"/>
    <w:rsid w:val="003B5874"/>
    <w:rsid w:val="0040189F"/>
    <w:rsid w:val="004308AF"/>
    <w:rsid w:val="00452086"/>
    <w:rsid w:val="0046028A"/>
    <w:rsid w:val="00464209"/>
    <w:rsid w:val="004711D1"/>
    <w:rsid w:val="00494A80"/>
    <w:rsid w:val="004C46F6"/>
    <w:rsid w:val="004F5E5E"/>
    <w:rsid w:val="00514EB7"/>
    <w:rsid w:val="00542C6F"/>
    <w:rsid w:val="005715FC"/>
    <w:rsid w:val="005900C1"/>
    <w:rsid w:val="005908F7"/>
    <w:rsid w:val="00626E92"/>
    <w:rsid w:val="006656C9"/>
    <w:rsid w:val="006A4B1B"/>
    <w:rsid w:val="007208FF"/>
    <w:rsid w:val="00741BEF"/>
    <w:rsid w:val="007B40E8"/>
    <w:rsid w:val="007C2F07"/>
    <w:rsid w:val="00857028"/>
    <w:rsid w:val="0087238B"/>
    <w:rsid w:val="00874DE9"/>
    <w:rsid w:val="008B2828"/>
    <w:rsid w:val="008D3E07"/>
    <w:rsid w:val="008F0037"/>
    <w:rsid w:val="00942519"/>
    <w:rsid w:val="00946526"/>
    <w:rsid w:val="009538C2"/>
    <w:rsid w:val="00987CC7"/>
    <w:rsid w:val="009A44D2"/>
    <w:rsid w:val="009C07F5"/>
    <w:rsid w:val="009E2B6A"/>
    <w:rsid w:val="00A15525"/>
    <w:rsid w:val="00A16875"/>
    <w:rsid w:val="00A31EED"/>
    <w:rsid w:val="00A600D7"/>
    <w:rsid w:val="00A60BF7"/>
    <w:rsid w:val="00AB1BE7"/>
    <w:rsid w:val="00B07332"/>
    <w:rsid w:val="00B50197"/>
    <w:rsid w:val="00B9558D"/>
    <w:rsid w:val="00C31A98"/>
    <w:rsid w:val="00C8298C"/>
    <w:rsid w:val="00CA0A36"/>
    <w:rsid w:val="00CB23F6"/>
    <w:rsid w:val="00CC4794"/>
    <w:rsid w:val="00D16818"/>
    <w:rsid w:val="00D26413"/>
    <w:rsid w:val="00D31B08"/>
    <w:rsid w:val="00D52E65"/>
    <w:rsid w:val="00D57A49"/>
    <w:rsid w:val="00D61BF1"/>
    <w:rsid w:val="00D82069"/>
    <w:rsid w:val="00DC14B1"/>
    <w:rsid w:val="00DD5309"/>
    <w:rsid w:val="00E413DE"/>
    <w:rsid w:val="00E560B9"/>
    <w:rsid w:val="00E91C85"/>
    <w:rsid w:val="00E92C63"/>
    <w:rsid w:val="00E93961"/>
    <w:rsid w:val="00E961DA"/>
    <w:rsid w:val="00E96E70"/>
    <w:rsid w:val="00ED7CDA"/>
    <w:rsid w:val="00EF0B1D"/>
    <w:rsid w:val="00F022E8"/>
    <w:rsid w:val="00F55190"/>
    <w:rsid w:val="00F644B6"/>
    <w:rsid w:val="00F70BE4"/>
    <w:rsid w:val="00F77A78"/>
    <w:rsid w:val="00F97D0E"/>
    <w:rsid w:val="00FA69DB"/>
    <w:rsid w:val="00FC0A87"/>
    <w:rsid w:val="00FC7A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893D"/>
  <w15:chartTrackingRefBased/>
  <w15:docId w15:val="{83D272C7-BB55-234A-A324-BDF35A8E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CC7"/>
    <w:pPr>
      <w:spacing w:before="80" w:after="0" w:line="360" w:lineRule="auto"/>
      <w:jc w:val="both"/>
    </w:pPr>
    <w:rPr>
      <w:rFonts w:ascii="Calibri" w:eastAsia="Times New Roman" w:hAnsi="Calibri" w:cs="Times New Roman"/>
      <w:sz w:val="24"/>
      <w:szCs w:val="24"/>
      <w:lang w:val="en-US" w:eastAsia="en-GB"/>
    </w:rPr>
  </w:style>
  <w:style w:type="paragraph" w:styleId="Heading1">
    <w:name w:val="heading 1"/>
    <w:basedOn w:val="Normal"/>
    <w:next w:val="Normal"/>
    <w:link w:val="Heading1Char"/>
    <w:autoRedefine/>
    <w:uiPriority w:val="1"/>
    <w:qFormat/>
    <w:rsid w:val="00395F3C"/>
    <w:pPr>
      <w:keepNext/>
      <w:spacing w:before="0"/>
      <w:ind w:right="-1"/>
      <w:jc w:val="left"/>
      <w:outlineLvl w:val="0"/>
    </w:pPr>
    <w:rPr>
      <w:b/>
      <w:sz w:val="28"/>
      <w:lang w:val="en-GB"/>
    </w:rPr>
  </w:style>
  <w:style w:type="paragraph" w:styleId="Heading2">
    <w:name w:val="heading 2"/>
    <w:basedOn w:val="Normal"/>
    <w:next w:val="Normal"/>
    <w:link w:val="Heading2Char"/>
    <w:uiPriority w:val="9"/>
    <w:unhideWhenUsed/>
    <w:qFormat/>
    <w:rsid w:val="004C46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qFormat/>
    <w:rsid w:val="00A31EED"/>
    <w:pPr>
      <w:keepNext/>
      <w:shd w:val="clear" w:color="auto" w:fill="FFFFFF"/>
      <w:ind w:right="300"/>
      <w:textAlignment w:val="baseline"/>
      <w:outlineLvl w:val="2"/>
    </w:pPr>
    <w:rPr>
      <w:rFonts w:eastAsia="Arial" w:cs="Arial Unicode MS"/>
      <w:b/>
      <w:iCs/>
      <w:szCs w:val="20"/>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5F3C"/>
    <w:rPr>
      <w:rFonts w:ascii="Calibri" w:eastAsia="Times New Roman" w:hAnsi="Calibri" w:cs="Times New Roman"/>
      <w:b/>
      <w:sz w:val="28"/>
      <w:szCs w:val="24"/>
      <w:lang w:eastAsia="en-GB"/>
    </w:rPr>
  </w:style>
  <w:style w:type="character" w:customStyle="1" w:styleId="Heading3Char">
    <w:name w:val="Heading 3 Char"/>
    <w:basedOn w:val="DefaultParagraphFont"/>
    <w:link w:val="Heading3"/>
    <w:uiPriority w:val="9"/>
    <w:rsid w:val="00A31EED"/>
    <w:rPr>
      <w:rFonts w:ascii="Calibri" w:eastAsia="Arial" w:hAnsi="Calibri" w:cs="Arial Unicode MS"/>
      <w:b/>
      <w:iCs/>
      <w:sz w:val="24"/>
      <w:szCs w:val="20"/>
      <w:shd w:val="clear" w:color="auto" w:fill="FFFFFF"/>
    </w:rPr>
  </w:style>
  <w:style w:type="paragraph" w:styleId="Title">
    <w:name w:val="Title"/>
    <w:basedOn w:val="Normal"/>
    <w:link w:val="TitleChar"/>
    <w:qFormat/>
    <w:rsid w:val="00395F3C"/>
    <w:pPr>
      <w:jc w:val="center"/>
    </w:pPr>
    <w:rPr>
      <w:rFonts w:ascii="Helvetica" w:hAnsi="Helvetica"/>
      <w:b/>
      <w:sz w:val="54"/>
    </w:rPr>
  </w:style>
  <w:style w:type="character" w:customStyle="1" w:styleId="TitleChar">
    <w:name w:val="Title Char"/>
    <w:basedOn w:val="DefaultParagraphFont"/>
    <w:link w:val="Title"/>
    <w:rsid w:val="00395F3C"/>
    <w:rPr>
      <w:rFonts w:ascii="Helvetica" w:eastAsia="Times New Roman" w:hAnsi="Helvetica" w:cs="Times New Roman"/>
      <w:b/>
      <w:sz w:val="54"/>
      <w:szCs w:val="24"/>
      <w:lang w:val="en-US" w:eastAsia="en-GB"/>
    </w:rPr>
  </w:style>
  <w:style w:type="character" w:styleId="Hyperlink">
    <w:name w:val="Hyperlink"/>
    <w:basedOn w:val="DefaultParagraphFont"/>
    <w:uiPriority w:val="99"/>
    <w:rsid w:val="00395F3C"/>
    <w:rPr>
      <w:color w:val="0000FF"/>
      <w:u w:val="single"/>
    </w:rPr>
  </w:style>
  <w:style w:type="paragraph" w:customStyle="1" w:styleId="METProjectParagraph">
    <w:name w:val="MET Project Paragraph"/>
    <w:basedOn w:val="Normal"/>
    <w:link w:val="METProjectParagraphChar"/>
    <w:rsid w:val="00395F3C"/>
    <w:rPr>
      <w:rFonts w:ascii="Times New Roman" w:hAnsi="Times New Roman"/>
      <w:lang w:val="en-GB"/>
    </w:rPr>
  </w:style>
  <w:style w:type="paragraph" w:styleId="Footer">
    <w:name w:val="footer"/>
    <w:basedOn w:val="Normal"/>
    <w:link w:val="FooterChar"/>
    <w:uiPriority w:val="99"/>
    <w:rsid w:val="00395F3C"/>
    <w:pPr>
      <w:tabs>
        <w:tab w:val="center" w:pos="4680"/>
        <w:tab w:val="right" w:pos="9360"/>
      </w:tabs>
    </w:pPr>
  </w:style>
  <w:style w:type="character" w:customStyle="1" w:styleId="FooterChar">
    <w:name w:val="Footer Char"/>
    <w:basedOn w:val="DefaultParagraphFont"/>
    <w:link w:val="Footer"/>
    <w:uiPriority w:val="99"/>
    <w:rsid w:val="00395F3C"/>
    <w:rPr>
      <w:rFonts w:ascii="Calibri" w:eastAsia="Times New Roman" w:hAnsi="Calibri" w:cs="Times New Roman"/>
      <w:sz w:val="24"/>
      <w:szCs w:val="24"/>
      <w:lang w:val="en-US" w:eastAsia="en-GB"/>
    </w:rPr>
  </w:style>
  <w:style w:type="paragraph" w:styleId="NoSpacing">
    <w:name w:val="No Spacing"/>
    <w:uiPriority w:val="1"/>
    <w:qFormat/>
    <w:rsid w:val="00395F3C"/>
    <w:pPr>
      <w:spacing w:after="0" w:line="240" w:lineRule="auto"/>
    </w:pPr>
    <w:rPr>
      <w:rFonts w:ascii="Calibri" w:eastAsia="Calibri" w:hAnsi="Calibri" w:cs="Times New Roman"/>
      <w:b/>
      <w:sz w:val="28"/>
      <w:lang w:val="en-US"/>
    </w:rPr>
  </w:style>
  <w:style w:type="character" w:styleId="Emphasis">
    <w:name w:val="Emphasis"/>
    <w:basedOn w:val="DefaultParagraphFont"/>
    <w:uiPriority w:val="20"/>
    <w:qFormat/>
    <w:rsid w:val="00395F3C"/>
    <w:rPr>
      <w:i/>
      <w:iCs/>
    </w:rPr>
  </w:style>
  <w:style w:type="paragraph" w:customStyle="1" w:styleId="Bulletlist">
    <w:name w:val="Bullet list"/>
    <w:basedOn w:val="Normal"/>
    <w:link w:val="BulletlistChar"/>
    <w:qFormat/>
    <w:rsid w:val="00395F3C"/>
    <w:pPr>
      <w:numPr>
        <w:numId w:val="1"/>
      </w:numPr>
      <w:spacing w:before="0" w:after="120"/>
    </w:pPr>
    <w:rPr>
      <w:rFonts w:eastAsia="Arial" w:cs="Calibri"/>
      <w:szCs w:val="20"/>
      <w:lang w:val="en-GB" w:eastAsia="en-US"/>
    </w:rPr>
  </w:style>
  <w:style w:type="character" w:customStyle="1" w:styleId="BulletlistChar">
    <w:name w:val="Bullet list Char"/>
    <w:basedOn w:val="DefaultParagraphFont"/>
    <w:link w:val="Bulletlist"/>
    <w:rsid w:val="00395F3C"/>
    <w:rPr>
      <w:rFonts w:ascii="Calibri" w:eastAsia="Arial" w:hAnsi="Calibri" w:cs="Calibri"/>
      <w:sz w:val="24"/>
      <w:szCs w:val="20"/>
    </w:rPr>
  </w:style>
  <w:style w:type="paragraph" w:customStyle="1" w:styleId="Tabletext">
    <w:name w:val="Table text"/>
    <w:basedOn w:val="Normal"/>
    <w:link w:val="TabletextChar"/>
    <w:qFormat/>
    <w:rsid w:val="00296AE8"/>
    <w:pPr>
      <w:spacing w:before="0" w:after="40"/>
      <w:jc w:val="left"/>
    </w:pPr>
    <w:rPr>
      <w:rFonts w:ascii="Times New Roman" w:eastAsia="Arial" w:hAnsi="Times New Roman"/>
      <w:szCs w:val="20"/>
      <w:lang w:val="en-GB" w:eastAsia="en-US"/>
    </w:rPr>
  </w:style>
  <w:style w:type="character" w:customStyle="1" w:styleId="TabletextChar">
    <w:name w:val="Table text Char"/>
    <w:basedOn w:val="DefaultParagraphFont"/>
    <w:link w:val="Tabletext"/>
    <w:rsid w:val="00296AE8"/>
    <w:rPr>
      <w:rFonts w:ascii="Times New Roman" w:eastAsia="Arial" w:hAnsi="Times New Roman" w:cs="Times New Roman"/>
      <w:sz w:val="24"/>
      <w:szCs w:val="20"/>
    </w:rPr>
  </w:style>
  <w:style w:type="paragraph" w:customStyle="1" w:styleId="MET">
    <w:name w:val="MET"/>
    <w:basedOn w:val="Normal"/>
    <w:link w:val="METChar"/>
    <w:qFormat/>
    <w:rsid w:val="00395F3C"/>
    <w:pPr>
      <w:tabs>
        <w:tab w:val="left" w:pos="8505"/>
      </w:tabs>
      <w:spacing w:before="60" w:after="120"/>
      <w:jc w:val="left"/>
    </w:pPr>
    <w:rPr>
      <w:color w:val="17365D"/>
      <w:lang w:val="en-GB"/>
    </w:rPr>
  </w:style>
  <w:style w:type="character" w:customStyle="1" w:styleId="METChar">
    <w:name w:val="MET Char"/>
    <w:link w:val="MET"/>
    <w:rsid w:val="00395F3C"/>
    <w:rPr>
      <w:rFonts w:ascii="Calibri" w:eastAsia="Times New Roman" w:hAnsi="Calibri" w:cs="Times New Roman"/>
      <w:color w:val="17365D"/>
      <w:sz w:val="24"/>
      <w:szCs w:val="24"/>
      <w:lang w:eastAsia="en-GB"/>
    </w:rPr>
  </w:style>
  <w:style w:type="paragraph" w:customStyle="1" w:styleId="Sub-sub-sub">
    <w:name w:val="Sub-sub-sub"/>
    <w:basedOn w:val="METProjectParagraph"/>
    <w:link w:val="Sub-sub-subChar"/>
    <w:qFormat/>
    <w:rsid w:val="00395F3C"/>
    <w:pPr>
      <w:spacing w:before="60" w:after="120"/>
      <w:ind w:left="1134" w:hanging="567"/>
    </w:pPr>
    <w:rPr>
      <w:b/>
    </w:rPr>
  </w:style>
  <w:style w:type="character" w:customStyle="1" w:styleId="METProjectParagraphChar">
    <w:name w:val="MET Project Paragraph Char"/>
    <w:basedOn w:val="DefaultParagraphFont"/>
    <w:link w:val="METProjectParagraph"/>
    <w:rsid w:val="00395F3C"/>
    <w:rPr>
      <w:rFonts w:ascii="Times New Roman" w:eastAsia="Times New Roman" w:hAnsi="Times New Roman" w:cs="Times New Roman"/>
      <w:sz w:val="24"/>
      <w:szCs w:val="24"/>
      <w:lang w:eastAsia="en-GB"/>
    </w:rPr>
  </w:style>
  <w:style w:type="character" w:customStyle="1" w:styleId="Sub-sub-subChar">
    <w:name w:val="Sub-sub-sub Char"/>
    <w:link w:val="Sub-sub-sub"/>
    <w:rsid w:val="00395F3C"/>
    <w:rPr>
      <w:rFonts w:ascii="Times New Roman" w:eastAsia="Times New Roman" w:hAnsi="Times New Roman" w:cs="Times New Roman"/>
      <w:b/>
      <w:sz w:val="24"/>
      <w:szCs w:val="24"/>
      <w:lang w:eastAsia="en-GB"/>
    </w:rPr>
  </w:style>
  <w:style w:type="paragraph" w:customStyle="1" w:styleId="figure">
    <w:name w:val="figure"/>
    <w:basedOn w:val="METProjectParagraph"/>
    <w:link w:val="figureChar"/>
    <w:qFormat/>
    <w:rsid w:val="00395F3C"/>
    <w:pPr>
      <w:spacing w:before="240" w:after="360" w:line="240" w:lineRule="auto"/>
    </w:pPr>
    <w:rPr>
      <w:i/>
    </w:rPr>
  </w:style>
  <w:style w:type="paragraph" w:customStyle="1" w:styleId="Reference">
    <w:name w:val="Reference"/>
    <w:basedOn w:val="Normal"/>
    <w:link w:val="ReferenceChar"/>
    <w:qFormat/>
    <w:rsid w:val="00395F3C"/>
    <w:pPr>
      <w:spacing w:before="60" w:after="120" w:line="288" w:lineRule="auto"/>
      <w:ind w:left="284" w:hanging="284"/>
      <w:jc w:val="left"/>
    </w:pPr>
    <w:rPr>
      <w:rFonts w:ascii="Cambria" w:hAnsi="Cambria"/>
      <w:lang w:val="en-GB"/>
    </w:rPr>
  </w:style>
  <w:style w:type="character" w:customStyle="1" w:styleId="figureChar">
    <w:name w:val="figure Char"/>
    <w:link w:val="figure"/>
    <w:rsid w:val="00395F3C"/>
    <w:rPr>
      <w:rFonts w:ascii="Times New Roman" w:eastAsia="Times New Roman" w:hAnsi="Times New Roman" w:cs="Times New Roman"/>
      <w:i/>
      <w:sz w:val="24"/>
      <w:szCs w:val="24"/>
      <w:lang w:eastAsia="en-GB"/>
    </w:rPr>
  </w:style>
  <w:style w:type="character" w:styleId="IntenseEmphasis">
    <w:name w:val="Intense Emphasis"/>
    <w:uiPriority w:val="21"/>
    <w:qFormat/>
    <w:rsid w:val="00395F3C"/>
    <w:rPr>
      <w:b/>
      <w:bCs/>
      <w:i/>
      <w:iCs/>
      <w:color w:val="4F81BD"/>
    </w:rPr>
  </w:style>
  <w:style w:type="character" w:customStyle="1" w:styleId="ReferenceChar">
    <w:name w:val="Reference Char"/>
    <w:link w:val="Reference"/>
    <w:rsid w:val="00395F3C"/>
    <w:rPr>
      <w:rFonts w:ascii="Cambria" w:eastAsia="Times New Roman" w:hAnsi="Cambria" w:cs="Times New Roman"/>
      <w:sz w:val="24"/>
      <w:szCs w:val="24"/>
      <w:lang w:eastAsia="en-GB"/>
    </w:rPr>
  </w:style>
  <w:style w:type="paragraph" w:styleId="TOC3">
    <w:name w:val="toc 3"/>
    <w:basedOn w:val="Normal"/>
    <w:next w:val="Normal"/>
    <w:autoRedefine/>
    <w:uiPriority w:val="39"/>
    <w:unhideWhenUsed/>
    <w:rsid w:val="00A31EED"/>
    <w:pPr>
      <w:spacing w:after="100"/>
      <w:ind w:left="480"/>
    </w:pPr>
  </w:style>
  <w:style w:type="paragraph" w:styleId="Header">
    <w:name w:val="header"/>
    <w:basedOn w:val="Normal"/>
    <w:link w:val="HeaderChar"/>
    <w:uiPriority w:val="99"/>
    <w:unhideWhenUsed/>
    <w:rsid w:val="00A31EED"/>
    <w:pPr>
      <w:tabs>
        <w:tab w:val="center" w:pos="4513"/>
        <w:tab w:val="right" w:pos="9026"/>
      </w:tabs>
      <w:spacing w:before="0"/>
    </w:pPr>
  </w:style>
  <w:style w:type="character" w:customStyle="1" w:styleId="HeaderChar">
    <w:name w:val="Header Char"/>
    <w:basedOn w:val="DefaultParagraphFont"/>
    <w:link w:val="Header"/>
    <w:uiPriority w:val="99"/>
    <w:rsid w:val="00A31EED"/>
    <w:rPr>
      <w:rFonts w:ascii="Calibri" w:eastAsia="Times New Roman" w:hAnsi="Calibri" w:cs="Times New Roman"/>
      <w:sz w:val="24"/>
      <w:szCs w:val="24"/>
      <w:lang w:val="en-US" w:eastAsia="en-GB"/>
    </w:rPr>
  </w:style>
  <w:style w:type="paragraph" w:styleId="TOC1">
    <w:name w:val="toc 1"/>
    <w:basedOn w:val="Normal"/>
    <w:next w:val="Normal"/>
    <w:autoRedefine/>
    <w:uiPriority w:val="39"/>
    <w:unhideWhenUsed/>
    <w:rsid w:val="00F55190"/>
    <w:pPr>
      <w:tabs>
        <w:tab w:val="left" w:pos="660"/>
        <w:tab w:val="right" w:leader="dot" w:pos="9060"/>
      </w:tabs>
      <w:spacing w:after="100" w:line="480" w:lineRule="auto"/>
    </w:pPr>
  </w:style>
  <w:style w:type="paragraph" w:customStyle="1" w:styleId="1Auteur">
    <w:name w:val="1|Auteur"/>
    <w:basedOn w:val="Normal"/>
    <w:rsid w:val="009A44D2"/>
    <w:pPr>
      <w:spacing w:before="360" w:after="360" w:line="276" w:lineRule="auto"/>
      <w:contextualSpacing/>
      <w:jc w:val="center"/>
    </w:pPr>
    <w:rPr>
      <w:rFonts w:ascii="Times New Roman" w:hAnsi="Times New Roman"/>
      <w:sz w:val="28"/>
      <w:szCs w:val="20"/>
      <w:lang w:val="en-GB" w:eastAsia="fr-FR"/>
    </w:rPr>
  </w:style>
  <w:style w:type="paragraph" w:customStyle="1" w:styleId="font-claude-response-body">
    <w:name w:val="font-claude-response-body"/>
    <w:basedOn w:val="Normal"/>
    <w:rsid w:val="00464209"/>
    <w:pPr>
      <w:spacing w:before="100" w:beforeAutospacing="1" w:after="100" w:afterAutospacing="1"/>
      <w:jc w:val="left"/>
    </w:pPr>
    <w:rPr>
      <w:rFonts w:ascii="Times New Roman" w:hAnsi="Times New Roman"/>
      <w:lang w:val="en-IT"/>
    </w:rPr>
  </w:style>
  <w:style w:type="character" w:styleId="HTMLCode">
    <w:name w:val="HTML Code"/>
    <w:basedOn w:val="DefaultParagraphFont"/>
    <w:uiPriority w:val="99"/>
    <w:semiHidden/>
    <w:unhideWhenUsed/>
    <w:rsid w:val="0046420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C14B1"/>
    <w:rPr>
      <w:color w:val="605E5C"/>
      <w:shd w:val="clear" w:color="auto" w:fill="E1DFDD"/>
    </w:rPr>
  </w:style>
  <w:style w:type="character" w:styleId="FollowedHyperlink">
    <w:name w:val="FollowedHyperlink"/>
    <w:basedOn w:val="DefaultParagraphFont"/>
    <w:uiPriority w:val="99"/>
    <w:semiHidden/>
    <w:unhideWhenUsed/>
    <w:rsid w:val="00DC14B1"/>
    <w:rPr>
      <w:color w:val="954F72" w:themeColor="followedHyperlink"/>
      <w:u w:val="single"/>
    </w:rPr>
  </w:style>
  <w:style w:type="character" w:styleId="Strong">
    <w:name w:val="Strong"/>
    <w:basedOn w:val="DefaultParagraphFont"/>
    <w:uiPriority w:val="22"/>
    <w:qFormat/>
    <w:rsid w:val="00942519"/>
    <w:rPr>
      <w:b/>
      <w:bCs/>
    </w:rPr>
  </w:style>
  <w:style w:type="paragraph" w:styleId="ListParagraph">
    <w:name w:val="List Paragraph"/>
    <w:basedOn w:val="Normal"/>
    <w:uiPriority w:val="34"/>
    <w:qFormat/>
    <w:rsid w:val="00FA69DB"/>
    <w:pPr>
      <w:ind w:left="720"/>
      <w:contextualSpacing/>
    </w:pPr>
  </w:style>
  <w:style w:type="table" w:styleId="TableGrid">
    <w:name w:val="Table Grid"/>
    <w:basedOn w:val="TableNormal"/>
    <w:uiPriority w:val="39"/>
    <w:rsid w:val="00460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figure"/>
    <w:next w:val="Normal"/>
    <w:uiPriority w:val="35"/>
    <w:unhideWhenUsed/>
    <w:qFormat/>
    <w:rsid w:val="00F77A78"/>
    <w:rPr>
      <w:sz w:val="22"/>
      <w:szCs w:val="22"/>
    </w:rPr>
  </w:style>
  <w:style w:type="character" w:customStyle="1" w:styleId="Heading2Char">
    <w:name w:val="Heading 2 Char"/>
    <w:basedOn w:val="DefaultParagraphFont"/>
    <w:link w:val="Heading2"/>
    <w:uiPriority w:val="9"/>
    <w:rsid w:val="004C46F6"/>
    <w:rPr>
      <w:rFonts w:asciiTheme="majorHAnsi" w:eastAsiaTheme="majorEastAsia" w:hAnsiTheme="majorHAnsi" w:cstheme="majorBidi"/>
      <w:color w:val="2F5496" w:themeColor="accent1" w:themeShade="BF"/>
      <w:sz w:val="26"/>
      <w:szCs w:val="26"/>
      <w:lang w:val="en-US" w:eastAsia="en-GB"/>
    </w:rPr>
  </w:style>
  <w:style w:type="paragraph" w:styleId="FootnoteText">
    <w:name w:val="footnote text"/>
    <w:basedOn w:val="Normal"/>
    <w:link w:val="FootnoteTextChar"/>
    <w:uiPriority w:val="99"/>
    <w:semiHidden/>
    <w:unhideWhenUsed/>
    <w:rsid w:val="00E91C8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E91C85"/>
    <w:rPr>
      <w:rFonts w:ascii="Calibri" w:eastAsia="Times New Roman" w:hAnsi="Calibri" w:cs="Times New Roman"/>
      <w:sz w:val="20"/>
      <w:szCs w:val="20"/>
      <w:lang w:val="en-US" w:eastAsia="en-GB"/>
    </w:rPr>
  </w:style>
  <w:style w:type="character" w:styleId="FootnoteReference">
    <w:name w:val="footnote reference"/>
    <w:basedOn w:val="DefaultParagraphFont"/>
    <w:uiPriority w:val="99"/>
    <w:semiHidden/>
    <w:unhideWhenUsed/>
    <w:rsid w:val="00E91C85"/>
    <w:rPr>
      <w:vertAlign w:val="superscript"/>
    </w:rPr>
  </w:style>
  <w:style w:type="paragraph" w:styleId="NormalWeb">
    <w:name w:val="Normal (Web)"/>
    <w:basedOn w:val="Normal"/>
    <w:uiPriority w:val="99"/>
    <w:semiHidden/>
    <w:unhideWhenUsed/>
    <w:rsid w:val="00E560B9"/>
    <w:pPr>
      <w:spacing w:before="100" w:beforeAutospacing="1" w:after="100" w:afterAutospacing="1" w:line="240" w:lineRule="auto"/>
      <w:jc w:val="left"/>
    </w:pPr>
    <w:rPr>
      <w:rFonts w:ascii="Times New Roman" w:hAnsi="Times New Roman"/>
      <w:lang w:val="en-IT"/>
    </w:rPr>
  </w:style>
  <w:style w:type="character" w:styleId="PlaceholderText">
    <w:name w:val="Placeholder Text"/>
    <w:basedOn w:val="DefaultParagraphFont"/>
    <w:uiPriority w:val="99"/>
    <w:semiHidden/>
    <w:rsid w:val="0087238B"/>
    <w:rPr>
      <w:color w:val="666666"/>
    </w:rPr>
  </w:style>
  <w:style w:type="paragraph" w:customStyle="1" w:styleId="Code">
    <w:name w:val="Code"/>
    <w:basedOn w:val="Normal"/>
    <w:qFormat/>
    <w:rsid w:val="00CB23F6"/>
    <w:rPr>
      <w:rFonts w:ascii="Consolas" w:hAnsi="Consolas" w:cs="Consolas"/>
      <w:color w:val="000000" w:themeColor="text1"/>
      <w:sz w:val="20"/>
      <w:szCs w:val="20"/>
    </w:rPr>
  </w:style>
  <w:style w:type="character" w:customStyle="1" w:styleId="token">
    <w:name w:val="token"/>
    <w:basedOn w:val="DefaultParagraphFont"/>
    <w:rsid w:val="00E96E70"/>
  </w:style>
  <w:style w:type="character" w:styleId="CommentReference">
    <w:name w:val="annotation reference"/>
    <w:basedOn w:val="DefaultParagraphFont"/>
    <w:uiPriority w:val="99"/>
    <w:semiHidden/>
    <w:unhideWhenUsed/>
    <w:rsid w:val="00E961DA"/>
    <w:rPr>
      <w:sz w:val="16"/>
      <w:szCs w:val="16"/>
    </w:rPr>
  </w:style>
  <w:style w:type="paragraph" w:styleId="CommentText">
    <w:name w:val="annotation text"/>
    <w:basedOn w:val="Normal"/>
    <w:link w:val="CommentTextChar"/>
    <w:uiPriority w:val="99"/>
    <w:semiHidden/>
    <w:unhideWhenUsed/>
    <w:rsid w:val="00E961DA"/>
    <w:pPr>
      <w:spacing w:line="240" w:lineRule="auto"/>
    </w:pPr>
    <w:rPr>
      <w:sz w:val="20"/>
      <w:szCs w:val="20"/>
    </w:rPr>
  </w:style>
  <w:style w:type="character" w:customStyle="1" w:styleId="CommentTextChar">
    <w:name w:val="Comment Text Char"/>
    <w:basedOn w:val="DefaultParagraphFont"/>
    <w:link w:val="CommentText"/>
    <w:uiPriority w:val="99"/>
    <w:semiHidden/>
    <w:rsid w:val="00E961DA"/>
    <w:rPr>
      <w:rFonts w:ascii="Calibri" w:eastAsia="Times New Roman" w:hAnsi="Calibri" w:cs="Times New Roman"/>
      <w:sz w:val="20"/>
      <w:szCs w:val="20"/>
      <w:lang w:val="en-US" w:eastAsia="en-GB"/>
    </w:rPr>
  </w:style>
  <w:style w:type="paragraph" w:styleId="CommentSubject">
    <w:name w:val="annotation subject"/>
    <w:basedOn w:val="CommentText"/>
    <w:next w:val="CommentText"/>
    <w:link w:val="CommentSubjectChar"/>
    <w:uiPriority w:val="99"/>
    <w:semiHidden/>
    <w:unhideWhenUsed/>
    <w:rsid w:val="00E961DA"/>
    <w:rPr>
      <w:b/>
      <w:bCs/>
    </w:rPr>
  </w:style>
  <w:style w:type="character" w:customStyle="1" w:styleId="CommentSubjectChar">
    <w:name w:val="Comment Subject Char"/>
    <w:basedOn w:val="CommentTextChar"/>
    <w:link w:val="CommentSubject"/>
    <w:uiPriority w:val="99"/>
    <w:semiHidden/>
    <w:rsid w:val="00E961DA"/>
    <w:rPr>
      <w:rFonts w:ascii="Calibri" w:eastAsia="Times New Roman" w:hAnsi="Calibri" w:cs="Times New Roman"/>
      <w:b/>
      <w:bCs/>
      <w:sz w:val="20"/>
      <w:szCs w:val="20"/>
      <w:lang w:val="en-US" w:eastAsia="en-GB"/>
    </w:rPr>
  </w:style>
  <w:style w:type="paragraph" w:styleId="TOC2">
    <w:name w:val="toc 2"/>
    <w:basedOn w:val="Normal"/>
    <w:next w:val="Normal"/>
    <w:autoRedefine/>
    <w:uiPriority w:val="39"/>
    <w:unhideWhenUsed/>
    <w:rsid w:val="005715F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5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0207543.2019.1708989" TargetMode="External"/><Relationship Id="rId18" Type="http://schemas.openxmlformats.org/officeDocument/2006/relationships/hyperlink" Target="https://finance.ec.europa.eu/financial-markets/company-reporting-and-auditing/company-reporting/corporate-sustainability-reporting_en" TargetMode="External"/><Relationship Id="rId26" Type="http://schemas.openxmlformats.org/officeDocument/2006/relationships/hyperlink" Target="https://doi.org/10.1007/s10661-023-11212-x" TargetMode="External"/><Relationship Id="rId21" Type="http://schemas.openxmlformats.org/officeDocument/2006/relationships/hyperlink" Target="https://trase.earth/methodology" TargetMode="External"/><Relationship Id="rId34" Type="http://schemas.openxmlformats.org/officeDocument/2006/relationships/hyperlink" Target="https://doi.org/10.1029/2020ef001665"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doi.org/10.1016/j.rse.2011.09.027" TargetMode="External"/><Relationship Id="rId25" Type="http://schemas.openxmlformats.org/officeDocument/2006/relationships/hyperlink" Target="https://doi.org/10.1139/er-2022-0125" TargetMode="External"/><Relationship Id="rId33" Type="http://schemas.openxmlformats.org/officeDocument/2006/relationships/hyperlink" Target="https://doi.org/10.1007/s11263-012-0588-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irfa.2025.104115" TargetMode="External"/><Relationship Id="rId20" Type="http://schemas.openxmlformats.org/officeDocument/2006/relationships/hyperlink" Target="https://www.sei.org/features/supply-chain-transparency-trase/" TargetMode="External"/><Relationship Id="rId29" Type="http://schemas.openxmlformats.org/officeDocument/2006/relationships/hyperlink" Target="https://doi.org/10.5194/acp-24-3717-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who.int/publications/i/item/9789240034228" TargetMode="External"/><Relationship Id="rId32" Type="http://schemas.openxmlformats.org/officeDocument/2006/relationships/hyperlink" Target="https://doi.org/10.1038/s41597-022-01307-4"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016/j.frl.2025.107880" TargetMode="External"/><Relationship Id="rId23" Type="http://schemas.openxmlformats.org/officeDocument/2006/relationships/hyperlink" Target="https://climatetrace.org/about" TargetMode="External"/><Relationship Id="rId28" Type="http://schemas.openxmlformats.org/officeDocument/2006/relationships/hyperlink" Target="https://doi.org/10.5194/acp-20-5591-20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globalforestwatch.org/blog/data-and-tools/early-warning-systems-for-deforestation-an-explainer/" TargetMode="External"/><Relationship Id="rId31" Type="http://schemas.openxmlformats.org/officeDocument/2006/relationships/hyperlink" Target="https://doi.org/10.3390/en9010014"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80/14747731.2017.1304008" TargetMode="External"/><Relationship Id="rId22" Type="http://schemas.openxmlformats.org/officeDocument/2006/relationships/hyperlink" Target="https://www.globalforestwatch.org/" TargetMode="External"/><Relationship Id="rId27" Type="http://schemas.openxmlformats.org/officeDocument/2006/relationships/hyperlink" Target="https://doi.org/10.1016/j.rsase.2025.101549" TargetMode="External"/><Relationship Id="rId30" Type="http://schemas.openxmlformats.org/officeDocument/2006/relationships/hyperlink" Target="https://doi.org/10.1111/joes.12387" TargetMode="External"/><Relationship Id="rId35" Type="http://schemas.openxmlformats.org/officeDocument/2006/relationships/hyperlink" Target="https://doi.org/10.1038/s41612-024-00891-z" TargetMode="External"/><Relationship Id="rId8" Type="http://schemas.openxmlformats.org/officeDocument/2006/relationships/image" Target="media/image1.wmf"/><Relationship Id="rId3" Type="http://schemas.openxmlformats.org/officeDocument/2006/relationships/styles" Target="styles.xml"/><Relationship Id="rId39" Type="http://schemas.openxmlformats.org/officeDocument/2006/relationships/image" Target="media/image2.png"/><Relationship Id="rId4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1CCF2-19A6-6E46-9E11-492333EAA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11539</Words>
  <Characters>65774</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Strawson</dc:creator>
  <cp:keywords/>
  <dc:description/>
  <cp:lastModifiedBy>Benedetta Radice Fossati Confalonieri</cp:lastModifiedBy>
  <cp:revision>2</cp:revision>
  <dcterms:created xsi:type="dcterms:W3CDTF">2026-06-03T11:07:00Z</dcterms:created>
  <dcterms:modified xsi:type="dcterms:W3CDTF">2026-06-03T11:07:00Z</dcterms:modified>
</cp:coreProperties>
</file>