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No.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  <w:i w:val="0"/>
              </w:rPr>
              <w:t>Site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  <w:i w:val="0"/>
              </w:rPr>
              <w:t>Country / region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  <w:i w:val="0"/>
              </w:rPr>
              <w:t>Industry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right"/>
            </w:pPr>
            <w:r>
              <w:rPr>
                <w:b/>
                <w:i w:val="0"/>
              </w:rPr>
              <w:t>Composite (band)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Morowali Industrial Park (IMIP)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Indonesia (Sulawesi)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Nickel/EV (deforestation frontier)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0.531 (Moderate)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Comodoro Rivadavia oil &amp; gas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Argentina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Oil &amp; gas / flaring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0.432 (Moderate)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Jamnagar refinery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India (Gujarat)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Refining (combustion + flaring)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0.350 (Moderate)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Escondida copper mine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Chile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Copper mining (arid)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0.328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CATL battery plant, Ningde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China (Fujian)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EV batteries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0.306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Norilsk Nickel — Nadezhda smelter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Russia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Ni/Cu/Pd smelting (heavy SO₂)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0.305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Carajás iron ore mine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Brazil (Pará)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Iron ore mining in Amazon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0.304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Ganzhou rare-earth processing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China (Jiangxi)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Critical minerals (REE)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0.269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Bayan Obo rare-earth mine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China (Inner Mongolia)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Critical minerals (REE, arid)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0.248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Tongwei/LONGi polysilicon, Leshan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China (Sichuan)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Solar PV polysilicon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0.240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TSMC Fab 18, Tainan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Taiwan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Semiconductors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0.232 (Low)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Grasberg mine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Indonesia (Papua)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t>Cu/Au mining in rainforest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 w:val="0"/>
                <w:i w:val="0"/>
              </w:rPr>
              <w:t>— (failed)</w:t>
            </w:r>
          </w:p>
        </w:tc>
      </w:tr>
    </w:tbl>
    <w:p>
      <w:pPr>
        <w:pStyle w:val="Caption"/>
      </w:pPr>
      <w:r>
        <w:rPr>
          <w:i/>
        </w:rPr>
        <w:t>Table X.0: The twelve supplier facilities screened in the worked-example sweep, spanning GSCO's critical industries (minerals, EV batteries, solar PV, semiconductors, refining, oil &amp; gas). All screened with the standard single-supplier defaults (5 km site buffer, engine-default 5×-capped background ring, latest-valid 90-day window, all 19 indicators). Composite = the equal-weighted mean of the three pillar follow-up priorities, banded per Appendix C (Low / Moderate / High). Grasberg returned an Earth Engine error (Dynamic World had no bands in the persistently cloud-covered Papua highlands) and produced no composite. Source: Appendix X sweep.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