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b/>
                <w:i w:val="0"/>
              </w:rPr>
              <w:t>Site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  <w:i w:val="0"/>
              </w:rPr>
              <w:t>Site type</w:t>
            </w:r>
          </w:p>
        </w:tc>
        <w:tc>
          <w:tcPr>
            <w:tcW w:type="dxa" w:w="1728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Combustion proxy</w:t>
            </w:r>
          </w:p>
        </w:tc>
        <w:tc>
          <w:tcPr>
            <w:tcW w:type="dxa" w:w="1728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VIIRS flaring</w:t>
            </w:r>
          </w:p>
        </w:tc>
        <w:tc>
          <w:tcPr>
            <w:tcW w:type="dxa" w:w="1728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GHG core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Morowali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nickel smelter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0.341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0.792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i w:val="0"/>
              </w:rPr>
              <w:t>0.521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Comodoro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oil &amp; gas field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0.098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i w:val="0"/>
              </w:rPr>
              <w:t>0.459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Jamnagar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refinery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0.051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i w:val="0"/>
              </w:rPr>
              <w:t>0.431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Norilsk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smelter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0.047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1.000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i w:val="0"/>
              </w:rPr>
              <w:t>0.428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Escondida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copper mine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0.265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0.252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i w:val="0"/>
              </w:rPr>
              <w:t>0.260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</w:rPr>
              <w:t>Carajás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iron ore mine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0.045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0.028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i w:val="0"/>
              </w:rPr>
              <w:t>0.038</w:t>
            </w:r>
          </w:p>
        </w:tc>
      </w:tr>
    </w:tbl>
    <w:p>
      <w:pPr>
        <w:pStyle w:val="Caption"/>
      </w:pPr>
      <w:r>
        <w:rPr>
          <w:i/>
        </w:rPr>
        <w:t>Table X.?: GHG-core inputs and output for the six worked-example suppliers — the data behind Figure 7.A and its companion combined. The combustion proxy (NO₂ + CO, borrowed from the Air pillar) and the VIIRS flaring score are the two scored inputs; the GHG core is their weighted combination, 0.60 × combustion + 0.40 × flaring. All values are dimensionless on [0, 1]; rows ordered by GHG core. Source: Appendix X sweep.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