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 Constat Values per Indicator</w:t>
      </w:r>
    </w:p>
    <w:p>
      <w:r>
        <w:rPr>
          <w:i/>
          <w:sz w:val="18"/>
        </w:rPr>
        <w:t>Per-indicator static QA defaults (the QA_term feeding the confidence formula), with the retrieval-quality justification for each value. Source: engine/constants.py · QA_PER_INDICATOR (v1.x A1). Values are calibrated so mature, well-validated retrievals (NO₂, NDVI, MAIAC AOD, ODIAC, KBA, Hansen) score 0.90+, while noisier retrievals (SO₂ over low-emission regions, CAMS PM at ~44 km native pixel) score 0.70–0.80. They are intentionally conservative on the noisier end.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1F4E79"/>
          </w:tcPr>
          <w:p>
            <w:r>
              <w:rPr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864"/>
            <w:shd w:val="clear" w:fill="1F4E79"/>
          </w:tcPr>
          <w:p>
            <w:r>
              <w:rPr>
                <w:b/>
                <w:color w:val="FFFFFF"/>
                <w:sz w:val="20"/>
              </w:rPr>
              <w:t>QA</w:t>
            </w:r>
          </w:p>
        </w:tc>
        <w:tc>
          <w:tcPr>
            <w:tcW w:type="dxa" w:w="6048"/>
            <w:shd w:val="clear" w:fill="1F4E79"/>
          </w:tcPr>
          <w:p>
            <w:r>
              <w:rPr>
                <w:b/>
                <w:color w:val="FFFFFF"/>
                <w:sz w:val="20"/>
              </w:rPr>
              <w:t>Justification</w:t>
            </w:r>
          </w:p>
        </w:tc>
      </w:tr>
      <w:tr>
        <w:tc>
          <w:tcPr>
            <w:tcW w:type="dxa" w:w="6048"/>
            <w:gridSpan w:val="3"/>
            <w:shd w:val="clear" w:fill="D9E1F2"/>
          </w:tcPr>
          <w:p>
            <w:r>
              <w:rPr>
                <w:b/>
                <w:sz w:val="18"/>
              </w:rPr>
              <w:t>Air Pollution pillar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air.no2</w:t>
            </w:r>
            <w:r>
              <w:rPr>
                <w:color w:val="555555"/>
                <w:sz w:val="16"/>
              </w:rPr>
              <w:br/>
              <w:t>NO₂ (Sentinel-5P TROPOMI)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0.90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Mature, well-validated TROPOMI retrieval; strongest air signal with extensive emission-proxy literature.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air.so2</w:t>
            </w:r>
            <w:r>
              <w:rPr>
                <w:color w:val="555555"/>
                <w:sz w:val="16"/>
              </w:rPr>
              <w:br/>
              <w:t>SO₂ (Sentinel-5P TROPOMI)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0.75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Noisiest TROPOMI product; weak retrieval over low-emission regions, so single-supplier flags need follow-up.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air.co</w:t>
            </w:r>
            <w:r>
              <w:rPr>
                <w:color w:val="555555"/>
                <w:sz w:val="16"/>
              </w:rPr>
              <w:br/>
              <w:t>CO (Sentinel-5P TROPOMI)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0.85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Well-understood retrieval; long-lived and well-mixed, framed as a regional proxy rather than facility-specific.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air.hcho</w:t>
            </w:r>
            <w:r>
              <w:rPr>
                <w:color w:val="555555"/>
                <w:sz w:val="16"/>
              </w:rPr>
              <w:br/>
              <w:t>HCHO (Sentinel-5P TROPOMI)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0.85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Well-understood retrieval; framed as a VOC / fire / biogenic context proxy with high seasonality.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air.o3</w:t>
            </w:r>
            <w:r>
              <w:rPr>
                <w:color w:val="555555"/>
                <w:sz w:val="16"/>
              </w:rPr>
              <w:br/>
              <w:t>O₃ (Sentinel-5P TROPOMI)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0.85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Well-understood retrieval but a context indicator (column dominated by stratosphere; capped framing per IC_v4 §1.3).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air.aai</w:t>
            </w:r>
            <w:r>
              <w:rPr>
                <w:color w:val="555555"/>
                <w:sz w:val="16"/>
              </w:rPr>
              <w:br/>
              <w:t>Aerosol Index (Sentinel-5P)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0.85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Well-understood, dimensionless retrieval framed as a context indicator.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air.pm25</w:t>
            </w:r>
            <w:r>
              <w:rPr>
                <w:color w:val="555555"/>
                <w:sz w:val="16"/>
              </w:rPr>
              <w:br/>
              <w:t>PM₂.₅ (CAMS)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0.80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Modelled CAMS product at ~44 km native pixel relative to fenceline buffers; modelled regional context, not a measurement at the supplier.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air.pm10</w:t>
            </w:r>
            <w:r>
              <w:rPr>
                <w:color w:val="555555"/>
                <w:sz w:val="16"/>
              </w:rPr>
              <w:br/>
              <w:t>PM₁₀ (CAMS)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0.80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Modelled CAMS product at ~44 km native pixel relative to fenceline buffers; modelled regional context, not a measurement at the supplier.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air.aod</w:t>
            </w:r>
            <w:r>
              <w:rPr>
                <w:color w:val="555555"/>
                <w:sz w:val="16"/>
              </w:rPr>
              <w:br/>
              <w:t>AOD (MODIS MAIAC)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0.90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Well-validated MAIAC retrieval; column quantity by design, optional indicator.</w:t>
            </w:r>
          </w:p>
        </w:tc>
      </w:tr>
      <w:tr>
        <w:tc>
          <w:tcPr>
            <w:tcW w:type="dxa" w:w="6048"/>
            <w:gridSpan w:val="3"/>
            <w:shd w:val="clear" w:fill="D9E1F2"/>
          </w:tcPr>
          <w:p>
            <w:r>
              <w:rPr>
                <w:b/>
                <w:sz w:val="18"/>
              </w:rPr>
              <w:t>GHG pillar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ghg.ch4</w:t>
            </w:r>
            <w:r>
              <w:rPr>
                <w:color w:val="555555"/>
                <w:sz w:val="16"/>
              </w:rPr>
              <w:br/>
              <w:t>CH₄ (Sentinel-5P TROPOMI)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0.85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TROPOMI methane retrieval; column dominated by ~1900 ppb background, used as a methane-hotspot screening proxy.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ghg.co2</w:t>
            </w:r>
            <w:r>
              <w:rPr>
                <w:color w:val="555555"/>
                <w:sz w:val="16"/>
              </w:rPr>
              <w:br/>
              <w:t>CO₂ (ODIAC inventory)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1.00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ODIAC gridded inventory; no per-pixel QA concept applies, so the QA term carries no retrieval penalty.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ghg.viirs</w:t>
            </w:r>
            <w:r>
              <w:rPr>
                <w:color w:val="555555"/>
                <w:sz w:val="16"/>
              </w:rPr>
              <w:br/>
              <w:t>Nightlights (VIIRS NTL)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0.85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VIIRS nighttime-lights retrieval used as an activity proxy, not an emissions signal.</w:t>
            </w:r>
          </w:p>
        </w:tc>
      </w:tr>
      <w:tr>
        <w:tc>
          <w:tcPr>
            <w:tcW w:type="dxa" w:w="6048"/>
            <w:gridSpan w:val="3"/>
            <w:shd w:val="clear" w:fill="D9E1F2"/>
          </w:tcPr>
          <w:p>
            <w:r>
              <w:rPr>
                <w:b/>
                <w:sz w:val="18"/>
              </w:rPr>
              <w:t>Nature / Land pillar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nature.kba</w:t>
            </w:r>
            <w:r>
              <w:rPr>
                <w:color w:val="555555"/>
                <w:sz w:val="16"/>
              </w:rPr>
              <w:br/>
              <w:t>Key Biodiversity Areas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1.00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Vector reference data (curated polygons); no per-pixel retrieval uncertainty.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nature.dw</w:t>
            </w:r>
            <w:r>
              <w:rPr>
                <w:color w:val="555555"/>
                <w:sz w:val="16"/>
              </w:rPr>
              <w:br/>
              <w:t>Dynamic World land cover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0.90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Dynamic World near-real-time classification with mature per-pixel class confidence.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nature.habitat</w:t>
            </w:r>
            <w:r>
              <w:rPr>
                <w:color w:val="555555"/>
                <w:sz w:val="16"/>
              </w:rPr>
              <w:br/>
              <w:t>Habitat (DW-derived)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0.85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Derived from Dynamic World classes; inherits classification uncertainty plus aggregation assumptions.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nature.forest_loss</w:t>
            </w:r>
            <w:r>
              <w:rPr>
                <w:color w:val="555555"/>
                <w:sz w:val="16"/>
              </w:rPr>
              <w:br/>
              <w:t>Forest loss (Hansen)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1.00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Annual Hansen Global Forest Change rasters; treated as a categorical reference layer, no per-pixel QA penalty.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nature.ndvi</w:t>
            </w:r>
            <w:r>
              <w:rPr>
                <w:color w:val="555555"/>
                <w:sz w:val="16"/>
              </w:rPr>
              <w:br/>
              <w:t>NDVI (MODIS)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0.90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Well-validated MODIS NDVI composites; robust vegetation-greenness signal.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nature.water</w:t>
            </w:r>
            <w:r>
              <w:rPr>
                <w:color w:val="555555"/>
                <w:sz w:val="16"/>
              </w:rPr>
              <w:br/>
              <w:t>Surface water (DW-derived)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0.90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Derived from Dynamic World water class; well-validated open-water discrimination.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nature.recovery</w:t>
            </w:r>
            <w:r>
              <w:rPr>
                <w:color w:val="555555"/>
                <w:sz w:val="16"/>
              </w:rPr>
              <w:br/>
              <w:t>Vegetation recovery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0.85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NDVI-derived recovery metric; inherits NDVI quality plus temporal-comparison assumptions.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nature.regional_loss_evidence</w:t>
            </w:r>
            <w:r>
              <w:rPr>
                <w:color w:val="555555"/>
                <w:sz w:val="16"/>
              </w:rPr>
              <w:br/>
              <w:t>Regional loss evidence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1.00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Hansen-derived regional aggregate; categorical reference data, no per-pixel QA penalty.</w:t>
            </w:r>
          </w:p>
        </w:tc>
      </w:tr>
    </w:tbl>
    <w:p>
      <w:r>
        <w:rPr>
          <w:i/>
          <w:color w:val="666666"/>
          <w:sz w:val="16"/>
        </w:rPr>
        <w:t>Note: these are static per-indicator QA values reflecting retrieval-quality consensus per asset family, not real per-image qa_value pass-rates. Plumbing per-image QA pass-rates into the EE pipeline is logged as Layer B follow-up. The recalibration check (M-TIER-A1 Step 8) ratifies these values against the demo locations.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