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7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ai-firms-dust-catalog-event-validation"/>
    <w:p>
      <w:pPr>
        <w:pStyle w:val="Heading1"/>
      </w:pPr>
      <w:r>
        <w:t xml:space="preserve">AAI ↔ FIRMS / Dust-Catalog Event Validation</w:t>
      </w:r>
    </w:p>
    <w:p>
      <w:pPr>
        <w:pStyle w:val="FirstParagraph"/>
      </w:pPr>
      <w:r>
        <w:rPr>
          <w:i/>
          <w:iCs/>
        </w:rPr>
        <w:t xml:space="preserve">Version 1.0 — 30 May 2026. Authored against the post-M-DIAG-A1 engine state. Single source of truth for this validation. 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analysis/aai_firms_validation.csv</w:t>
      </w:r>
      <w:r>
        <w:rPr>
          <w:i/>
          <w:iCs/>
        </w:rPr>
        <w:t xml:space="preserve"> </w:t>
      </w:r>
      <w:r>
        <w:rPr>
          <w:i/>
          <w:iCs/>
        </w:rPr>
        <w:t xml:space="preserve">(308 per-day rows)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analysis/aai_firms_event_summary.csv</w:t>
      </w:r>
      <w:r>
        <w:rPr>
          <w:i/>
          <w:iCs/>
        </w:rPr>
        <w:t xml:space="preserve"> </w:t>
      </w:r>
      <w:r>
        <w:rPr>
          <w:i/>
          <w:iCs/>
        </w:rPr>
        <w:t xml:space="preserve">(15 cases). Reproduce: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analysis/aai_firms_extract.py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analysis/aai_firms_validation.ipynb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§1 Summary</w:t>
      </w:r>
    </w:p>
    <w:p>
      <w:pPr>
        <w:pStyle w:val="FirstParagraph"/>
      </w:pPr>
      <w:r>
        <w:rPr>
          <w:b/>
          <w:bCs/>
        </w:rPr>
        <w:t xml:space="preserve">Does AAI catch known smoke/dust events post-M-DIAG-A1? — Partly, and the answer depends on which AAI metric you ask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M-DIAG-A1 fix is confirmed live and behaving as intended.</w:t>
      </w:r>
      <w:r>
        <w:t xml:space="preserve"> </w:t>
      </w:r>
      <w:r>
        <w:t xml:space="preserve">Across all 15 cases the per-day high-frequency flag</w:t>
      </w:r>
      <w:r>
        <w:t xml:space="preserve"> </w:t>
      </w:r>
      <w:r>
        <w:rPr>
          <w:rStyle w:val="VerbatimChar"/>
        </w:rPr>
        <w:t xml:space="preserve">hf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(0.14–0.56), never saturated at 0 or 1 — the pre-fix tropical artefact (every day firing) is gone. The per-day series reconstructed in this validation matches the engine’s official</w:t>
      </w:r>
      <w:r>
        <w:t xml:space="preserve"> </w:t>
      </w:r>
      <w:r>
        <w:rPr>
          <w:rStyle w:val="VerbatimChar"/>
        </w:rPr>
        <w:t xml:space="preserve">hf</w:t>
      </w:r>
      <w:r>
        <w:t xml:space="preserve"> </w:t>
      </w:r>
      <w:r>
        <w:rPr>
          <w:b/>
          <w:bCs/>
        </w:rPr>
        <w:t xml:space="preserve">to machine precision</w:t>
      </w:r>
      <w:r>
        <w:t xml:space="preserve"> </w:t>
      </w:r>
      <w:r>
        <w:t xml:space="preserve">in all 15 cases, so the reconstruction is engine-faithful and the conclusions below transfer directly to production.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sensitivity at the per-day level.</w:t>
      </w:r>
      <w:r>
        <w:t xml:space="preserve"> </w:t>
      </w:r>
      <w:r>
        <w:t xml:space="preserve">The documented peak window contained at least one hot AAI day (</w:t>
      </w:r>
      <w:r>
        <w:rPr>
          <w:rStyle w:val="VerbatimChar"/>
        </w:rPr>
        <w:t xml:space="preserve">z ≥ 2.0</w:t>
      </w:r>
      <w:r>
        <w:t xml:space="preserve">) in</w:t>
      </w:r>
      <w:r>
        <w:t xml:space="preserve"> </w:t>
      </w:r>
      <w:r>
        <w:rPr>
          <w:b/>
          <w:bCs/>
        </w:rPr>
        <w:t xml:space="preserve">9 of 10 events (90 %)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fires 5/5 (100 %)</w:t>
      </w:r>
      <w:r>
        <w:t xml:space="preserve">,</w:t>
      </w:r>
      <w:r>
        <w:t xml:space="preserve"> </w:t>
      </w:r>
      <w:r>
        <w:rPr>
          <w:b/>
          <w:bCs/>
        </w:rPr>
        <w:t xml:space="preserve">dust 4/5 (80 %)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Poor specificity at the per-day level.</w:t>
      </w:r>
      <w:r>
        <w:t xml:space="preserve"> </w:t>
      </w:r>
      <w:r>
        <w:rPr>
          <w:b/>
          <w:bCs/>
        </w:rPr>
        <w:t xml:space="preserve">All 5 negative controls (100 %)</w:t>
      </w:r>
      <w:r>
        <w:t xml:space="preserve"> </w:t>
      </w:r>
      <w:r>
        <w:t xml:space="preserve">also fired at least one hot day during their known-clean window. The per-day</w:t>
      </w:r>
      <w:r>
        <w:t xml:space="preserve"> </w:t>
      </w:r>
      <w:r>
        <w:rPr>
          <w:rStyle w:val="VerbatimChar"/>
        </w:rPr>
        <w:t xml:space="preserve">z ≥ 2.0</w:t>
      </w:r>
      <w:r>
        <w:t xml:space="preserve"> </w:t>
      </w:r>
      <w:r>
        <w:t xml:space="preserve">flag is therefore a</w:t>
      </w:r>
      <w:r>
        <w:t xml:space="preserve"> </w:t>
      </w:r>
      <w:r>
        <w:rPr>
          <w:i/>
          <w:iCs/>
        </w:rPr>
        <w:t xml:space="preserve">sensitive but non-specific</w:t>
      </w:r>
      <w:r>
        <w:t xml:space="preserve"> </w:t>
      </w:r>
      <w:r>
        <w:t xml:space="preserve">detector — it lights up on quiet days too.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aggregate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</w:t>
      </w:r>
      <w:r>
        <w:rPr>
          <w:b/>
          <w:bCs/>
        </w:rPr>
        <w:t xml:space="preserve"> </w:t>
      </w:r>
      <w:r>
        <w:rPr>
          <w:b/>
          <w:bCs/>
        </w:rPr>
        <w:t xml:space="preserve">never reaches the 2.0 screening threshold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event (max +1.04) or control (max +1.20), and it goes</w:t>
      </w:r>
      <w:r>
        <w:t xml:space="preserve"> </w:t>
      </w:r>
      <w:r>
        <w:rPr>
          <w:b/>
          <w:bCs/>
        </w:rPr>
        <w:t xml:space="preserve">negative on real events</w:t>
      </w:r>
      <w:r>
        <w:t xml:space="preserve"> </w:t>
      </w:r>
      <w:r>
        <w:t xml:space="preserve">(Dakar −3.39, NSW Black Summer −0.85). As an aggregate flag at threshold 2.0, AAI would have missed every one of these major events.</w:t>
      </w:r>
    </w:p>
    <w:p>
      <w:pPr>
        <w:pStyle w:val="FirstParagraph"/>
      </w:pPr>
      <w:r>
        <w:t xml:space="preserve">The net read: post-M-DIAG-A1 AAI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respond to real smoke/dust — raw AAI and per-day z rise clearly during fires — but the engine’s</w:t>
      </w:r>
      <w:r>
        <w:t xml:space="preserve"> </w:t>
      </w:r>
      <w:r>
        <w:rPr>
          <w:i/>
          <w:iCs/>
        </w:rPr>
        <w:t xml:space="preserve">anomaly construction</w:t>
      </w:r>
      <w:r>
        <w:t xml:space="preserve"> </w:t>
      </w:r>
      <w:r>
        <w:t xml:space="preserve">(local site-vs-25 km-ring, baseline computed over the same window) neither cleanly fires at the aggregate level nor stays quiet on controls. The behaviour is dominated by a small-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regime that inflates per-day z and a contaminated-ring regime that suppresses aggregate z. Both are calibration issues, not data issues, and both are concrete inputs to the calibration sweep (§7–§8).</w:t>
      </w:r>
    </w:p>
    <w:p>
      <w:r>
        <w:pict>
          <v:rect style="width:0;height:1.5pt" o:hralign="center" o:hrstd="t" o:hr="t"/>
        </w:pict>
      </w:r>
    </w:p>
    <w:bookmarkEnd w:id="9"/>
    <w:bookmarkStart w:id="16" w:name="method"/>
    <w:p>
      <w:pPr>
        <w:pStyle w:val="Heading2"/>
      </w:pPr>
      <w:r>
        <w:t xml:space="preserve">§2 Method</w:t>
      </w:r>
    </w:p>
    <w:bookmarkStart w:id="10" w:name="event-based-design"/>
    <w:p>
      <w:pPr>
        <w:pStyle w:val="Heading3"/>
      </w:pPr>
      <w:r>
        <w:t xml:space="preserve">Event-based design</w:t>
      </w:r>
    </w:p>
    <w:p>
      <w:pPr>
        <w:pStyle w:val="FirstParagraph"/>
      </w:pPr>
      <w:r>
        <w:t xml:space="preserve">We ask</w:t>
      </w:r>
      <w:r>
        <w:t xml:space="preserve"> </w:t>
      </w:r>
      <w:r>
        <w:t xml:space="preserve">“did AAI fire when and where a documented event occurred,”</w:t>
      </w:r>
      <w:r>
        <w:t xml:space="preserve"> </w:t>
      </w:r>
      <w:r>
        <w:t xml:space="preserve">not</w:t>
      </w:r>
      <w:r>
        <w:t xml:space="preserve"> </w:t>
      </w:r>
      <w:r>
        <w:t xml:space="preserve">“does AAI correlate with something continuously.”</w:t>
      </w:r>
      <w:r>
        <w:t xml:space="preserve"> </w:t>
      </w:r>
      <w:r>
        <w:t xml:space="preserve">10 events (5 fires, 5 dust) + 5 negative controls.</w:t>
      </w:r>
    </w:p>
    <w:bookmarkEnd w:id="10"/>
    <w:bookmarkStart w:id="11" w:name="hard-constraint-aai-start-date"/>
    <w:p>
      <w:pPr>
        <w:pStyle w:val="Heading3"/>
      </w:pPr>
      <w:r>
        <w:t xml:space="preserve">Hard constraint — AAI start date</w:t>
      </w:r>
    </w:p>
    <w:p>
      <w:pPr>
        <w:pStyle w:val="FirstParagraph"/>
      </w:pPr>
      <w:r>
        <w:t xml:space="preserve">The engine’s AAI asset is</w:t>
      </w:r>
      <w:r>
        <w:t xml:space="preserve"> </w:t>
      </w:r>
      <w:r>
        <w:rPr>
          <w:rStyle w:val="VerbatimChar"/>
        </w:rPr>
        <w:t xml:space="preserve">COPERNICUS/S5P/OFFL/L3_AER_AI</w:t>
      </w:r>
      <w:r>
        <w:t xml:space="preserve"> </w:t>
      </w:r>
      <w:r>
        <w:t xml:space="preserve">(Sentinel-5P, OFFL only), band</w:t>
      </w:r>
      <w:r>
        <w:t xml:space="preserve"> </w:t>
      </w:r>
      <w:r>
        <w:rPr>
          <w:rStyle w:val="VerbatimChar"/>
        </w:rPr>
        <w:t xml:space="preserve">absorbing_aerosol_index</w:t>
      </w:r>
      <w:r>
        <w:t xml:space="preserve">.</w:t>
      </w:r>
      <w:r>
        <w:t xml:space="preserve"> </w:t>
      </w:r>
      <w:r>
        <w:rPr>
          <w:b/>
          <w:bCs/>
        </w:rPr>
        <w:t xml:space="preserve">Sentinel-5P AER_AI data begins ~2018-07.</w:t>
      </w:r>
      <w:r>
        <w:t xml:space="preserve"> </w:t>
      </w:r>
      <w:r>
        <w:t xml:space="preserve">Three events proposed in the original brief (2017 Portugal, 2010 Russia, 2009 Sydney) have</w:t>
      </w:r>
      <w:r>
        <w:t xml:space="preserve"> </w:t>
      </w:r>
      <w:r>
        <w:rPr>
          <w:b/>
          <w:bCs/>
        </w:rPr>
        <w:t xml:space="preserve">no AAI data at all</w:t>
      </w:r>
      <w:r>
        <w:t xml:space="preserve"> </w:t>
      </w:r>
      <w:r>
        <w:t xml:space="preserve">and were replaced with post-2018 equivalents (Dixie 2021, Evros 2023, etc.).</w:t>
      </w:r>
    </w:p>
    <w:bookmarkEnd w:id="11"/>
    <w:bookmarkStart w:id="12" w:name="firms-ground-truth-not-an-engine-input"/>
    <w:p>
      <w:pPr>
        <w:pStyle w:val="Heading3"/>
      </w:pPr>
      <w:r>
        <w:t xml:space="preserve">FIRMS — ground truth, not an engine input</w:t>
      </w:r>
    </w:p>
    <w:p>
      <w:pPr>
        <w:pStyle w:val="FirstParagraph"/>
      </w:pPr>
      <w:r>
        <w:rPr>
          <w:b/>
          <w:bCs/>
        </w:rPr>
        <w:t xml:space="preserve">FIRMS is not in the GSCO engine catalog</w:t>
      </w:r>
      <w:r>
        <w:t xml:space="preserve"> </w:t>
      </w:r>
      <w:r>
        <w:t xml:space="preserve">(the brief assumed it was). It is read here directly as a public EE asset,</w:t>
      </w:r>
      <w:r>
        <w:t xml:space="preserve"> </w:t>
      </w:r>
      <w:r>
        <w:rPr>
          <w:rStyle w:val="VerbatimChar"/>
        </w:rPr>
        <w:t xml:space="preserve">ee.ImageCollection("FIRMS")</w:t>
      </w:r>
      <w:r>
        <w:t xml:space="preserve"> </w:t>
      </w:r>
      <w:r>
        <w:t xml:space="preserve">(bands</w:t>
      </w:r>
      <w:r>
        <w:t xml:space="preserve"> </w:t>
      </w:r>
      <w:r>
        <w:rPr>
          <w:rStyle w:val="VerbatimChar"/>
        </w:rPr>
        <w:t xml:space="preserve">T21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line_number</w:t>
      </w:r>
      <w:r>
        <w:t xml:space="preserve">), purely to confirm fire events happened where/when expected. Fire-pixel counts are summed over a 50 km buffer per UTC day. Dust events have no FIRMS signal by nature.</w:t>
      </w:r>
    </w:p>
    <w:bookmarkEnd w:id="12"/>
    <w:bookmarkStart w:id="13" w:name="Xba6f20b4cc2b4cc277d3a50522fd3059a4d7620"/>
    <w:p>
      <w:pPr>
        <w:pStyle w:val="Heading3"/>
      </w:pPr>
      <w:r>
        <w:t xml:space="preserve">Engine fidelity — why the per-day series is</w:t>
      </w:r>
      <w:r>
        <w:t xml:space="preserve"> </w:t>
      </w:r>
      <w:r>
        <w:rPr>
          <w:i/>
          <w:iCs/>
        </w:rPr>
        <w:t xml:space="preserve">reconstructed</w:t>
      </w:r>
    </w:p>
    <w:p>
      <w:pPr>
        <w:pStyle w:val="FirstParagraph"/>
      </w:pPr>
      <w:r>
        <w:t xml:space="preserve">The screening engine computes the per-day</w:t>
      </w:r>
      <w:r>
        <w:t xml:space="preserve"> </w:t>
      </w:r>
      <w:r>
        <w:rPr>
          <w:rStyle w:val="VerbatimChar"/>
        </w:rPr>
        <w:t xml:space="preserve">is_hot</w:t>
      </w:r>
      <w:r>
        <w:t xml:space="preserve"> </w:t>
      </w:r>
      <w:r>
        <w:t xml:space="preserve">flag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engine/core/repeatable_core.py::_server_side_hf::per_image</w:t>
      </w:r>
      <w:r>
        <w:t xml:space="preserve"> </w:t>
      </w:r>
      <w:r>
        <w:t xml:space="preserve">and returns only the aggregate</w:t>
      </w:r>
      <w:r>
        <w:t xml:space="preserve"> </w:t>
      </w:r>
      <w:r>
        <w:rPr>
          <w:rStyle w:val="VerbatimChar"/>
        </w:rPr>
        <w:t xml:space="preserve">hf = n_hot_days/n_valid_days</w:t>
      </w:r>
      <w:r>
        <w:t xml:space="preserve"> </w:t>
      </w:r>
      <w:r>
        <w:t xml:space="preserve">to callers. To plot a per-day z time series we re-run the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reduction in</w:t>
      </w:r>
      <w:r>
        <w:t xml:space="preserve"> </w:t>
      </w:r>
      <w:r>
        <w:rPr>
          <w:rStyle w:val="VerbatimChar"/>
        </w:rPr>
        <w:t xml:space="preserve">analysis/aai_firms_extract.py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Build the scaled IC via</w:t>
      </w:r>
      <w:r>
        <w:t xml:space="preserve"> </w:t>
      </w:r>
      <w:r>
        <w:rPr>
          <w:rStyle w:val="VerbatimChar"/>
        </w:rPr>
        <w:t xml:space="preserve">engine.air._build_image_collection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Background</w:t>
      </w:r>
      <w:r>
        <w:t xml:space="preserve"> </w:t>
      </w:r>
      <w:r>
        <w:rPr>
          <w:rStyle w:val="VerbatimChar"/>
        </w:rPr>
        <w:t xml:space="preserve">(bg_median, bg_std)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engine.core.repeatable_core.background_value</w:t>
      </w:r>
      <w:r>
        <w:t xml:space="preserve"> </w:t>
      </w:r>
      <w:r>
        <w:t xml:space="preserve">over the</w:t>
      </w:r>
      <w:r>
        <w:t xml:space="preserve"> </w:t>
      </w:r>
      <w:r>
        <w:rPr>
          <w:b/>
          <w:bCs/>
        </w:rPr>
        <w:t xml:space="preserve">land-masked annulus 5–25 km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background_ring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Indicators_Computation_v4</w:t>
      </w:r>
      <w:r>
        <w:t xml:space="preserve"> </w:t>
      </w:r>
      <w:r>
        <w:t xml:space="preserve">§6.2), computed over the</w:t>
      </w:r>
      <w:r>
        <w:t xml:space="preserve"> </w:t>
      </w:r>
      <w:r>
        <w:rPr>
          <w:b/>
          <w:bCs/>
        </w:rPr>
        <w:t xml:space="preserve">same event window</w:t>
      </w:r>
      <w:r>
        <w:t xml:space="preserve"> </w:t>
      </w:r>
      <w:r>
        <w:t xml:space="preserve">— the engine has no climatology baseline for AAI, and the seasonal filter is a no-op (</w:t>
      </w:r>
      <w:r>
        <w:rPr>
          <w:rStyle w:val="VerbatimChar"/>
        </w:rPr>
        <w:t xml:space="preserve">seasonality.py</w:t>
      </w:r>
      <w:r>
        <w:t xml:space="preserve"> </w:t>
      </w:r>
      <w:r>
        <w:t xml:space="preserve">does not exist).</w:t>
      </w:r>
    </w:p>
    <w:p>
      <w:pPr>
        <w:pStyle w:val="Compact"/>
        <w:numPr>
          <w:ilvl w:val="0"/>
          <w:numId w:val="1002"/>
        </w:numPr>
      </w:pPr>
      <w:r>
        <w:t xml:space="preserve">Per-granule</w:t>
      </w:r>
      <w:r>
        <w:t xml:space="preserve"> </w:t>
      </w:r>
      <w:r>
        <w:rPr>
          <w:rStyle w:val="VerbatimChar"/>
        </w:rPr>
        <w:t xml:space="preserve">z = (site_mean − bg_median)/bg_std</w:t>
      </w:r>
      <w:r>
        <w:t xml:space="preserve">;</w:t>
      </w:r>
      <w:r>
        <w:t xml:space="preserve"> </w:t>
      </w:r>
      <w:r>
        <w:rPr>
          <w:rStyle w:val="VerbatimChar"/>
        </w:rPr>
        <w:t xml:space="preserve">is_hot = z ≥ 2.0 ∧ valid</w:t>
      </w:r>
      <w:r>
        <w:t xml:space="preserve">; a UTC day is hot 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granule that day fires — exactly</w:t>
      </w:r>
      <w:r>
        <w:t xml:space="preserve"> </w:t>
      </w:r>
      <w:r>
        <w:rPr>
          <w:rStyle w:val="VerbatimChar"/>
        </w:rPr>
        <w:t xml:space="preserve">per_image</w:t>
      </w:r>
      <w:r>
        <w:t xml:space="preserve"> </w:t>
      </w:r>
      <w:r>
        <w:t xml:space="preserve">after the M-DIAG-A1</w:t>
      </w:r>
      <w:r>
        <w:t xml:space="preserve"> </w:t>
      </w:r>
      <w:r>
        <w:rPr>
          <w:rStyle w:val="VerbatimChar"/>
        </w:rPr>
        <w:t xml:space="preserve">{band}_mean</w:t>
      </w:r>
      <w:r>
        <w:t xml:space="preserve">-key fix.</w:t>
      </w:r>
    </w:p>
    <w:p>
      <w:pPr>
        <w:pStyle w:val="FirstParagraph"/>
      </w:pPr>
      <w:r>
        <w:t xml:space="preserve">The notebook asserts</w:t>
      </w:r>
      <w:r>
        <w:t xml:space="preserve"> </w:t>
      </w:r>
      <w:r>
        <w:rPr>
          <w:rStyle w:val="VerbatimChar"/>
        </w:rPr>
        <w:t xml:space="preserve">|recon_hf − engine_hf| &lt; 1e-9</w:t>
      </w:r>
      <w:r>
        <w:t xml:space="preserve"> </w:t>
      </w:r>
      <w:r>
        <w:t xml:space="preserve">for all 15 cases (it passes), and carries the engine-official aggregate</w:t>
      </w:r>
      <w:r>
        <w:t xml:space="preserve"> </w:t>
      </w:r>
      <w:r>
        <w:rPr>
          <w:rStyle w:val="VerbatimChar"/>
        </w:rPr>
        <w:t xml:space="preserve">z</w:t>
      </w:r>
      <w:r>
        <w:t xml:space="preserve">/</w:t>
      </w:r>
      <w:r>
        <w:rPr>
          <w:rStyle w:val="VerbatimChar"/>
        </w:rPr>
        <w:t xml:space="preserve">hf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compute_pollutant_snapshot(…, "aai", …)</w:t>
      </w:r>
      <w:r>
        <w:t xml:space="preserve"> </w:t>
      </w:r>
      <w:r>
        <w:t xml:space="preserve">alongside as an independent cross-check.</w:t>
      </w:r>
    </w:p>
    <w:bookmarkEnd w:id="13"/>
    <w:bookmarkStart w:id="14" w:name="parameters"/>
    <w:p>
      <w:pPr>
        <w:pStyle w:val="Heading3"/>
      </w:pPr>
      <w:r>
        <w:t xml:space="preserve">Parameters</w:t>
      </w:r>
    </w:p>
    <w:p>
      <w:pPr>
        <w:pStyle w:val="FirstParagraph"/>
      </w:pPr>
      <w:r>
        <w:rPr>
          <w:rStyle w:val="VerbatimChar"/>
        </w:rPr>
        <w:t xml:space="preserve">radius_km = 5</w:t>
      </w:r>
      <w:r>
        <w:t xml:space="preserve"> </w:t>
      </w:r>
      <w:r>
        <w:t xml:space="preserve">(the production-seed standard,</w:t>
      </w:r>
      <w:r>
        <w:t xml:space="preserve"> </w:t>
      </w:r>
      <w:r>
        <w:rPr>
          <w:rStyle w:val="VerbatimChar"/>
        </w:rPr>
        <w:t xml:space="preserve">demo/saved_analyses/*.json</w:t>
      </w:r>
      <w:r>
        <w:t xml:space="preserve">);</w:t>
      </w:r>
      <w:r>
        <w:t xml:space="preserve"> </w:t>
      </w:r>
      <w:r>
        <w:rPr>
          <w:rStyle w:val="VerbatimChar"/>
        </w:rPr>
        <w:t xml:space="preserve">ANOMALY_Z_THRESHOLD = 2.0</w:t>
      </w:r>
      <w:r>
        <w:t xml:space="preserve">; event window = peak − 5 d … peak + 5 d; control window = ~30 d ending before the event.</w:t>
      </w:r>
    </w:p>
    <w:bookmarkEnd w:id="14"/>
    <w:bookmarkStart w:id="15" w:name="event-set-locked"/>
    <w:p>
      <w:pPr>
        <w:pStyle w:val="Heading3"/>
      </w:pPr>
      <w:r>
        <w:t xml:space="preserve">Event set (locked)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950"/>
        <w:gridCol w:w="3168"/>
        <w:gridCol w:w="2059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Location (lat, lon)</w:t>
            </w:r>
          </w:p>
        </w:tc>
        <w:tc>
          <w:tcPr/>
          <w:p>
            <w:pPr>
              <w:pStyle w:val="Compact"/>
            </w:pPr>
            <w:r>
              <w:t xml:space="preserve">Peak window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Quebec, CA (49.7, −76.0)</w:t>
            </w:r>
          </w:p>
        </w:tc>
        <w:tc>
          <w:tcPr/>
          <w:p>
            <w:pPr>
              <w:pStyle w:val="Compact"/>
            </w:pPr>
            <w:r>
              <w:t xml:space="preserve">2023-06-01 → 06-08</w:t>
            </w:r>
          </w:p>
        </w:tc>
        <w:tc>
          <w:tcPr/>
          <w:p>
            <w:pPr>
              <w:pStyle w:val="Compact"/>
            </w:pPr>
            <w:r>
              <w:t xml:space="preserve">2023 Canadian wildfires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SF Bay Area (37.7, −122.2)</w:t>
            </w:r>
          </w:p>
        </w:tc>
        <w:tc>
          <w:tcPr/>
          <w:p>
            <w:pPr>
              <w:pStyle w:val="Compact"/>
            </w:pPr>
            <w:r>
              <w:t xml:space="preserve">2020-09-09 → 09-16</w:t>
            </w:r>
          </w:p>
        </w:tc>
        <w:tc>
          <w:tcPr/>
          <w:p>
            <w:pPr>
              <w:pStyle w:val="Compact"/>
            </w:pPr>
            <w:r>
              <w:t xml:space="preserve">CA Aug/Sep 2020 complex (</w:t>
            </w:r>
            <w:r>
              <w:t xml:space="preserve">“orange sky”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NSW, AU (−35.5, 150.0)</w:t>
            </w:r>
          </w:p>
        </w:tc>
        <w:tc>
          <w:tcPr/>
          <w:p>
            <w:pPr>
              <w:pStyle w:val="Compact"/>
            </w:pPr>
            <w:r>
              <w:t xml:space="preserve">2019-12-30 → 2020-01-04</w:t>
            </w:r>
          </w:p>
        </w:tc>
        <w:tc>
          <w:tcPr/>
          <w:p>
            <w:pPr>
              <w:pStyle w:val="Compact"/>
            </w:pPr>
            <w:r>
              <w:t xml:space="preserve">Black Summer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N. California (40.0, −121.2)</w:t>
            </w:r>
          </w:p>
        </w:tc>
        <w:tc>
          <w:tcPr/>
          <w:p>
            <w:pPr>
              <w:pStyle w:val="Compact"/>
            </w:pPr>
            <w:r>
              <w:t xml:space="preserve">2021-08-05 → 08-15</w:t>
            </w:r>
          </w:p>
        </w:tc>
        <w:tc>
          <w:tcPr/>
          <w:p>
            <w:pPr>
              <w:pStyle w:val="Compact"/>
            </w:pPr>
            <w:r>
              <w:t xml:space="preserve">Dixie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NE Greece (41.0, 26.2)</w:t>
            </w:r>
          </w:p>
        </w:tc>
        <w:tc>
          <w:tcPr/>
          <w:p>
            <w:pPr>
              <w:pStyle w:val="Compact"/>
            </w:pPr>
            <w:r>
              <w:t xml:space="preserve">2023-08-21 → 08-28</w:t>
            </w:r>
          </w:p>
        </w:tc>
        <w:tc>
          <w:tcPr/>
          <w:p>
            <w:pPr>
              <w:pStyle w:val="Compact"/>
            </w:pPr>
            <w:r>
              <w:t xml:space="preserve">Evros wildfires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Puerto Rico (18.2, −66.5)</w:t>
            </w:r>
          </w:p>
        </w:tc>
        <w:tc>
          <w:tcPr/>
          <w:p>
            <w:pPr>
              <w:pStyle w:val="Compact"/>
            </w:pPr>
            <w:r>
              <w:t xml:space="preserve">2020-06-22 → 06-25</w:t>
            </w:r>
          </w:p>
        </w:tc>
        <w:tc>
          <w:tcPr/>
          <w:p>
            <w:pPr>
              <w:pStyle w:val="Compact"/>
            </w:pPr>
            <w:r>
              <w:t xml:space="preserve">“Godzilla”</w:t>
            </w:r>
            <w:r>
              <w:t xml:space="preserve"> </w:t>
            </w:r>
            <w:r>
              <w:t xml:space="preserve">Saharan plume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Beijing (39.9, 116.4)</w:t>
            </w:r>
          </w:p>
        </w:tc>
        <w:tc>
          <w:tcPr/>
          <w:p>
            <w:pPr>
              <w:pStyle w:val="Compact"/>
            </w:pPr>
            <w:r>
              <w:t xml:space="preserve">2021-03-15 → 03-16</w:t>
            </w:r>
          </w:p>
        </w:tc>
        <w:tc>
          <w:tcPr/>
          <w:p>
            <w:pPr>
              <w:pStyle w:val="Compact"/>
            </w:pPr>
            <w:r>
              <w:t xml:space="preserve">Beijing dust 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Baghdad (33.3, 44.4)</w:t>
            </w:r>
          </w:p>
        </w:tc>
        <w:tc>
          <w:tcPr/>
          <w:p>
            <w:pPr>
              <w:pStyle w:val="Compact"/>
            </w:pPr>
            <w:r>
              <w:t xml:space="preserve">2022-05-15 → 05-18</w:t>
            </w:r>
          </w:p>
        </w:tc>
        <w:tc>
          <w:tcPr/>
          <w:p>
            <w:pPr>
              <w:pStyle w:val="Compact"/>
            </w:pPr>
            <w:r>
              <w:t xml:space="preserve">Iraq sandstorm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Phoenix (33.4, −112.0)</w:t>
            </w:r>
          </w:p>
        </w:tc>
        <w:tc>
          <w:tcPr/>
          <w:p>
            <w:pPr>
              <w:pStyle w:val="Compact"/>
            </w:pPr>
            <w:r>
              <w:t xml:space="preserve">2021-07-09 → 07-10</w:t>
            </w:r>
          </w:p>
        </w:tc>
        <w:tc>
          <w:tcPr/>
          <w:p>
            <w:pPr>
              <w:pStyle w:val="Compact"/>
            </w:pPr>
            <w:r>
              <w:t xml:space="preserve">Monsoon haboob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Dakar (14.7, −17.4)</w:t>
            </w:r>
          </w:p>
        </w:tc>
        <w:tc>
          <w:tcPr/>
          <w:p>
            <w:pPr>
              <w:pStyle w:val="Compact"/>
            </w:pPr>
            <w:r>
              <w:t xml:space="preserve">2021-03-13 → 03-17</w:t>
            </w:r>
          </w:p>
        </w:tc>
        <w:tc>
          <w:tcPr/>
          <w:p>
            <w:pPr>
              <w:pStyle w:val="Compact"/>
            </w:pPr>
            <w:r>
              <w:t xml:space="preserve">Sahel/Bodélé dust outbreak</w:t>
            </w:r>
          </w:p>
        </w:tc>
      </w:tr>
    </w:tbl>
    <w:p>
      <w:pPr>
        <w:pStyle w:val="BodyText"/>
      </w:pPr>
      <w:r>
        <w:t xml:space="preserve">Controls: Quebec (2023-05), Bay Area (2020-07-15→08-14, before the 08-16 siege), Puerto Rico (2020-05-15→06-14), Beijing (2021-02), Phoenix (2021-06, pre-monsoon).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er-event-findings"/>
    <w:p>
      <w:pPr>
        <w:pStyle w:val="Heading2"/>
      </w:pPr>
      <w:r>
        <w:t xml:space="preserve">§3 Per-event findings</w:t>
      </w:r>
    </w:p>
    <w:p>
      <w:pPr>
        <w:pStyle w:val="CaptionedFigure"/>
      </w:pPr>
      <w:r>
        <w:drawing>
          <wp:inline>
            <wp:extent cx="5334000" cy="4674095"/>
            <wp:effectExtent b="0" l="0" r="0" t="0"/>
            <wp:docPr descr="Per-event AAI z time series" title="" id="18" name="Picture"/>
            <a:graphic>
              <a:graphicData uri="http://schemas.openxmlformats.org/drawingml/2006/picture">
                <pic:pic>
                  <pic:nvPicPr>
                    <pic:cNvPr descr="../analysis/fig_events_timeseri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Per-event AAI z time series</w:t>
      </w:r>
    </w:p>
    <w:p>
      <w:pPr>
        <w:pStyle w:val="BodyText"/>
      </w:pPr>
      <w:r>
        <w:t xml:space="preserve">Blue = per-day AAI z (left axis); red dashed = z = 2.0; red dots = hot days; grey = raw AAI (right axis); orange bars = FIRMS fire pixels; shaded = documented peak window.</w:t>
      </w:r>
    </w:p>
    <w:p>
      <w:pPr>
        <w:pStyle w:val="BodyText"/>
      </w:pPr>
      <w:r>
        <w:t xml:space="preserve">Per-event detail (</w:t>
      </w:r>
      <w:r>
        <w:rPr>
          <w:rStyle w:val="VerbatimChar"/>
        </w:rPr>
        <w:t xml:space="preserve">analysis/aai_firms_event_summary.csv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1131"/>
        <w:gridCol w:w="848"/>
        <w:gridCol w:w="848"/>
        <w:gridCol w:w="848"/>
        <w:gridCol w:w="848"/>
        <w:gridCol w:w="848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 hit?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z in peak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raw AAI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FIRMS px (peak)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engine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engine hf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bg_std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Quebec 2023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 Bay Area 2020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(transported)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NSW Black Summer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Dixie 2021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Evros 2023</w:t>
            </w:r>
          </w:p>
        </w:tc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Godzilla (PR) 2020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Beijing 2021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Baghdad 2022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Phoenix 2021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✗ 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Dakar 2021</w:t>
            </w:r>
          </w:p>
        </w:tc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</w:tbl>
    <w:p>
      <w:pPr>
        <w:pStyle w:val="BodyText"/>
      </w:pPr>
      <w:r>
        <w:t xml:space="preserve">Notable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SF Bay Area (transported smoke).</w:t>
      </w:r>
      <w:r>
        <w:t xml:space="preserve"> </w:t>
      </w:r>
      <w:r>
        <w:t xml:space="preserve">Zero FIRMS pixels within 50 km — the CZU/SCU fires were 60–150 km away — yet AAI fired hard (raw AAI 8.04, peak z 34.8). AAI correctly caught the</w:t>
      </w:r>
      <w:r>
        <w:t xml:space="preserve"> </w:t>
      </w:r>
      <w:r>
        <w:rPr>
          <w:i/>
          <w:iCs/>
        </w:rPr>
        <w:t xml:space="preserve">transported</w:t>
      </w:r>
      <w:r>
        <w:t xml:space="preserve"> </w:t>
      </w:r>
      <w:r>
        <w:t xml:space="preserve">smoke pall, which is exactly the proxy claim and is a genuine strength.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Phoenix (the one miss).</w:t>
      </w:r>
      <w:r>
        <w:t xml:space="preserve"> </w:t>
      </w:r>
      <w:r>
        <w:t xml:space="preserve">A single-day haboob; the peak window is only two days and the local 5 km vs 25 km contrast over a uniformly dusty scene never crossed z = 2.0 (max z 1.18). Short, spatially-uniform events are the worst case for a local, same-window anomaly.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Dakar (aggregate z = −3.39).</w:t>
      </w:r>
      <w:r>
        <w:t xml:space="preserve"> </w:t>
      </w:r>
      <w:r>
        <w:t xml:space="preserve">The 5 km site sat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region whose 5–25 km ring was even dustier (Bodélé source to the interior), so the local anomaly is strongly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during a real dust outbreak. The per-day flag still caught it (2 hot days) on transient within-window variation.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Beijing (raw AAI ≈ 0 but z huge).</w:t>
      </w:r>
      <w:r>
        <w:t xml:space="preserve"> </w:t>
      </w:r>
      <w:r>
        <w:t xml:space="preserve">Clean-air AAI here is strongly negative (bg_median −0.55) with a tiny</w:t>
      </w:r>
      <w:r>
        <w:t xml:space="preserve"> 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(0.047); a modest absolute rise produces z up to 30. Illustrates the small-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amplification (§5).</w:t>
      </w:r>
    </w:p>
    <w:p>
      <w:r>
        <w:pict>
          <v:rect style="width:0;height:1.5pt" o:hralign="center" o:hrstd="t" o:hr="t"/>
        </w:pict>
      </w:r>
    </w:p>
    <w:bookmarkEnd w:id="20"/>
    <w:bookmarkStart w:id="21" w:name="catch-rate"/>
    <w:p>
      <w:pPr>
        <w:pStyle w:val="Heading2"/>
      </w:pPr>
      <w:r>
        <w:t xml:space="preserve">§4 Catch rate</w:t>
      </w:r>
    </w:p>
    <w:p>
      <w:pPr>
        <w:pStyle w:val="FirstParagraph"/>
      </w:pPr>
      <w:r>
        <w:rPr>
          <w:b/>
          <w:bCs/>
        </w:rPr>
        <w:t xml:space="preserve">Per-day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 ≥ 2.0</w:t>
      </w:r>
      <w:r>
        <w:rPr>
          <w:b/>
          <w:bCs/>
        </w:rPr>
        <w:t xml:space="preserve"> </w:t>
      </w:r>
      <w:r>
        <w:rPr>
          <w:b/>
          <w:bCs/>
        </w:rPr>
        <w:t xml:space="preserve">during the documented peak window: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Catch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/ 10 = 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</w:t>
            </w:r>
          </w:p>
        </w:tc>
        <w:tc>
          <w:tcPr/>
          <w:p>
            <w:pPr>
              <w:pStyle w:val="Compact"/>
            </w:pPr>
            <w:r>
              <w:t xml:space="preserve">5 / 5 = 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4 / 5 = 80 %</w:t>
            </w:r>
          </w:p>
        </w:tc>
      </w:tr>
    </w:tbl>
    <w:p>
      <w:pPr>
        <w:pStyle w:val="BodyText"/>
      </w:pPr>
      <w:r>
        <w:rPr>
          <w:b/>
          <w:bCs/>
        </w:rPr>
        <w:t xml:space="preserve">Aggregate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 ≥ 2.0</w:t>
      </w:r>
      <w:r>
        <w:rPr>
          <w:b/>
          <w:bCs/>
        </w:rPr>
        <w:t xml:space="preserve"> </w:t>
      </w:r>
      <w:r>
        <w:rPr>
          <w:b/>
          <w:bCs/>
        </w:rPr>
        <w:t xml:space="preserve">(the engine’s headline anomaly):</w:t>
      </w:r>
      <w:r>
        <w:t xml:space="preserve"> </w:t>
      </w:r>
      <w:r>
        <w:rPr>
          <w:b/>
          <w:bCs/>
        </w:rPr>
        <w:t xml:space="preserve">0 / 10</w:t>
      </w:r>
      <w:r>
        <w:t xml:space="preserve">. No event’s aggregate z reaches 2.0 (max +1.04). The catch rate is entirely carried by the per-day flag, not the aggregate.</w:t>
      </w:r>
    </w:p>
    <w:p>
      <w:pPr>
        <w:pStyle w:val="BodyText"/>
      </w:pPr>
      <w:r>
        <w:rPr>
          <w:b/>
          <w:bCs/>
        </w:rPr>
        <w:t xml:space="preserve">Event-type comparison.</w:t>
      </w:r>
      <w:r>
        <w:t xml:space="preserve"> </w:t>
      </w:r>
      <w:r>
        <w:t xml:space="preserve">Fires score a perfect per-day catch and produce clearly elevated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AAI (1.2–8.0). Dust catches one fewer (Phoenix) and — importantly — produces only modest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AAI at these sites (−0.07 to 2.87); dust is detected mostly through the negative-baseline contrast, not a large absolute signal. AAI is</w:t>
      </w:r>
      <w:r>
        <w:t xml:space="preserve"> </w:t>
      </w:r>
      <w:r>
        <w:rPr>
          <w:i/>
          <w:iCs/>
        </w:rPr>
        <w:t xml:space="preserve">theoretically</w:t>
      </w:r>
      <w:r>
        <w:t xml:space="preserve"> </w:t>
      </w:r>
      <w:r>
        <w:t xml:space="preserve">equally sensitive to smoke and dust, but in this local-anomaly construction fires are the more reliably-caught class.</w:t>
      </w:r>
    </w:p>
    <w:p>
      <w:r>
        <w:pict>
          <v:rect style="width:0;height:1.5pt" o:hralign="center" o:hrstd="t" o:hr="t"/>
        </w:pict>
      </w:r>
    </w:p>
    <w:bookmarkEnd w:id="21"/>
    <w:bookmarkStart w:id="28" w:name="false-positive-rate"/>
    <w:p>
      <w:pPr>
        <w:pStyle w:val="Heading2"/>
      </w:pPr>
      <w:r>
        <w:t xml:space="preserve">§5 False-positive rate</w:t>
      </w:r>
    </w:p>
    <w:p>
      <w:pPr>
        <w:pStyle w:val="FirstParagraph"/>
      </w:pPr>
      <w:r>
        <w:rPr>
          <w:b/>
          <w:bCs/>
        </w:rPr>
        <w:t xml:space="preserve">Per-day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 ≥ 2.0</w:t>
      </w:r>
      <w:r>
        <w:rPr>
          <w:b/>
          <w:bCs/>
        </w:rPr>
        <w:t xml:space="preserve"> </w:t>
      </w:r>
      <w:r>
        <w:rPr>
          <w:b/>
          <w:bCs/>
        </w:rPr>
        <w:t xml:space="preserve">during the known-clean control window: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hot 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per-day hf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day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engine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bg_std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Quebec (pre-season)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 Area (pre-siege)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Rico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Beijing (winter)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Phoenix (pre-monsoon)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</w:tr>
    </w:tbl>
    <w:p>
      <w:pPr>
        <w:pStyle w:val="CaptionedFigure"/>
      </w:pPr>
      <w:r>
        <w:drawing>
          <wp:inline>
            <wp:extent cx="5334000" cy="2580257"/>
            <wp:effectExtent b="0" l="0" r="0" t="0"/>
            <wp:docPr descr="Negative-control AAI z time series" title="" id="23" name="Picture"/>
            <a:graphic>
              <a:graphicData uri="http://schemas.openxmlformats.org/drawingml/2006/picture">
                <pic:pic>
                  <pic:nvPicPr>
                    <pic:cNvPr descr="../analysis/fig_controls_timeseri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Negative-control AAI z time series</w:t>
      </w:r>
    </w:p>
    <w:p>
      <w:pPr>
        <w:pStyle w:val="BodyText"/>
      </w:pPr>
      <w:r>
        <w:rPr>
          <w:b/>
          <w:bCs/>
        </w:rPr>
        <w:t xml:space="preserve">False-positive rate = 5 / 5 controls (100 %)</w:t>
      </w:r>
      <w:r>
        <w:t xml:space="preserve"> </w:t>
      </w:r>
      <w:r>
        <w:t xml:space="preserve">fired at least one hot day. The per-day flag is not specific. (Aggregate</w:t>
      </w:r>
      <w:r>
        <w:t xml:space="preserve"> </w:t>
      </w:r>
      <w:r>
        <w:rPr>
          <w:rStyle w:val="VerbatimChar"/>
        </w:rPr>
        <w:t xml:space="preserve">z ≥ 2.0</w:t>
      </w:r>
      <w:r>
        <w:t xml:space="preserve">: 0/5 controls — the aggregate is quiet on controls, but it is also quiet on events, so that is not discrimination.)</w:t>
      </w:r>
    </w:p>
    <w:p>
      <w:pPr>
        <w:pStyle w:val="BodyText"/>
      </w:pPr>
      <w:r>
        <w:rPr>
          <w:b/>
          <w:bCs/>
        </w:rPr>
        <w:t xml:space="preserve">Separability is weak on both metrics:</w:t>
      </w:r>
    </w:p>
    <w:p>
      <w:pPr>
        <w:pStyle w:val="CaptionedFigure"/>
      </w:pPr>
      <w:r>
        <w:drawing>
          <wp:inline>
            <wp:extent cx="5334000" cy="1995948"/>
            <wp:effectExtent b="0" l="0" r="0" t="0"/>
            <wp:docPr descr="Separability" title="" id="26" name="Picture"/>
            <a:graphic>
              <a:graphicData uri="http://schemas.openxmlformats.org/drawingml/2006/picture">
                <pic:pic>
                  <pic:nvPicPr>
                    <pic:cNvPr descr="../analysis/fig_separabi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Separability</w:t>
      </w:r>
    </w:p>
    <w:p>
      <w:pPr>
        <w:pStyle w:val="Compact"/>
        <w:numPr>
          <w:ilvl w:val="0"/>
          <w:numId w:val="1004"/>
        </w:numPr>
      </w:pPr>
      <w:r>
        <w:t xml:space="preserve">Per-day</w:t>
      </w:r>
      <w:r>
        <w:t xml:space="preserve"> </w:t>
      </w:r>
      <w:r>
        <w:rPr>
          <w:rStyle w:val="VerbatimChar"/>
        </w:rPr>
        <w:t xml:space="preserve">hf</w:t>
      </w:r>
      <w:r>
        <w:t xml:space="preserve">: events 0.14–0.56, controls 0.20–0.47 — fully overlapping.</w:t>
      </w:r>
    </w:p>
    <w:p>
      <w:pPr>
        <w:pStyle w:val="Compact"/>
        <w:numPr>
          <w:ilvl w:val="0"/>
          <w:numId w:val="1004"/>
        </w:numPr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z</w:t>
      </w:r>
      <w:r>
        <w:t xml:space="preserve">: events −3.39…+1.04, controls −0.46…+1.20 — overlapping, both far below 2.0.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driver is a collapsing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bg_std</w:t>
      </w:r>
      <w:r>
        <w:t xml:space="preserve"> </w:t>
      </w:r>
      <w:r>
        <w:t xml:space="preserve">(0.04–0.27 across cases; e.g. Beijing control</w:t>
      </w:r>
      <w:r>
        <w:t xml:space="preserve"> </w:t>
      </w:r>
      <w:r>
        <w:rPr>
          <w:rStyle w:val="VerbatimChar"/>
        </w:rPr>
        <w:t xml:space="preserve">bg_std = 0.040</w:t>
      </w:r>
      <w:r>
        <w:t xml:space="preserve"> </w:t>
      </w:r>
      <w:r>
        <w:t xml:space="preserve">→ max day z 31.6). A near-zero denominator turns ordinary clean-air fluctuation into a</w:t>
      </w:r>
      <w:r>
        <w:t xml:space="preserve"> </w:t>
      </w:r>
      <w:r>
        <w:t xml:space="preserve">“hot”</w:t>
      </w:r>
      <w:r>
        <w:t xml:space="preserve"> </w:t>
      </w:r>
      <w:r>
        <w:t xml:space="preserve">day. This is the</w:t>
      </w:r>
      <w:r>
        <w:t xml:space="preserve"> </w:t>
      </w:r>
      <w:r>
        <w:rPr>
          <w:b/>
          <w:bCs/>
        </w:rPr>
        <w:t xml:space="preserve">same denominator-collapse family</w:t>
      </w:r>
      <w:r>
        <w:t xml:space="preserve"> </w:t>
      </w:r>
      <w:r>
        <w:t xml:space="preserve">that M-DIAG-A1 diagnosed, but on the</w:t>
      </w:r>
      <w:r>
        <w:t xml:space="preserve"> </w:t>
      </w:r>
      <w:r>
        <w:rPr>
          <w:b/>
          <w:bCs/>
        </w:rPr>
        <w:t xml:space="preserve">background-std side</w:t>
      </w:r>
      <w:r>
        <w:t xml:space="preserve">; M-DIAG-A1 fixed the</w:t>
      </w:r>
      <w:r>
        <w:t xml:space="preserve"> </w:t>
      </w:r>
      <w:r>
        <w:rPr>
          <w:i/>
          <w:iCs/>
        </w:rPr>
        <w:t xml:space="preserve">numerator</w:t>
      </w:r>
      <w:r>
        <w:t xml:space="preserve"> </w:t>
      </w:r>
      <w:r>
        <w:t xml:space="preserve">(the silently-zeroed</w:t>
      </w:r>
      <w:r>
        <w:t xml:space="preserve"> </w:t>
      </w:r>
      <w:r>
        <w:rPr>
          <w:rStyle w:val="VerbatimChar"/>
        </w:rPr>
        <w:t xml:space="preserve">site_mean</w:t>
      </w:r>
      <w:r>
        <w:t xml:space="preserve">) and explicitly did not touch the small-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regime (see</w:t>
      </w:r>
      <w:r>
        <w:t xml:space="preserve"> </w:t>
      </w:r>
      <w:r>
        <w:rPr>
          <w:rStyle w:val="VerbatimChar"/>
        </w:rPr>
        <w:t xml:space="preserve">docs/M-DIAG-A1_diagnosis_report.md</w:t>
      </w:r>
      <w:r>
        <w:t xml:space="preserve"> </w:t>
      </w:r>
      <w:r>
        <w:t xml:space="preserve">§7 and the</w:t>
      </w:r>
      <w:r>
        <w:t xml:space="preserve"> </w:t>
      </w:r>
      <w:r>
        <w:rPr>
          <w:rStyle w:val="VerbatimChar"/>
        </w:rPr>
        <w:t xml:space="preserve">engine/constants.py</w:t>
      </w:r>
      <w:r>
        <w:t xml:space="preserve"> </w:t>
      </w:r>
      <w:r>
        <w:t xml:space="preserve">Q-WA-1 note).</w:t>
      </w:r>
    </w:p>
    <w:p>
      <w:r>
        <w:pict>
          <v:rect style="width:0;height:1.5pt" o:hralign="center" o:hrstd="t" o:hr="t"/>
        </w:pict>
      </w:r>
    </w:p>
    <w:bookmarkEnd w:id="28"/>
    <w:bookmarkStart w:id="29" w:name="where-aai-diverges-honest-about-both"/>
    <w:p>
      <w:pPr>
        <w:pStyle w:val="Heading2"/>
      </w:pPr>
      <w:r>
        <w:t xml:space="preserve">§6 Where AAI diverges (honest about both)</w:t>
      </w:r>
    </w:p>
    <w:p>
      <w:pPr>
        <w:pStyle w:val="FirstParagraph"/>
      </w:pPr>
      <w:r>
        <w:rPr>
          <w:b/>
          <w:bCs/>
        </w:rPr>
        <w:t xml:space="preserve">Misses (false negatives):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Phoenix haboob</w:t>
      </w:r>
      <w:r>
        <w:t xml:space="preserve"> </w:t>
      </w:r>
      <w:r>
        <w:t xml:space="preserve">— only miss at the per-day level: a single-day, spatially-uniform desert dust event never crosses z = 2.0 against its own 5–25 km ring.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Every event at the aggregate level</w:t>
      </w:r>
      <w:r>
        <w:t xml:space="preserve"> </w:t>
      </w:r>
      <w:r>
        <w:t xml:space="preserve">— no aggregate z reaches 2.0; NSW (−0.85) and</w:t>
      </w:r>
      <w:r>
        <w:t xml:space="preserve"> </w:t>
      </w:r>
      <w:r>
        <w:rPr>
          <w:b/>
          <w:bCs/>
        </w:rPr>
        <w:t xml:space="preserve">Dakar (−3.39)</w:t>
      </w:r>
      <w:r>
        <w:t xml:space="preserve"> </w:t>
      </w:r>
      <w:r>
        <w:t xml:space="preserve">are negative during unambiguous events because the background ring is contaminated by (or more intense than) the same regional plume.</w:t>
      </w:r>
    </w:p>
    <w:p>
      <w:pPr>
        <w:pStyle w:val="BodyText"/>
      </w:pPr>
      <w:r>
        <w:rPr>
          <w:b/>
          <w:bCs/>
        </w:rPr>
        <w:t xml:space="preserve">False alarms (false positives):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5 controls</w:t>
      </w:r>
      <w:r>
        <w:t xml:space="preserve"> </w:t>
      </w:r>
      <w:r>
        <w:t xml:space="preserve">fire ≥ 1 hot day. Beijing-winter and Quebec-pre-season are the worst (max day z 31.6 and 16.4) — both have tiny</w:t>
      </w:r>
      <w:r>
        <w:t xml:space="preserve"> </w:t>
      </w:r>
      <w:r>
        <w:rPr>
          <w:rStyle w:val="VerbatimChar"/>
        </w:rPr>
        <w:t xml:space="preserve">bg_std</w:t>
      </w:r>
      <w:r>
        <w:t xml:space="preserve">, so clean-air noise is amplified into hot days.</w:t>
      </w:r>
    </w:p>
    <w:p>
      <w:pPr>
        <w:pStyle w:val="BodyText"/>
      </w:pPr>
      <w:r>
        <w:rPr>
          <w:b/>
          <w:bCs/>
        </w:rPr>
        <w:t xml:space="preserve">Structural reading.</w:t>
      </w:r>
      <w:r>
        <w:t xml:space="preserve"> </w:t>
      </w:r>
      <w:r>
        <w:t xml:space="preserve">AAI’s data clearly responds to real events (raw AAI and per-day z rise during fires; transported smoke is caught at Bay Area). The failures are properties of the</w:t>
      </w:r>
      <w:r>
        <w:t xml:space="preserve"> </w:t>
      </w:r>
      <w:r>
        <w:rPr>
          <w:b/>
          <w:bCs/>
        </w:rPr>
        <w:t xml:space="preserve">anomaly construction</w:t>
      </w:r>
      <w:r>
        <w:t xml:space="preserve">, not the AAI data: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Same-window background</w:t>
      </w:r>
      <w:r>
        <w:t xml:space="preserve"> </w:t>
      </w:r>
      <w:r>
        <w:t xml:space="preserve">→ sustained/regional events raise both site and ring, cancelling the anomaly (suppresses aggregate z, can go negative).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Small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bg_std</w:t>
      </w:r>
      <w:r>
        <w:t xml:space="preserve"> </w:t>
      </w:r>
      <w:r>
        <w:t xml:space="preserve">→ per-day z is over-sensitive at clean, low-variance locations (inflates per-day hf, kills specificity).</w:t>
      </w:r>
    </w:p>
    <w:p>
      <w:r>
        <w:pict>
          <v:rect style="width:0;height:1.5pt" o:hralign="center" o:hrstd="t" o:hr="t"/>
        </w:pict>
      </w:r>
    </w:p>
    <w:bookmarkEnd w:id="29"/>
    <w:bookmarkStart w:id="30" w:name="implications-for-calibration"/>
    <w:p>
      <w:pPr>
        <w:pStyle w:val="Heading2"/>
      </w:pPr>
      <w:r>
        <w:t xml:space="preserve">§7 Implications for calibration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bg_std</w:t>
      </w:r>
      <w:r>
        <w:rPr>
          <w:b/>
          <w:bCs/>
        </w:rPr>
        <w:t xml:space="preserve"> </w:t>
      </w:r>
      <w:r>
        <w:rPr>
          <w:b/>
          <w:bCs/>
        </w:rPr>
        <w:t xml:space="preserve">(regime-aware z).</w:t>
      </w:r>
      <w:r>
        <w:t xml:space="preserve"> </w:t>
      </w:r>
      <w:r>
        <w:t xml:space="preserve">A minimum-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floor (or a robust scale estimate) would stop the per-day flag from firing on near-zero-variance clean air. Beijing/Quebec controls would stop false-firing. This is the most direct fix and is the natural extension of the M-DIAG-A1 line of work to the denominator.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Climatological, not same-window, baseline for AAI.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bg_median</w:t>
      </w:r>
      <w:r>
        <w:t xml:space="preserve">/</w:t>
      </w:r>
      <w:r>
        <w:rPr>
          <w:rStyle w:val="VerbatimChar"/>
        </w:rPr>
        <w:t xml:space="preserve">bg_std</w:t>
      </w:r>
      <w:r>
        <w:t xml:space="preserve"> </w:t>
      </w:r>
      <w:r>
        <w:t xml:space="preserve">from a prior reference period (e.g. same calendar month, previous year, or a trailing 90 d) rather than the event window. This would prevent regional plumes from contaminating their own baseline and would let the aggregate z actually rise on events like NSW and Dakar. (Requires the deferred</w:t>
      </w:r>
      <w:r>
        <w:t xml:space="preserve"> </w:t>
      </w:r>
      <w:r>
        <w:rPr>
          <w:rStyle w:val="VerbatimChar"/>
        </w:rPr>
        <w:t xml:space="preserve">engine/core/seasonality.py</w:t>
      </w:r>
      <w:r>
        <w:t xml:space="preserve"> </w:t>
      </w:r>
      <w:r>
        <w:t xml:space="preserve">or a climatology fallback for AAI.)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 absolute-AAI gate for widespread events.</w:t>
      </w:r>
      <w:r>
        <w:t xml:space="preserve"> </w:t>
      </w:r>
      <w:r>
        <w:t xml:space="preserve">A simple</w:t>
      </w:r>
      <w:r>
        <w:t xml:space="preserve"> </w:t>
      </w:r>
      <w:r>
        <w:t xml:space="preserve">“raw AAI ≥ X”</w:t>
      </w:r>
      <w:r>
        <w:t xml:space="preserve"> </w:t>
      </w:r>
      <w:r>
        <w:t xml:space="preserve">co-trigger would catch spatially-uniform events (Phoenix, regional dust) that the local-contrast detector structurally cannot. Fires already show clearly elevated raw AAI; dust at some sites does not, so the gate would need to be tuned per regime.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per-day flag is sensitive, the aggregate z is (currently) inert.</w:t>
      </w:r>
      <w:r>
        <w:t xml:space="preserve"> </w:t>
      </w:r>
      <w:r>
        <w:t xml:space="preserve">If AAI screening leans on aggregate z at threshold 2.0 it will miss real events; if it leans on per-day hf it will over-fire. The calibration sweep should decide which metric carries the AAI proxy and set its threshold against this event/control 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M-DIAG-A1 fix itself is not implicated.</w:t>
      </w:r>
      <w:r>
        <w:t xml:space="preserve"> </w:t>
      </w:r>
      <w:r>
        <w:t xml:space="preserve">It does what its name implies — per-day hf is now intermediate and engine-faithful. The remaining misbehaviour is upstream (baseline construction) and downstream (threshold choice), not the per-day key-naming fix.</w:t>
      </w:r>
    </w:p>
    <w:p>
      <w:r>
        <w:pict>
          <v:rect style="width:0;height:1.5pt" o:hralign="center" o:hrstd="t" o:hr="t"/>
        </w:pict>
      </w:r>
    </w:p>
    <w:bookmarkEnd w:id="30"/>
    <w:bookmarkStart w:id="31" w:name="Xb0b605c131bb656efa7a6e409876e5fc3b54e73"/>
    <w:p>
      <w:pPr>
        <w:pStyle w:val="Heading2"/>
      </w:pPr>
      <w:r>
        <w:t xml:space="preserve">§8 Open questions for the calibration-sweep spec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Which AAI metric is the proxy</w:t>
      </w:r>
      <w:r>
        <w:t xml:space="preserve"> </w:t>
      </w:r>
      <w:r>
        <w:t xml:space="preserve">— aggregate z, per-day hf, raw absolute AAI, or a composite? This validation shows the first is inert at 2.0 and the second is non-specific.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bg_std</w:t>
      </w:r>
      <w:r>
        <w:rPr>
          <w:b/>
          <w:bCs/>
        </w:rP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(and estimated how — fixed minimum, MAD-based, percentile) removes control false-positives without killing event sensitivity? Sweep against the 5 controls 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Same-window vs climatological baseline for AAI</w:t>
      </w:r>
      <w:r>
        <w:t xml:space="preserve"> </w:t>
      </w:r>
      <w:r>
        <w:t xml:space="preserve">— is a climatology baseline worth the seasonality/fallback work, given how badly the same-window baseline performs on regional events (Dakar, NSW)?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Regime-aware thresholds</w:t>
      </w:r>
      <w:r>
        <w:t xml:space="preserve"> </w:t>
      </w:r>
      <w:r>
        <w:t xml:space="preserve">— should fire vs dust (or column-loading regime) use different z thresholds or different metrics, given fires produce large raw AAI and dust often does not?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AOI radius sensitivity</w:t>
      </w:r>
      <w:r>
        <w:t xml:space="preserve"> </w:t>
      </w:r>
      <w:r>
        <w:t xml:space="preserve">— all results use</w:t>
      </w:r>
      <w:r>
        <w:t xml:space="preserve"> </w:t>
      </w:r>
      <w:r>
        <w:rPr>
          <w:rStyle w:val="VerbatimChar"/>
        </w:rPr>
        <w:t xml:space="preserve">radius_km = 5</w:t>
      </w:r>
      <w:r>
        <w:t xml:space="preserve">. Does pushing the background ring out (larger site, ring at 100–200 km) restore event/control separability for regional plumes, and is that compatible with the production AOI contract?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Should this event/control set be folded into the standing calibration fixtures</w:t>
      </w:r>
      <w:r>
        <w:t xml:space="preserve">, alongside the diagnostic seeds, so threshold changes are regression-tested against known events?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Deliverables: this report (</w:t>
      </w:r>
      <w:r>
        <w:rPr>
          <w:rStyle w:val="VerbatimChar"/>
          <w:i/>
          <w:iCs/>
        </w:rPr>
        <w:t xml:space="preserve">docs/aai_firms_validation.md</w:t>
      </w:r>
      <w:r>
        <w:rPr>
          <w:i/>
          <w:iCs/>
        </w:rPr>
        <w:t xml:space="preserve">), the notebook (</w:t>
      </w:r>
      <w:r>
        <w:rPr>
          <w:rStyle w:val="VerbatimChar"/>
          <w:i/>
          <w:iCs/>
        </w:rPr>
        <w:t xml:space="preserve">analysis/aai_firms_validation.ipynb</w:t>
      </w:r>
      <w:r>
        <w:rPr>
          <w:i/>
          <w:iCs/>
        </w:rPr>
        <w:t xml:space="preserve">), the per-day table (</w:t>
      </w:r>
      <w:r>
        <w:rPr>
          <w:rStyle w:val="VerbatimChar"/>
          <w:i/>
          <w:iCs/>
        </w:rPr>
        <w:t xml:space="preserve">analysis/aai_firms_validation.csv</w:t>
      </w:r>
      <w:r>
        <w:rPr>
          <w:i/>
          <w:iCs/>
        </w:rPr>
        <w:t xml:space="preserve">), the per-event summary (</w:t>
      </w:r>
      <w:r>
        <w:rPr>
          <w:rStyle w:val="VerbatimChar"/>
          <w:i/>
          <w:iCs/>
        </w:rPr>
        <w:t xml:space="preserve">analysis/aai_firms_event_summary.csv</w:t>
      </w:r>
      <w:r>
        <w:rPr>
          <w:i/>
          <w:iCs/>
        </w:rPr>
        <w:t xml:space="preserve">), and the extraction harness (</w:t>
      </w:r>
      <w:r>
        <w:rPr>
          <w:rStyle w:val="VerbatimChar"/>
          <w:i/>
          <w:iCs/>
        </w:rPr>
        <w:t xml:space="preserve">analysis/aai_firms_extract.py</w:t>
      </w:r>
      <w:r>
        <w:rPr>
          <w:i/>
          <w:iCs/>
        </w:rPr>
        <w:t xml:space="preserve">). No engine code was modified. Word export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docs/aai_firms_validation.docx</w:t>
      </w:r>
      <w:r>
        <w:rPr>
          <w:i/>
          <w:iCs/>
        </w:rPr>
        <w:t xml:space="preserve"> </w:t>
      </w:r>
      <w:r>
        <w:rPr>
          <w:i/>
          <w:iCs/>
        </w:rPr>
        <w:t xml:space="preserve">(Step F).</w:t>
      </w:r>
    </w:p>
    <w:p>
      <w:r>
        <w:pict>
          <v:rect style="width:0;height:1.5pt" o:hralign="center" o:hrstd="t" o:hr="t"/>
        </w:pict>
      </w:r>
    </w:p>
    <w:bookmarkEnd w:id="31"/>
    <w:bookmarkStart w:id="32" w:name="X884e5efc17f5135776a7e9d9a321d613b834dd4"/>
    <w:p>
      <w:pPr>
        <w:pStyle w:val="Heading2"/>
      </w:pPr>
      <w:r>
        <w:t xml:space="preserve">§10 — Post-M-DIAG-A4 re-run findings (31 May 2026)</w:t>
      </w:r>
    </w:p>
    <w:p>
      <w:pPr>
        <w:pStyle w:val="FirstParagraph"/>
      </w:pPr>
      <w:r>
        <w:t xml:space="preserve">Following M-DIAG-A4’s denominator fix (climatology baseline replacing the spatial std of the time-averaged ring), AAI behaviour was re-checked against the</w:t>
      </w:r>
      <w:r>
        <w:t xml:space="preserve"> </w:t>
      </w:r>
      <w:r>
        <w:rPr>
          <w:b/>
          <w:bCs/>
        </w:rPr>
        <w:t xml:space="preserve">post-fix engine</w:t>
      </w:r>
      <w:r>
        <w:t xml:space="preserve"> </w:t>
      </w:r>
      <w:r>
        <w:t xml:space="preserve">at a re-selected clean control and a strong event. The check runs the production code path (</w:t>
      </w:r>
      <w:r>
        <w:rPr>
          <w:rStyle w:val="VerbatimChar"/>
        </w:rPr>
        <w:t xml:space="preserve">engine.air.compute_pollutant_snapshot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six_step</w:t>
      </w:r>
      <w:r>
        <w:t xml:space="preserve">); the harness is</w:t>
      </w:r>
      <w:r>
        <w:t xml:space="preserve"> </w:t>
      </w:r>
      <w:r>
        <w:rPr>
          <w:rStyle w:val="VerbatimChar"/>
        </w:rPr>
        <w:t xml:space="preserve">analysis/m_diag_a4_validation_probe.py</w:t>
      </w:r>
      <w:r>
        <w:t xml:space="preserve"> </w:t>
      </w:r>
      <w:r>
        <w:t xml:space="preserve">and the raw output is</w:t>
      </w:r>
      <w:r>
        <w:t xml:space="preserve"> </w:t>
      </w:r>
      <w:r>
        <w:rPr>
          <w:rStyle w:val="VerbatimChar"/>
        </w:rPr>
        <w:t xml:space="preserve">analysis/m_diag_a4_validation_probe.json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findings (the fix’s operative win — interpretable scale, not zero firing).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bg_std</w:t>
            </w:r>
            <w:r>
              <w:t xml:space="preserve"> </w:t>
            </w:r>
            <w:r>
              <w:t xml:space="preserve">spatial (old)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bg_std</w:t>
            </w:r>
            <w:r>
              <w:t xml:space="preserve"> </w:t>
            </w:r>
            <w:r>
              <w:t xml:space="preserve">temporal (new)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 (temporal/spatial)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per-day</w:t>
            </w:r>
            <w:r>
              <w:t xml:space="preserve"> </w:t>
            </w:r>
            <w:r>
              <w:rPr>
                <w:rStyle w:val="VerbatimChar"/>
              </w:rPr>
              <w:t xml:space="preserve">hf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 control (clean)</w:t>
            </w:r>
          </w:p>
        </w:tc>
        <w:tc>
          <w:tcPr/>
          <w:p>
            <w:pPr>
              <w:pStyle w:val="Compact"/>
            </w:pPr>
            <w:r>
              <w:t xml:space="preserve">AAI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 control (clean)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Quebec 2023 wildfire (event)</w:t>
            </w:r>
          </w:p>
        </w:tc>
        <w:tc>
          <w:tcPr/>
          <w:p>
            <w:pPr>
              <w:pStyle w:val="Compact"/>
            </w:pPr>
            <w:r>
              <w:t xml:space="preserve">AAI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The spatial denominator at the clean AAI control (0.054) sits exactly in the §4 collapse range (0.04–0.27); the temporal denominator (0.518) sits in the §4 site-temporal-std range (0.35–0.57). The</w:t>
      </w:r>
      <w:r>
        <w:t xml:space="preserve"> </w:t>
      </w:r>
      <w:r>
        <w:rPr>
          <w:b/>
          <w:bCs/>
        </w:rPr>
        <w:t xml:space="preserve">9.7× ratio</w:t>
      </w:r>
      <w:r>
        <w:t xml:space="preserve"> </w:t>
      </w:r>
      <w:r>
        <w:t xml:space="preserve">is the §4 inflation factor made concrete — pre-fix per-day z was inflated ~10×, the mechanism behind magnitude artefacts like the Beijing control’s per-day z of 31.6.</w:t>
      </w:r>
    </w:p>
    <w:p>
      <w:pPr>
        <w:pStyle w:val="Compact"/>
        <w:numPr>
          <w:ilvl w:val="0"/>
          <w:numId w:val="1007"/>
        </w:numPr>
      </w:pPr>
      <w:r>
        <w:t xml:space="preserve">Post-fix, the clean control’s per-day hot-fraction is</w:t>
      </w:r>
      <w:r>
        <w:t xml:space="preserve"> </w:t>
      </w:r>
      <w:r>
        <w:rPr>
          <w:b/>
          <w:bCs/>
        </w:rPr>
        <w:t xml:space="preserve">0.02</w:t>
      </w:r>
      <w:r>
        <w:t xml:space="preserve"> </w:t>
      </w:r>
      <w:r>
        <w:t xml:space="preserve">— down from the pre-fix median control hf of 0.33 (§5). The event/control hf separation is now ~8× (0.18 vs 0.02), where pre-fix the denominator collapse left some clean controls firing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this event’s rate.</w:t>
      </w:r>
    </w:p>
    <w:p>
      <w:pPr>
        <w:pStyle w:val="Compact"/>
        <w:numPr>
          <w:ilvl w:val="0"/>
          <w:numId w:val="1007"/>
        </w:numPr>
      </w:pPr>
      <w:r>
        <w:t xml:space="preserve">The same correction holds for O3 (45.7×), confirming the §5/D2 generic-collapse finding: the fix is not AAI-specific.</w:t>
      </w:r>
    </w:p>
    <w:p>
      <w:pPr>
        <w:pStyle w:val="FirstParagraph"/>
      </w:pPr>
      <w:r>
        <w:rPr>
          <w:b/>
          <w:bCs/>
        </w:rPr>
        <w:t xml:space="preserve">Methodological note.</w:t>
      </w:r>
      <w:r>
        <w:t xml:space="preserve"> </w:t>
      </w:r>
      <w:r>
        <w:t xml:space="preserve">The v1.0 framing of</w:t>
      </w:r>
      <w:r>
        <w:t xml:space="preserve"> </w:t>
      </w:r>
      <w:r>
        <w:t xml:space="preserve">“5/5 false-positive rate at clean controls”</w:t>
      </w:r>
      <w:r>
        <w:t xml:space="preserve"> </w:t>
      </w:r>
      <w:r>
        <w:t xml:space="preserve">was partly a control-selection artefact (3/5 of the original controls contained transient absorbing-aerosol days, per §7 and the M-DIAG-A3 §7 caveat) and partly a framing artefact under the tool’s supplier-attributability framing. The fix corrects a real numerical scale error in the per-day z denominator; the post-fix detector produces interpretable z-values. Event-detection performance changes are real but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read as the fix’s primary justification — see the M-DIAG-A3 addendum for the framing discussion.</w:t>
      </w:r>
    </w:p>
    <w:p>
      <w:pPr>
        <w:pStyle w:val="BodyText"/>
      </w:pPr>
      <w:r>
        <w:rPr>
          <w:b/>
          <w:bCs/>
        </w:rPr>
        <w:t xml:space="preserve">Residual caveat.</w:t>
      </w:r>
      <w:r>
        <w:t xml:space="preserve"> </w:t>
      </w:r>
      <w:r>
        <w:t xml:space="preserve">M-DIAG-A4 keeps</w:t>
      </w:r>
      <w:r>
        <w:t xml:space="preserve"> </w:t>
      </w:r>
      <w:r>
        <w:rPr>
          <w:rStyle w:val="VerbatimChar"/>
        </w:rPr>
        <w:t xml:space="preserve">bg_median</w:t>
      </w:r>
      <w:r>
        <w:t xml:space="preserve"> </w:t>
      </w:r>
      <w:r>
        <w:t xml:space="preserve">as the spatial median of the ring (the</w:t>
      </w:r>
      <w:r>
        <w:t xml:space="preserve"> </w:t>
      </w:r>
      <w:r>
        <w:t xml:space="preserve">“anomalous vs surroundings”</w:t>
      </w:r>
      <w:r>
        <w:t xml:space="preserve"> </w:t>
      </w:r>
      <w:r>
        <w:t xml:space="preserve">reference); only the denominator becomes temporal. So during a</w:t>
      </w:r>
      <w:r>
        <w:t xml:space="preserve"> </w:t>
      </w:r>
      <w:r>
        <w:rPr>
          <w:b/>
          <w:bCs/>
        </w:rPr>
        <w:t xml:space="preserve">regionally-uniform</w:t>
      </w:r>
      <w:r>
        <w:t xml:space="preserve"> </w:t>
      </w:r>
      <w:r>
        <w:t xml:space="preserve">event (the whole ring is smoky, e.g. Quebec) the site is genuinely not anomalous</w:t>
      </w:r>
      <w:r>
        <w:t xml:space="preserve"> </w:t>
      </w:r>
      <w:r>
        <w:rPr>
          <w:i/>
          <w:iCs/>
        </w:rPr>
        <w:t xml:space="preserve">against its surroundings</w:t>
      </w:r>
      <w:r>
        <w:t xml:space="preserve"> </w:t>
      </w:r>
      <w:r>
        <w:t xml:space="preserve">and the aggregate z stays low by design — the per-day detector still surfaces the elevated days (event hf 0.18 ≫ control 0.02). This is the intended attributability behaviour, not a regression; chronic/regional elevation is the trend view’s job (M-TREND-A1/A2), not the per-day screening detector’s.</w:t>
      </w:r>
    </w:p>
    <w:p>
      <w:pPr>
        <w:pStyle w:val="BodyText"/>
      </w:pPr>
      <w:r>
        <w:rPr>
          <w:i/>
          <w:iCs/>
        </w:rPr>
        <w:t xml:space="preserve">Re-run deliverables: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analysis/m_diag_a4_validation_probe.py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.json</w:t>
      </w:r>
      <w:r>
        <w:rPr>
          <w:i/>
          <w:iCs/>
        </w:rPr>
        <w:t xml:space="preserve">. Word re-export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docs/aai_firms_validation.docx</w:t>
      </w:r>
      <w:r>
        <w:rPr>
          <w:i/>
          <w:iCs/>
        </w:rPr>
        <w:t xml:space="preserve"> </w:t>
      </w:r>
      <w:r>
        <w:rPr>
          <w:i/>
          <w:iCs/>
        </w:rPr>
        <w:t xml:space="preserve">pending (Step D5).</w:t>
      </w:r>
    </w:p>
    <w:p>
      <w:r>
        <w:pict>
          <v:rect style="width:0;height:1.5pt" o:hralign="center" o:hrstd="t" o:hr="t"/>
        </w:pict>
      </w:r>
    </w:p>
    <w:bookmarkEnd w:id="32"/>
    <w:bookmarkStart w:id="33" w:name="X1153cd7d93bcd7e1cfbf032f66c0d390cd82db4"/>
    <w:p>
      <w:pPr>
        <w:pStyle w:val="Heading2"/>
      </w:pPr>
      <w:r>
        <w:t xml:space="preserve">§11 — Methodological reframe under attributability framing (M-DOCS-CLEANUP-A1, 31 May 2026)</w:t>
      </w:r>
    </w:p>
    <w:p>
      <w:pPr>
        <w:pStyle w:val="FirstParagraph"/>
      </w:pPr>
      <w:r>
        <w:t xml:space="preserve">Following the methodology consolidation across 30–31 May 2026 (M-CH4-A1, M-DIAG-A4 v2.0, M-ATTRIB-A2, M-GHG-REDESIGN-A1) and the establishment of the canonical supplier-attributability framing in</w:t>
      </w:r>
      <w:r>
        <w:t xml:space="preserve"> </w:t>
      </w:r>
      <w:r>
        <w:rPr>
          <w:rStyle w:val="VerbatimChar"/>
        </w:rPr>
        <w:t xml:space="preserve">Indicators_Computation_v4.md</w:t>
      </w:r>
      <w:r>
        <w:t xml:space="preserve"> </w:t>
      </w:r>
      <w:r>
        <w:t xml:space="preserve">§0.7, this validation’s findings can be reread. This addendum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it mirrors the M-DIAG-A3 diagnosis-report addendum pattern. The original report body (§1–§10) stands unchanged as a record of what the spatial-std denominator produced; the reinterpretation lives here. §10 already covers the numerical reframe under the climatology baseline; this section completes the reread by reframing the original</w:t>
      </w:r>
      <w:r>
        <w:t xml:space="preserve"> </w:t>
      </w:r>
      <w:r>
        <w:t xml:space="preserve">“5/5 false-positive”</w:t>
      </w:r>
      <w:r>
        <w:t xml:space="preserve"> </w:t>
      </w:r>
      <w:r>
        <w:t xml:space="preserve">headline narrative itself.</w:t>
      </w:r>
    </w:p>
    <w:p>
      <w:pPr>
        <w:pStyle w:val="BodyText"/>
      </w:pPr>
      <w:r>
        <w:t xml:space="preserve">The original headline of</w:t>
      </w:r>
      <w:r>
        <w:t xml:space="preserve"> </w:t>
      </w:r>
      <w:r>
        <w:t xml:space="preserve">“5/5 false-positive rate at clean controls”</w:t>
      </w:r>
      <w:r>
        <w:t xml:space="preserve"> </w:t>
      </w:r>
      <w:r>
        <w:t xml:space="preserve">(§5) was over-broad. It conflated two distinct issues: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Control selection.</w:t>
      </w:r>
      <w:r>
        <w:t xml:space="preserve"> </w:t>
      </w:r>
      <w:r>
        <w:t xml:space="preserve">As §7’s caveat and the M-DIAG-A3 §7 caveat both acknowledge, 3 of the 5 original</w:t>
      </w:r>
      <w:r>
        <w:t xml:space="preserve"> </w:t>
      </w:r>
      <w:r>
        <w:t xml:space="preserve">“clean”</w:t>
      </w:r>
      <w:r>
        <w:t xml:space="preserve"> </w:t>
      </w:r>
      <w:r>
        <w:t xml:space="preserve">control windows contained transient absorbing-aerosol days. The detector was correctly firing on real events that the control selection had mislabelled as clean. M-DIAG-A4’s Phase 2 re-selected controls (Patagonia, Amazon wet season, NZ South Island, Appalachia, retained Puerto Rico) addressed this.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Framing.</w:t>
      </w:r>
      <w:r>
        <w:t xml:space="preserve"> </w:t>
      </w:r>
      <w:r>
        <w:t xml:space="preserve">Under the supplier-attributability framing established in M-ATTRIB-A2 and codified in</w:t>
      </w:r>
      <w:r>
        <w:t xml:space="preserve"> </w:t>
      </w:r>
      <w:r>
        <w:rPr>
          <w:rStyle w:val="VerbatimChar"/>
        </w:rPr>
        <w:t xml:space="preserve">Indicators_Computation_v4.md</w:t>
      </w:r>
      <w:r>
        <w:t xml:space="preserve"> </w:t>
      </w:r>
      <w:r>
        <w:t xml:space="preserve">§0.7, severity measures a supplier-attributable anomaly against regional context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regional absolute pollution. A site firing per-day hot days at a</w:t>
      </w:r>
      <w:r>
        <w:t xml:space="preserve"> </w:t>
      </w:r>
      <w:r>
        <w:t xml:space="preserve">“clean”</w:t>
      </w:r>
      <w:r>
        <w:t xml:space="preserve"> </w:t>
      </w:r>
      <w:r>
        <w:t xml:space="preserve">control window is not intrinsically wrong if there was genuine local contrast that day. The control’s</w:t>
      </w:r>
      <w:r>
        <w:t xml:space="preserve"> </w:t>
      </w:r>
      <w:r>
        <w:rPr>
          <w:i/>
          <w:iCs/>
        </w:rPr>
        <w:t xml:space="preserve">regional</w:t>
      </w:r>
      <w:r>
        <w:t xml:space="preserve"> </w:t>
      </w:r>
      <w:r>
        <w:t xml:space="preserve">context being clean does not preclude site-specific anomalies; the detector flagging them is correct attributability behaviour.</w:t>
      </w:r>
    </w:p>
    <w:p>
      <w:pPr>
        <w:pStyle w:val="FirstParagraph"/>
      </w:pPr>
      <w:r>
        <w:rPr>
          <w:b/>
          <w:bCs/>
        </w:rPr>
        <w:t xml:space="preserve">What stands from the original validation.</w:t>
      </w:r>
    </w:p>
    <w:p>
      <w:pPr>
        <w:pStyle w:val="Compact"/>
        <w:numPr>
          <w:ilvl w:val="0"/>
          <w:numId w:val="1009"/>
        </w:numPr>
      </w:pPr>
      <w:r>
        <w:t xml:space="preserve">The M-DIAG-A1 numerator-side fix (the</w:t>
      </w:r>
      <w:r>
        <w:t xml:space="preserve"> </w:t>
      </w:r>
      <w:r>
        <w:rPr>
          <w:rStyle w:val="VerbatimChar"/>
        </w:rPr>
        <w:t xml:space="preserve">mean_key</w:t>
      </w:r>
      <w:r>
        <w:t xml:space="preserve"> </w:t>
      </w:r>
      <w:r>
        <w:t xml:space="preserve">bug at</w:t>
      </w:r>
      <w:r>
        <w:t xml:space="preserve"> </w:t>
      </w:r>
      <w:r>
        <w:rPr>
          <w:rStyle w:val="VerbatimChar"/>
        </w:rPr>
        <w:t xml:space="preserve">_server_side_hf</w:t>
      </w:r>
      <w:r>
        <w:t xml:space="preserve">) was necessary and remains correct.</w:t>
      </w:r>
    </w:p>
    <w:p>
      <w:pPr>
        <w:pStyle w:val="Compact"/>
        <w:numPr>
          <w:ilvl w:val="0"/>
          <w:numId w:val="1009"/>
        </w:numPr>
      </w:pPr>
      <w:r>
        <w:t xml:space="preserve">The aggregate z’s failure to detect Dakar dust events (-3.39) reflects that regional dust events affect the whole region uniformly, leaving no local contrast. Under the attributability framing this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behaviour — the supplier was not the source of the regional dust storm. (§10’s residual caveat documents the same mechanism for the Quebec event.)</w:t>
      </w:r>
    </w:p>
    <w:p>
      <w:pPr>
        <w:pStyle w:val="Compact"/>
        <w:numPr>
          <w:ilvl w:val="0"/>
          <w:numId w:val="1009"/>
        </w:numPr>
      </w:pPr>
      <w:r>
        <w:t xml:space="preserve">M-DIAG-A4 v2.0’s climatology-baseline denominator fix corrects a real numerical scale error in the per-day z denominator (the spatial std of the time-averaged field was the wrong scale); the fix is justified on numerical-correctness grounds independent of any framing interpretation. §10 quantifies this (the 9.7× / 45.7× / 4.3× spatial-vs-temporal denominator ratios).</w:t>
      </w:r>
    </w:p>
    <w:p>
      <w:pPr>
        <w:pStyle w:val="FirstParagraph"/>
      </w:pPr>
      <w:r>
        <w:rPr>
          <w:b/>
          <w:bCs/>
        </w:rPr>
        <w:t xml:space="preserve">What changed in interpretation.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t xml:space="preserve">“5/5 false-positive rate”</w:t>
      </w:r>
      <w:r>
        <w:t xml:space="preserve"> </w:t>
      </w:r>
      <w:r>
        <w:t xml:space="preserve">framing was over-broad — some firings were correct attributability behaviour, others were magnitude artefacts of the denominator collapse. The two should not be pooled into a single</w:t>
      </w:r>
      <w:r>
        <w:t xml:space="preserve"> </w:t>
      </w:r>
      <w:r>
        <w:t xml:space="preserve">“false-positive”</w:t>
      </w:r>
      <w:r>
        <w:t xml:space="preserve"> </w:t>
      </w:r>
      <w:r>
        <w:t xml:space="preserve">count.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t xml:space="preserve">“aggregate z fails to detect real events”</w:t>
      </w:r>
      <w:r>
        <w:t xml:space="preserve"> </w:t>
      </w:r>
      <w:r>
        <w:t xml:space="preserve">framing was framing-sensitive — regional events are correctly invisible to an attributability detector when no local contrast exists.</w:t>
      </w:r>
    </w:p>
    <w:p>
      <w:pPr>
        <w:pStyle w:val="Compact"/>
        <w:numPr>
          <w:ilvl w:val="0"/>
          <w:numId w:val="1010"/>
        </w:numPr>
      </w:pPr>
      <w:r>
        <w:t xml:space="preserve">The fix recommendation (climatology baseline) stands on numerical grounds; the event-detection improvement was incidental to the justification, not its basis.</w:t>
      </w:r>
    </w:p>
    <w:p>
      <w:pPr>
        <w:pStyle w:val="FirstParagraph"/>
      </w:pPr>
      <w:r>
        <w:rPr>
          <w:b/>
          <w:bCs/>
        </w:rPr>
        <w:t xml:space="preserve">Reference.</w:t>
      </w:r>
      <w:r>
        <w:t xml:space="preserve"> </w:t>
      </w:r>
      <w:r>
        <w:t xml:space="preserve">This addendum brings the validation into alignment with the attributability framing canonically established in</w:t>
      </w:r>
      <w:r>
        <w:t xml:space="preserve"> </w:t>
      </w:r>
      <w:r>
        <w:rPr>
          <w:rStyle w:val="VerbatimChar"/>
        </w:rPr>
        <w:t xml:space="preserve">Indicators_Computation_v4.md</w:t>
      </w:r>
      <w:r>
        <w:t xml:space="preserve"> </w:t>
      </w:r>
      <w:r>
        <w:t xml:space="preserve">§0.7. The layering is deliberate: §10 (M-DIAG-A4) covers the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re-validation under the new denominator; the M-DIAG-A3 diagnosis addendum (shipped under M-DIAG-A4) covers the same framing reread at the</w:t>
      </w:r>
      <w:r>
        <w:t xml:space="preserve"> </w:t>
      </w:r>
      <w:r>
        <w:rPr>
          <w:b/>
          <w:bCs/>
        </w:rPr>
        <w:t xml:space="preserve">diagnostic</w:t>
      </w:r>
      <w:r>
        <w:t xml:space="preserve"> </w:t>
      </w:r>
      <w:r>
        <w:t xml:space="preserve">level; this §11 covers the</w:t>
      </w:r>
      <w:r>
        <w:t xml:space="preserve"> </w:t>
      </w:r>
      <w:r>
        <w:rPr>
          <w:b/>
          <w:bCs/>
        </w:rPr>
        <w:t xml:space="preserve">framing</w:t>
      </w:r>
      <w:r>
        <w:t xml:space="preserve"> </w:t>
      </w:r>
      <w:r>
        <w:t xml:space="preserve">reframe of the validation report’s headline narrative. The three are related layers of one reread, not orthogonal claims.</w:t>
      </w:r>
    </w:p>
    <w:p>
      <w:pPr>
        <w:pStyle w:val="BodyText"/>
      </w:pPr>
      <w:r>
        <w:rPr>
          <w:i/>
          <w:iCs/>
        </w:rPr>
        <w:t xml:space="preserve">Addendum deliverable: this §11. Word re-export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docs/aai_firms_validation.docx</w:t>
      </w:r>
      <w:r>
        <w:rPr>
          <w:i/>
          <w:iCs/>
        </w:rPr>
        <w:t xml:space="preserve"> </w:t>
      </w:r>
      <w:r>
        <w:rPr>
          <w:i/>
          <w:iCs/>
        </w:rPr>
        <w:t xml:space="preserve">(Step C3).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7" Target="media/rId17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2026-05-31T22:25:33Z</dcterms:created>
  <dcterms:modified xsi:type="dcterms:W3CDTF">2026-05-31T22:25:33Z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