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D9D9"/>
          </w:tcPr>
          <w:p>
            <w:r>
              <w:rPr>
                <w:b/>
                <w:i w:val="0"/>
              </w:rPr>
              <w:t>Site</w:t>
            </w:r>
          </w:p>
        </w:tc>
        <w:tc>
          <w:tcPr>
            <w:tcW w:type="dxa" w:w="1440"/>
            <w:shd w:val="clear" w:color="auto" w:fill="D9D9D9"/>
          </w:tcPr>
          <w:p>
            <w:pPr>
              <w:jc w:val="right"/>
            </w:pPr>
            <w:r>
              <w:rPr>
                <w:b/>
                <w:i w:val="0"/>
              </w:rPr>
              <w:t>Air</w:t>
            </w:r>
          </w:p>
        </w:tc>
        <w:tc>
          <w:tcPr>
            <w:tcW w:type="dxa" w:w="1440"/>
            <w:shd w:val="clear" w:color="auto" w:fill="D9D9D9"/>
          </w:tcPr>
          <w:p>
            <w:pPr>
              <w:jc w:val="right"/>
            </w:pPr>
            <w:r>
              <w:rPr>
                <w:b/>
                <w:i w:val="0"/>
              </w:rPr>
              <w:t>GHG</w:t>
            </w:r>
          </w:p>
        </w:tc>
        <w:tc>
          <w:tcPr>
            <w:tcW w:type="dxa" w:w="1440"/>
            <w:shd w:val="clear" w:color="auto" w:fill="D9D9D9"/>
          </w:tcPr>
          <w:p>
            <w:pPr>
              <w:jc w:val="right"/>
            </w:pPr>
            <w:r>
              <w:rPr>
                <w:b/>
                <w:i w:val="0"/>
              </w:rPr>
              <w:t>Nature</w:t>
            </w:r>
          </w:p>
        </w:tc>
        <w:tc>
          <w:tcPr>
            <w:tcW w:type="dxa" w:w="1440"/>
            <w:shd w:val="clear" w:color="auto" w:fill="D9D9D9"/>
          </w:tcPr>
          <w:p>
            <w:pPr>
              <w:jc w:val="right"/>
            </w:pPr>
            <w:r>
              <w:rPr>
                <w:b/>
                <w:i w:val="0"/>
              </w:rPr>
              <w:t>Composite</w:t>
            </w:r>
          </w:p>
        </w:tc>
        <w:tc>
          <w:tcPr>
            <w:tcW w:type="dxa" w:w="1440"/>
            <w:shd w:val="clear" w:color="auto" w:fill="D9D9D9"/>
          </w:tcPr>
          <w:p>
            <w:pPr>
              <w:jc w:val="right"/>
            </w:pPr>
            <w:r>
              <w:rPr>
                <w:b/>
                <w:i w:val="0"/>
              </w:rPr>
              <w:t>Composite confidence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Comodoro Rivadavia (oil &amp; gas)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i w:val="0"/>
              </w:rPr>
              <w:t>0.182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i w:val="0"/>
              </w:rPr>
              <w:t>0.526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i w:val="0"/>
              </w:rPr>
              <w:t>0.588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i w:val="0"/>
              </w:rPr>
              <w:t>0.432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i w:val="0"/>
              </w:rPr>
              <w:t>0.683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i w:val="0"/>
              </w:rPr>
              <w:t>Carajás (iron ore)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i w:val="0"/>
              </w:rPr>
              <w:t>0.148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i w:val="0"/>
              </w:rPr>
              <w:t>0.163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i w:val="0"/>
              </w:rPr>
              <w:t>0.601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i w:val="0"/>
              </w:rPr>
              <w:t>0.304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i w:val="0"/>
              </w:rPr>
              <w:t>0.661</w:t>
            </w:r>
          </w:p>
        </w:tc>
      </w:tr>
    </w:tbl>
    <w:p>
      <w:pPr>
        <w:pStyle w:val="Caption"/>
      </w:pPr>
      <w:r>
        <w:rPr>
          <w:i/>
        </w:rPr>
        <w:t>Table X.?: Pillar follow-up priorities, composite screening score and composite confidence for the two contrasting suppliers in Figure 7.B. The Air, GHG and Nature columns are the per-pillar follow-up priorities; the composite screening score is their equal-weighted mean, and composite confidence is the minimum of the three pillar confidences. All values are dimensionless on [0, 1]. Source: Appendix X sweep.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