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gsco-environmental-tool-report-handoff"/>
    <w:p>
      <w:pPr>
        <w:pStyle w:val="Heading1"/>
      </w:pPr>
      <w:r>
        <w:t xml:space="preserve">GSCO Environmental Tool — Report Handoff</w:t>
      </w:r>
    </w:p>
    <w:p>
      <w:pPr>
        <w:pStyle w:val="FirstParagraph"/>
      </w:pPr>
      <w:r>
        <w:rPr>
          <w:i/>
          <w:iCs/>
        </w:rPr>
        <w:t xml:space="preserve">Prepared for whoever writes the project’s final report. Built by reading the actual code and running the actual tests, not the design docs. Where the code and a doc disagree, this document follows the code and flags the disagreement. Plain language throughout; a few unavoidable technical IDs are explained on first use.</w:t>
      </w:r>
    </w:p>
    <w:p>
      <w:pPr>
        <w:pStyle w:val="BodyText"/>
      </w:pPr>
      <w:r>
        <w:rPr>
          <w:i/>
          <w:iCs/>
        </w:rPr>
        <w:t xml:space="preserve">Snapshot date: 1 June 2026. Branch: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main</w:t>
      </w:r>
      <w:r>
        <w:rPr>
          <w:i/>
          <w:iCs/>
        </w:rPr>
        <w:t xml:space="preserve">, working tree clean.</w:t>
      </w:r>
    </w:p>
    <w:p>
      <w:r>
        <w:pict>
          <v:rect style="width:0;height:1.5pt" o:hralign="center" o:hrstd="t" o:hr="t"/>
        </w:pict>
      </w:r>
    </w:p>
    <w:bookmarkStart w:id="11" w:name="what-the-tool-is-now"/>
    <w:p>
      <w:pPr>
        <w:pStyle w:val="Heading2"/>
      </w:pPr>
      <w:r>
        <w:t xml:space="preserve">1. What the tool is now</w:t>
      </w:r>
    </w:p>
    <w:p>
      <w:pPr>
        <w:pStyle w:val="FirstParagraph"/>
      </w:pPr>
      <w:r>
        <w:t xml:space="preserve">The GSCO tool is a</w:t>
      </w:r>
      <w:r>
        <w:t xml:space="preserve"> </w:t>
      </w:r>
      <w:r>
        <w:rPr>
          <w:b/>
          <w:bCs/>
        </w:rPr>
        <w:t xml:space="preserve">satellite-based environmental screening platform</w:t>
      </w:r>
      <w:r>
        <w:t xml:space="preserve"> </w:t>
      </w:r>
      <w:r>
        <w:t xml:space="preserve">for supply chains. You point it at a supplier site (or a whole region), it pulls down recent satellite and modelled-atmosphere data for that spot, and it produces a</w:t>
      </w:r>
      <w:r>
        <w:t xml:space="preserve"> </w:t>
      </w:r>
      <w:r>
        <w:rPr>
          <w:b/>
          <w:bCs/>
        </w:rPr>
        <w:t xml:space="preserve">traffic-light risk summary across three</w:t>
      </w:r>
      <w:r>
        <w:rPr>
          <w:b/>
          <w:bCs/>
        </w:rPr>
        <w:t xml:space="preserve"> </w:t>
      </w:r>
      <w:r>
        <w:rPr>
          <w:b/>
          <w:bCs/>
        </w:rPr>
        <w:t xml:space="preserve">“pillars”</w:t>
      </w:r>
      <w:r>
        <w:rPr>
          <w:b/>
          <w:bCs/>
        </w:rPr>
        <w:t xml:space="preserve"> </w:t>
      </w:r>
      <w:r>
        <w:rPr>
          <w:b/>
          <w:bCs/>
        </w:rPr>
        <w:t xml:space="preserve">— Air Pollution, Greenhouse Gas (GHG), and Nature/Land</w:t>
      </w:r>
      <w:r>
        <w:t xml:space="preserve"> </w:t>
      </w:r>
      <w:r>
        <w:t xml:space="preserve">— plus drill-down detail, a plain-English written summary, batch</w:t>
      </w:r>
      <w:r>
        <w:t xml:space="preserve"> </w:t>
      </w:r>
      <w:r>
        <w:t xml:space="preserve">“prioritisation”</w:t>
      </w:r>
      <w:r>
        <w:t xml:space="preserve"> </w:t>
      </w:r>
      <w:r>
        <w:t xml:space="preserve">across many suppliers, and exportable reports (PDF/CSV/JSON). It is aimed at two user types:</w:t>
      </w:r>
      <w:r>
        <w:t xml:space="preserve"> </w:t>
      </w:r>
      <w:r>
        <w:rPr>
          <w:b/>
          <w:bCs/>
        </w:rPr>
        <w:t xml:space="preserve">Policy Makers</w:t>
      </w:r>
      <w:r>
        <w:t xml:space="preserve"> </w:t>
      </w:r>
      <w:r>
        <w:t xml:space="preserve">(region-level) and</w:t>
      </w:r>
      <w:r>
        <w:t xml:space="preserve"> </w:t>
      </w:r>
      <w:r>
        <w:rPr>
          <w:b/>
          <w:bCs/>
        </w:rPr>
        <w:t xml:space="preserve">multinational corporations / MNCs</w:t>
      </w:r>
      <w:r>
        <w:t xml:space="preserve"> </w:t>
      </w:r>
      <w:r>
        <w:t xml:space="preserve">(supplier-level). It is a working demo, not a production system: it runs locally, computes live against Google Earth Engine, and is seeded with demo supply chains and saved analyses so it can be shown without setup.</w:t>
      </w:r>
    </w:p>
    <w:p>
      <w:pPr>
        <w:pStyle w:val="BodyText"/>
      </w:pPr>
      <w:r>
        <w:t xml:space="preserve">The important headline for the report:</w:t>
      </w:r>
      <w:r>
        <w:t xml:space="preserve"> </w:t>
      </w:r>
      <w:r>
        <w:rPr>
          <w:b/>
          <w:bCs/>
        </w:rPr>
        <w:t xml:space="preserve">the tool is far more complete than its own documentation suggests.</w:t>
      </w:r>
      <w:r>
        <w:t xml:space="preserve"> </w:t>
      </w:r>
      <w:r>
        <w:t xml:space="preserve">Most page docstrings and several design docs describe earlier, half-built states (</w:t>
      </w:r>
      <w:r>
        <w:t xml:space="preserve">“placeholder”</w:t>
      </w:r>
      <w:r>
        <w:t xml:space="preserve">,</w:t>
      </w:r>
      <w:r>
        <w:t xml:space="preserve"> </w:t>
      </w:r>
      <w:r>
        <w:t xml:space="preserve">“lands in a later milestone”</w:t>
      </w:r>
      <w:r>
        <w:t xml:space="preserve">,</w:t>
      </w:r>
      <w:r>
        <w:t xml:space="preserve"> </w:t>
      </w:r>
      <w:r>
        <w:t xml:space="preserve">“P-08 doesn’t exist yet”</w:t>
      </w:r>
      <w:r>
        <w:t xml:space="preserve">). In the actual code, P-01 through P-11 are all built and wired. The engine computes all three pillars and a composite. Trust the code.</w:t>
      </w:r>
    </w:p>
    <w:bookmarkStart w:id="9" w:name="tech-stack"/>
    <w:p>
      <w:pPr>
        <w:pStyle w:val="Heading3"/>
      </w:pPr>
      <w:r>
        <w:t xml:space="preserve">Tech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Language/runtime:</w:t>
      </w:r>
      <w:r>
        <w:t xml:space="preserve"> </w:t>
      </w:r>
      <w:r>
        <w:t xml:space="preserve">Python 3.11 (3.12+ deliberately avoided — it breaks the geospatial dependency stack).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 framework:</w:t>
      </w:r>
      <w:r>
        <w:t xml:space="preserve"> </w:t>
      </w:r>
      <w:r>
        <w:t xml:space="preserve">Streamlit (≥1.30). Multi-page app driven by</w:t>
      </w:r>
      <w:r>
        <w:t xml:space="preserve"> </w:t>
      </w:r>
      <w:r>
        <w:rPr>
          <w:rStyle w:val="VerbatimChar"/>
        </w:rPr>
        <w:t xml:space="preserve">gsco_app.py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st.Page</w:t>
      </w:r>
      <w:r>
        <w:t xml:space="preserve">/</w:t>
      </w:r>
      <w:r>
        <w:rPr>
          <w:rStyle w:val="VerbatimChar"/>
        </w:rPr>
        <w:t xml:space="preserve">st.navigation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Satellite data:</w:t>
      </w:r>
      <w:r>
        <w:t xml:space="preserve"> </w:t>
      </w:r>
      <w:r>
        <w:t xml:space="preserve">Google Earth Engine (</w:t>
      </w:r>
      <w:r>
        <w:rPr>
          <w:rStyle w:val="VerbatimChar"/>
        </w:rPr>
        <w:t xml:space="preserve">earthengine-api</w:t>
      </w:r>
      <w:r>
        <w:t xml:space="preserve">), accessed through a cached initialiser. Maps rendered with</w:t>
      </w:r>
      <w:r>
        <w:t xml:space="preserve"> </w:t>
      </w:r>
      <w:r>
        <w:rPr>
          <w:rStyle w:val="VerbatimChar"/>
        </w:rPr>
        <w:t xml:space="preserve">geemap.foliumap</w:t>
      </w:r>
      <w:r>
        <w:t xml:space="preserve"> </w:t>
      </w:r>
      <w:r>
        <w:t xml:space="preserve">(+ folium / streamlit-folium).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Maths/stats:</w:t>
      </w:r>
      <w:r>
        <w:t xml:space="preserve"> </w:t>
      </w:r>
      <w:r>
        <w:t xml:space="preserve">numpy, pandas, scipy.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Reports:</w:t>
      </w:r>
      <w:r>
        <w:t xml:space="preserve"> </w:t>
      </w:r>
      <w:r>
        <w:t xml:space="preserve">Jinja2 (HTML templating) + WeasyPrint (HTML→PDF; needs system libs Pango/Cairo/GLib).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Misc:</w:t>
      </w:r>
      <w:r>
        <w:t xml:space="preserve"> </w:t>
      </w:r>
      <w:r>
        <w:t xml:space="preserve">geopy (geocoding), streamlit-option-menu (top nav).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Pins matter:</w:t>
      </w:r>
      <w:r>
        <w:t xml:space="preserve"> </w:t>
      </w:r>
      <w:r>
        <w:rPr>
          <w:rStyle w:val="VerbatimChar"/>
        </w:rPr>
        <w:t xml:space="preserve">setuptools&lt;81</w:t>
      </w:r>
      <w:r>
        <w:t xml:space="preserve"> </w:t>
      </w:r>
      <w:r>
        <w:t xml:space="preserve">(newer drops</w:t>
      </w:r>
      <w:r>
        <w:t xml:space="preserve"> </w:t>
      </w:r>
      <w:r>
        <w:rPr>
          <w:rStyle w:val="VerbatimChar"/>
        </w:rPr>
        <w:t xml:space="preserve">pkg_resources</w:t>
      </w:r>
      <w:r>
        <w:t xml:space="preserve"> </w:t>
      </w:r>
      <w:r>
        <w:t xml:space="preserve">that leafmap needs) and</w:t>
      </w:r>
      <w:r>
        <w:t xml:space="preserve"> </w:t>
      </w:r>
      <w:r>
        <w:rPr>
          <w:rStyle w:val="VerbatimChar"/>
        </w:rPr>
        <w:t xml:space="preserve">ipython&lt;9</w:t>
      </w:r>
      <w:r>
        <w:t xml:space="preserve"> </w:t>
      </w:r>
      <w:r>
        <w:t xml:space="preserve">(geemap uses the pre-9 API). geemap is pinned to</w:t>
      </w:r>
      <w:r>
        <w:t xml:space="preserve"> </w:t>
      </w:r>
      <w:r>
        <w:rPr>
          <w:rStyle w:val="VerbatimChar"/>
        </w:rPr>
        <w:t xml:space="preserve">0.34.4</w:t>
      </w:r>
      <w:r>
        <w:t xml:space="preserve">. Do not bump these without re-testing.</w:t>
      </w:r>
    </w:p>
    <w:bookmarkEnd w:id="9"/>
    <w:bookmarkStart w:id="10" w:name="how-its-run"/>
    <w:p>
      <w:pPr>
        <w:pStyle w:val="Heading3"/>
      </w:pPr>
      <w:r>
        <w:t xml:space="preserve">How it’s run</w:t>
      </w:r>
    </w:p>
    <w:p>
      <w:pPr>
        <w:pStyle w:val="Compact"/>
        <w:numPr>
          <w:ilvl w:val="0"/>
          <w:numId w:val="1002"/>
        </w:numPr>
      </w:pPr>
      <w:r>
        <w:t xml:space="preserve">Python 3.11 venv →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(3–5 min).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earthengine authenticate</w:t>
      </w:r>
      <w:r>
        <w:t xml:space="preserve"> </w:t>
      </w:r>
      <w:r>
        <w:t xml:space="preserve">once.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export EE_PROJECT_ID=...</w:t>
      </w:r>
      <w:r>
        <w:t xml:space="preserve">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per project memory the live data path specifically needs</w:t>
      </w:r>
      <w:r>
        <w:t xml:space="preserve"> </w:t>
      </w:r>
      <w:r>
        <w:rPr>
          <w:rStyle w:val="VerbatimChar"/>
        </w:rPr>
        <w:t xml:space="preserve">EE_PROJECT_ID=supply-chain-observatory</w:t>
      </w:r>
      <w:r>
        <w:t xml:space="preserve"> </w:t>
      </w:r>
      <w:r>
        <w:t xml:space="preserve">(that project owns the ODIAC and KBA assets the engine reads); this is not committed in the repo.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streamlit run gsco_app.py</w:t>
      </w:r>
      <w:r>
        <w:t xml:space="preserve"> </w:t>
      </w:r>
      <w:r>
        <w:t xml:space="preserve">→ browser opens at</w:t>
      </w:r>
      <w:r>
        <w:t xml:space="preserve"> </w:t>
      </w:r>
      <w:r>
        <w:rPr>
          <w:rStyle w:val="VerbatimChar"/>
        </w:rPr>
        <w:t xml:space="preserve">localhost:8501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Disagreement flagged: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is stale — it still says</w:t>
      </w:r>
      <w:r>
        <w:t xml:space="preserve"> </w:t>
      </w:r>
      <w:r>
        <w:t xml:space="preserve">“P-02 is a placeholder with geemap test”</w:t>
      </w:r>
      <w:r>
        <w:t xml:space="preserve"> </w:t>
      </w:r>
      <w:r>
        <w:t xml:space="preserve">and</w:t>
      </w:r>
      <w:r>
        <w:t xml:space="preserve"> </w:t>
      </w:r>
      <w:r>
        <w:t xml:space="preserve">“Everything else (P-03 through P-11) — later iterations.”</w:t>
      </w:r>
      <w:r>
        <w:t xml:space="preserve"> </w:t>
      </w:r>
      <w:r>
        <w:t xml:space="preserve">That has not been true for many milestones. The README’s</w:t>
      </w:r>
      <w:r>
        <w:t xml:space="preserve"> </w:t>
      </w:r>
      <w:r>
        <w:rPr>
          <w:i/>
          <w:iCs/>
        </w:rPr>
        <w:t xml:space="preserve">setup</w:t>
      </w:r>
      <w:r>
        <w:t xml:space="preserve"> </w:t>
      </w:r>
      <w:r>
        <w:t xml:space="preserve">instructions are still correct; its</w:t>
      </w:r>
      <w:r>
        <w:t xml:space="preserve"> </w:t>
      </w:r>
      <w:r>
        <w:rPr>
          <w:i/>
          <w:iCs/>
        </w:rPr>
        <w:t xml:space="preserve">scope</w:t>
      </w:r>
      <w:r>
        <w:t xml:space="preserve"> </w:t>
      </w:r>
      <w:r>
        <w:t xml:space="preserve">description is not.</w:t>
      </w:r>
    </w:p>
    <w:p>
      <w:pPr>
        <w:pStyle w:val="BlockText"/>
      </w:pPr>
      <w:r>
        <w:rPr>
          <w:b/>
          <w:bCs/>
        </w:rPr>
        <w:t xml:space="preserve">Two entry files:</w:t>
      </w:r>
      <w:r>
        <w:t xml:space="preserve"> </w:t>
      </w:r>
      <w:r>
        <w:rPr>
          <w:rStyle w:val="VerbatimChar"/>
        </w:rPr>
        <w:t xml:space="preserve">gsco_app.py</w:t>
      </w:r>
      <w:r>
        <w:t xml:space="preserve"> </w:t>
      </w:r>
      <w:r>
        <w:t xml:space="preserve">is the real launcher.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 </w:t>
      </w:r>
      <w:r>
        <w:t xml:space="preserve">is the P-01 Landing page body, which</w:t>
      </w:r>
      <w:r>
        <w:t xml:space="preserve"> </w:t>
      </w:r>
      <w:r>
        <w:rPr>
          <w:rStyle w:val="VerbatimChar"/>
        </w:rPr>
        <w:t xml:space="preserve">gsco_app.py</w:t>
      </w:r>
      <w:r>
        <w:t xml:space="preserve"> </w:t>
      </w:r>
      <w:r>
        <w:t xml:space="preserve">mounts as the default page (it also still works as a standalone</w:t>
      </w:r>
      <w:r>
        <w:t xml:space="preserve"> </w:t>
      </w:r>
      <w:r>
        <w:rPr>
          <w:rStyle w:val="VerbatimChar"/>
        </w:rPr>
        <w:t xml:space="preserve">streamlit run app.py</w:t>
      </w:r>
      <w:r>
        <w:t xml:space="preserve"> </w:t>
      </w:r>
      <w:r>
        <w:t xml:space="preserve">fallback). Don’t be confused by the two.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the-pages"/>
    <w:p>
      <w:pPr>
        <w:pStyle w:val="Heading2"/>
      </w:pPr>
      <w:r>
        <w:t xml:space="preserve">2. The pages</w:t>
      </w:r>
    </w:p>
    <w:p>
      <w:pPr>
        <w:pStyle w:val="FirstParagraph"/>
      </w:pPr>
      <w:r>
        <w:t xml:space="preserve">Every page lives in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 </w:t>
      </w:r>
      <w:r>
        <w:t xml:space="preserve">(Streamlit orders them by filename number, which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same as the</w:t>
      </w:r>
      <w:r>
        <w:t xml:space="preserve"> </w:t>
      </w:r>
      <w:r>
        <w:t xml:space="preserve">“P-number”</w:t>
      </w:r>
      <w:r>
        <w:t xml:space="preserve"> </w:t>
      </w:r>
      <w:r>
        <w:t xml:space="preserve">from the wireframes). Status below is from the code.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 (P-#)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Produces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P-01 Landing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app.py</w:t>
            </w:r>
          </w:p>
        </w:tc>
        <w:tc>
          <w:tcPr/>
          <w:p>
            <w:pPr>
              <w:pStyle w:val="Compact"/>
            </w:pPr>
            <w:r>
              <w:t xml:space="preserve">Pick user type (Policy Maker / MNC); initialise session; seed demo saved-analyses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user_type</w:t>
            </w:r>
            <w:r>
              <w:t xml:space="preserve">; routes to P-02</w:t>
            </w:r>
          </w:p>
        </w:tc>
        <w:tc>
          <w:tcPr/>
          <w:p>
            <w:pPr>
              <w:pStyle w:val="Compact"/>
            </w:pPr>
            <w:r>
              <w:t xml:space="preserve">✅ Fully built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P-02 Scope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pages/02_Scope_Setup.py</w:t>
            </w:r>
          </w:p>
        </w:tc>
        <w:tc>
          <w:tcPr/>
          <w:p>
            <w:pPr>
              <w:pStyle w:val="Compact"/>
            </w:pPr>
            <w:r>
              <w:t xml:space="preserve">Pick a demo supply chain / region /</w:t>
            </w:r>
            <w:r>
              <w:t xml:space="preserve"> </w:t>
            </w:r>
            <w:r>
              <w:t xml:space="preserve">“no scope”</w:t>
            </w:r>
            <w:r>
              <w:t xml:space="preserve"> </w:t>
            </w:r>
            <w:r>
              <w:t xml:space="preserve">(branches on user type), two-step pick→confirm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 </w:t>
            </w:r>
            <w:r>
              <w:t xml:space="preserve">to session; routes to P-03</w:t>
            </w:r>
          </w:p>
        </w:tc>
        <w:tc>
          <w:tcPr/>
          <w:p>
            <w:pPr>
              <w:pStyle w:val="Compact"/>
            </w:pPr>
            <w:r>
              <w:t xml:space="preserve">✅ Fully built (docstring calling itself a</w:t>
            </w:r>
            <w:r>
              <w:t xml:space="preserve"> </w:t>
            </w:r>
            <w:r>
              <w:t xml:space="preserve">“placeholder”</w:t>
            </w:r>
            <w:r>
              <w:t xml:space="preserve"> </w:t>
            </w:r>
            <w:r>
              <w:t xml:space="preserve">is stale)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P-03 Workflow Hub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pages/03_Workflow_Hub.py</w:t>
            </w:r>
          </w:p>
        </w:tc>
        <w:tc>
          <w:tcPr/>
          <w:p>
            <w:pPr>
              <w:pStyle w:val="Compact"/>
            </w:pPr>
            <w:r>
              <w:t xml:space="preserve">Home base: scope summary + cards routing to the two workflows (Inspect, Prioritisation) and three modules (Library, Saved, Reports)</w:t>
            </w:r>
          </w:p>
        </w:tc>
        <w:tc>
          <w:tcPr/>
          <w:p>
            <w:pPr>
              <w:pStyle w:val="Compact"/>
            </w:pPr>
            <w:r>
              <w:t xml:space="preserve">Navigation only</w:t>
            </w:r>
          </w:p>
        </w:tc>
        <w:tc>
          <w:tcPr/>
          <w:p>
            <w:pPr>
              <w:pStyle w:val="Compact"/>
            </w:pPr>
            <w:r>
              <w:t xml:space="preserve">✅ Fully built (docstring claims cards are placeholders — stale)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P-04 Inspect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pages/04_Inspect_Setup.py</w:t>
            </w:r>
          </w:p>
        </w:tc>
        <w:tc>
          <w:tcPr/>
          <w:p>
            <w:pPr>
              <w:pStyle w:val="Compact"/>
            </w:pPr>
            <w:r>
              <w:t xml:space="preserve">Configure a single screening: centre, radius, indicators, time window; scope-aware (node dropdown / locked region AOI / free coordinates)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screening_setup</w:t>
            </w:r>
            <w:r>
              <w:t xml:space="preserve">; routes to P-05</w:t>
            </w:r>
          </w:p>
        </w:tc>
        <w:tc>
          <w:tcPr/>
          <w:p>
            <w:pPr>
              <w:pStyle w:val="Compact"/>
            </w:pPr>
            <w:r>
              <w:t xml:space="preserve">✅ Fully built (docstring</w:t>
            </w:r>
            <w:r>
              <w:t xml:space="preserve"> </w:t>
            </w:r>
            <w:r>
              <w:t xml:space="preserve">“tabs disabled until P-02 lands”</w:t>
            </w:r>
            <w:r>
              <w:t xml:space="preserve"> </w:t>
            </w:r>
            <w:r>
              <w:t xml:space="preserve">is stale)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P-05 Screening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pages/05_Screening_Results.py</w:t>
            </w:r>
          </w:p>
        </w:tc>
        <w:tc>
          <w:tcPr/>
          <w:p>
            <w:pPr>
              <w:pStyle w:val="Compact"/>
            </w:pPr>
            <w:r>
              <w:t xml:space="preserve">The core result page. Runs</w:t>
            </w:r>
            <w:r>
              <w:t xml:space="preserve"> </w:t>
            </w:r>
            <w:r>
              <w:rPr>
                <w:rStyle w:val="VerbatimChar"/>
              </w:rPr>
              <w:t xml:space="preserve">ScreeningRun</w:t>
            </w:r>
            <w:r>
              <w:t xml:space="preserve">, renders traffic light, map, KPI grid, drill-downs, confidence panel, written summary, action bar. Four states: computing / results / partial-results / all-failed</w:t>
            </w:r>
          </w:p>
        </w:tc>
        <w:tc>
          <w:tcPr/>
          <w:p>
            <w:pPr>
              <w:pStyle w:val="Compact"/>
            </w:pPr>
            <w:r>
              <w:t xml:space="preserve">Computes &amp; displays the screening payload</w:t>
            </w:r>
          </w:p>
        </w:tc>
        <w:tc>
          <w:tcPr/>
          <w:p>
            <w:pPr>
              <w:pStyle w:val="Compact"/>
            </w:pPr>
            <w:r>
              <w:t xml:space="preserve">✅ Fully built (docstring calling components</w:t>
            </w:r>
            <w:r>
              <w:t xml:space="preserve"> </w:t>
            </w:r>
            <w:r>
              <w:t xml:space="preserve">“placeholders”</w:t>
            </w:r>
            <w:r>
              <w:t xml:space="preserve"> </w:t>
            </w:r>
            <w:r>
              <w:t xml:space="preserve">is stale; one unused</w:t>
            </w:r>
            <w:r>
              <w:t xml:space="preserve"> </w:t>
            </w:r>
            <w:r>
              <w:rPr>
                <w:rStyle w:val="VerbatimChar"/>
              </w:rPr>
              <w:t xml:space="preserve">_render_placeholder</w:t>
            </w:r>
            <w:r>
              <w:t xml:space="preserve"> </w:t>
            </w:r>
            <w:r>
              <w:t xml:space="preserve">helper is dead 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P-06 Trend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pages/06_Trend_View.py</w:t>
            </w:r>
          </w:p>
        </w:tc>
        <w:tc>
          <w:tcPr/>
          <w:p>
            <w:pPr>
              <w:pStyle w:val="Compact"/>
            </w:pPr>
            <w:r>
              <w:t xml:space="preserve">Per-indicator trend drill-down over time. Two paths: re-open a saved trend (no EE) or compute live from the screening</w:t>
            </w:r>
          </w:p>
        </w:tc>
        <w:tc>
          <w:tcPr/>
          <w:p>
            <w:pPr>
              <w:pStyle w:val="Compact"/>
            </w:pPr>
            <w:r>
              <w:t xml:space="preserve">Renders trend plot</w:t>
            </w:r>
          </w:p>
        </w:tc>
        <w:tc>
          <w:tcPr/>
          <w:p>
            <w:pPr>
              <w:pStyle w:val="Compact"/>
            </w:pPr>
            <w:r>
              <w:t xml:space="preserve">✅ Fully built.</w:t>
            </w:r>
            <w:r>
              <w:t xml:space="preserve"> </w:t>
            </w:r>
            <w:r>
              <w:rPr>
                <w:i/>
                <w:iCs/>
              </w:rPr>
              <w:t xml:space="preserve">Caveat:</w:t>
            </w:r>
            <w:r>
              <w:t xml:space="preserve"> </w:t>
            </w:r>
            <w:r>
              <w:t xml:space="preserve">the P-05 action-bar</w:t>
            </w:r>
            <w:r>
              <w:t xml:space="preserve"> </w:t>
            </w:r>
            <w:r>
              <w:t xml:space="preserve">“Switch to Trend”</w:t>
            </w:r>
            <w:r>
              <w:t xml:space="preserve"> </w:t>
            </w:r>
            <w:r>
              <w:t xml:space="preserve">button is hard-disabled dead control; trends are reached via per-tile</w:t>
            </w:r>
            <w:r>
              <w:t xml:space="preserve"> </w:t>
            </w:r>
            <w:r>
              <w:t xml:space="preserve">“view trend →”</w:t>
            </w:r>
            <w:r>
              <w:t xml:space="preserve"> </w:t>
            </w:r>
            <w:r>
              <w:t xml:space="preserve">links 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P-07 Prioritisation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pages/07_Prioritisation_Setup.py</w:t>
            </w:r>
          </w:p>
        </w:tc>
        <w:tc>
          <w:tcPr/>
          <w:p>
            <w:pPr>
              <w:pStyle w:val="Compact"/>
            </w:pPr>
            <w:r>
              <w:t xml:space="preserve">Batch-screening setup (up to 20 suppliers): supply-chain nodes or pasted list; indicator/radius selection;</w:t>
            </w:r>
            <w:r>
              <w:t xml:space="preserve"> </w:t>
            </w:r>
            <w:r>
              <w:t xml:space="preserve">“strict audit mode”</w:t>
            </w:r>
            <w:r>
              <w:t xml:space="preserve"> </w:t>
            </w: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  <w:r>
              <w:t xml:space="preserve"> </w:t>
            </w:r>
            <w:r>
              <w:rPr>
                <w:rStyle w:val="VerbatimChar"/>
              </w:rPr>
              <w:t xml:space="preserve">prioritisation_setup</w:t>
            </w:r>
            <w:r>
              <w:t xml:space="preserve">; routes to P-08</w:t>
            </w:r>
          </w:p>
        </w:tc>
        <w:tc>
          <w:tcPr/>
          <w:p>
            <w:pPr>
              <w:pStyle w:val="Compact"/>
            </w:pPr>
            <w:r>
              <w:t xml:space="preserve">⚠️ Mostly built.</w:t>
            </w:r>
            <w:r>
              <w:t xml:space="preserve"> </w:t>
            </w:r>
            <w:r>
              <w:rPr>
                <w:b/>
                <w:bCs/>
              </w:rPr>
              <w:t xml:space="preserve">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“country supplier database”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tab is a genuine stub</w:t>
            </w:r>
            <w:r>
              <w:t xml:space="preserve"> </w:t>
            </w:r>
            <w:r>
              <w:t xml:space="preserve">(disabled,</w:t>
            </w:r>
            <w:r>
              <w:t xml:space="preserve"> </w:t>
            </w:r>
            <w:r>
              <w:t xml:space="preserve">“Coming in v1.x”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P-08 Prioritisation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pages/08_Prioritisation_Results.py</w:t>
            </w:r>
          </w:p>
        </w:tc>
        <w:tc>
          <w:tcPr/>
          <w:p>
            <w:pPr>
              <w:pStyle w:val="Compact"/>
            </w:pPr>
            <w:r>
              <w:t xml:space="preserve">Runs the batch executor sequentially over suppliers; ranked table, risk matrix, save-as-report, per-supplier drill-in to P-05</w:t>
            </w:r>
          </w:p>
        </w:tc>
        <w:tc>
          <w:tcPr/>
          <w:p>
            <w:pPr>
              <w:pStyle w:val="Compact"/>
            </w:pPr>
            <w:r>
              <w:t xml:space="preserve">Runs batch; ranked outputs</w:t>
            </w:r>
          </w:p>
        </w:tc>
        <w:tc>
          <w:tcPr/>
          <w:p>
            <w:pPr>
              <w:pStyle w:val="Compact"/>
            </w:pPr>
            <w:r>
              <w:t xml:space="preserve">✅ Fully built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P-09 Indicator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pages/09_Indicator_Library.py</w:t>
            </w:r>
          </w:p>
        </w:tc>
        <w:tc>
          <w:tcPr/>
          <w:p>
            <w:pPr>
              <w:pStyle w:val="Compact"/>
            </w:pPr>
            <w:r>
              <w:t xml:space="preserve">Static reference catalogue: pillar tabs, per-indicator cards (definition, data source, regulatory alignment, formula/weights). No EE</w:t>
            </w:r>
          </w:p>
        </w:tc>
        <w:tc>
          <w:tcPr/>
          <w:p>
            <w:pPr>
              <w:pStyle w:val="Compact"/>
            </w:pPr>
            <w:r>
              <w:t xml:space="preserve">Read-only reference</w:t>
            </w:r>
          </w:p>
        </w:tc>
        <w:tc>
          <w:tcPr/>
          <w:p>
            <w:pPr>
              <w:pStyle w:val="Compact"/>
            </w:pPr>
            <w:r>
              <w:t xml:space="preserve">✅ Fully built.</w:t>
            </w:r>
            <w:r>
              <w:t xml:space="preserve"> </w:t>
            </w:r>
            <w:r>
              <w:rPr>
                <w:i/>
                <w:iCs/>
              </w:rPr>
              <w:t xml:space="preserve">Minor deferral:</w:t>
            </w:r>
            <w:r>
              <w:t xml:space="preserve"> </w:t>
            </w:r>
            <w:r>
              <w:t xml:space="preserve">exact component weights for some derived indicators aren’t surfaced on the card (v1.x follow-up)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P-10 Saved Analyses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pages/10_Saved_Analyses.py</w:t>
            </w:r>
          </w:p>
        </w:tc>
        <w:tc>
          <w:tcPr/>
          <w:p>
            <w:pPr>
              <w:pStyle w:val="Compact"/>
            </w:pPr>
            <w:r>
              <w:t xml:space="preserve">List saved analyses; open / delete / export JSON; search filter; seeded with demos</w:t>
            </w:r>
          </w:p>
        </w:tc>
        <w:tc>
          <w:tcPr/>
          <w:p>
            <w:pPr>
              <w:pStyle w:val="Compact"/>
            </w:pPr>
            <w:r>
              <w:t xml:space="preserve">Reads/mutates</w:t>
            </w:r>
            <w:r>
              <w:t xml:space="preserve"> </w:t>
            </w:r>
            <w:r>
              <w:rPr>
                <w:rStyle w:val="VerbatimChar"/>
              </w:rPr>
              <w:t xml:space="preserve">saved_analyses</w:t>
            </w:r>
          </w:p>
        </w:tc>
        <w:tc>
          <w:tcPr/>
          <w:p>
            <w:pPr>
              <w:pStyle w:val="Compact"/>
            </w:pPr>
            <w:r>
              <w:t xml:space="preserve">✅ Fully built. Gracefully handles incomplete</w:t>
            </w:r>
            <w:r>
              <w:t xml:space="preserve"> </w:t>
            </w:r>
            <w:r>
              <w:t xml:space="preserve">“stub”</w:t>
            </w:r>
            <w:r>
              <w:t xml:space="preserve"> </w:t>
            </w:r>
            <w:r>
              <w:t xml:space="preserve">seed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P-11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pages/11_Reports.py</w:t>
            </w:r>
          </w:p>
        </w:tc>
        <w:tc>
          <w:tcPr/>
          <w:p>
            <w:pPr>
              <w:pStyle w:val="Compact"/>
            </w:pPr>
            <w:r>
              <w:t xml:space="preserve">Report builder: pick template + sources → live HTML preview → export PDF / CSV / JSON. ESRS/GRI framing</w:t>
            </w:r>
          </w:p>
        </w:tc>
        <w:tc>
          <w:tcPr/>
          <w:p>
            <w:pPr>
              <w:pStyle w:val="Compact"/>
            </w:pPr>
            <w:r>
              <w:t xml:space="preserve">Assembles &amp; exports reports</w:t>
            </w:r>
          </w:p>
        </w:tc>
        <w:tc>
          <w:tcPr/>
          <w:p>
            <w:pPr>
              <w:pStyle w:val="Compact"/>
            </w:pPr>
            <w:r>
              <w:t xml:space="preserve">✅ Effectively fully built (docstring claims preview/export</w:t>
            </w:r>
            <w:r>
              <w:t xml:space="preserve"> </w:t>
            </w:r>
            <w:r>
              <w:t xml:space="preserve">“stubbed”</w:t>
            </w:r>
            <w:r>
              <w:t xml:space="preserve"> </w:t>
            </w:r>
            <w:r>
              <w:t xml:space="preserve">— stale).</w:t>
            </w:r>
            <w:r>
              <w:t xml:space="preserve"> </w:t>
            </w:r>
            <w:r>
              <w:rPr>
                <w:i/>
                <w:iCs/>
              </w:rPr>
              <w:t xml:space="preserve">Genuine content stubs:</w:t>
            </w:r>
            <w:r>
              <w:t xml:space="preserve"> </w:t>
            </w:r>
            <w:r>
              <w:t xml:space="preserve">ESRS per-indicator datapoint codes and policy/action/target sub-sections render as labelled</w:t>
            </w:r>
            <w:r>
              <w:t xml:space="preserve"> </w:t>
            </w:r>
            <w:r>
              <w:t xml:space="preserve">“out of scope”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 Engine Scratch</w:t>
            </w:r>
            <w:r>
              <w:t xml:space="preserve"> </w:t>
            </w:r>
            <w:r>
              <w:t xml:space="preserve">(Dev)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pages/99_engine_scratch.py</w:t>
            </w:r>
          </w:p>
        </w:tc>
        <w:tc>
          <w:tcPr/>
          <w:p>
            <w:pPr>
              <w:pStyle w:val="Compact"/>
            </w:pPr>
            <w:r>
              <w:t xml:space="preserve">Throwaway developer debug UI for the engine</w:t>
            </w:r>
          </w:p>
        </w:tc>
        <w:tc>
          <w:tcPr/>
          <w:p>
            <w:pPr>
              <w:pStyle w:val="Compact"/>
            </w:pPr>
            <w:r>
              <w:t xml:space="preserve">Debug output</w:t>
            </w:r>
          </w:p>
        </w:tc>
        <w:tc>
          <w:tcPr/>
          <w:p>
            <w:pPr>
              <w:pStyle w:val="Compact"/>
            </w:pPr>
            <w:r>
              <w:t xml:space="preserve">🧪 Legacy dev tool, slated for deletion now that P-05 exists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Genuine remaining stubs (not stale docstrings):</w:t>
      </w:r>
      <w:r>
        <w:t xml:space="preserve"> </w:t>
      </w:r>
      <w:r>
        <w:t xml:space="preserve">P-07 country-database mode; P-09 per-component weight display; P-11 ESRS datapoint codes + policy/action/target sub-sections; the dead</w:t>
      </w:r>
      <w:r>
        <w:t xml:space="preserve"> </w:t>
      </w:r>
      <w:r>
        <w:t xml:space="preserve">“Switch to Trend”</w:t>
      </w:r>
      <w:r>
        <w:t xml:space="preserve"> </w:t>
      </w:r>
      <w:r>
        <w:t xml:space="preserve">button on P-05.</w:t>
      </w:r>
    </w:p>
    <w:p>
      <w:r>
        <w:pict>
          <v:rect style="width:0;height:1.5pt" o:hralign="center" o:hrstd="t" o:hr="t"/>
        </w:pict>
      </w:r>
    </w:p>
    <w:bookmarkEnd w:id="12"/>
    <w:bookmarkStart w:id="22" w:name="the-indicator-engine"/>
    <w:p>
      <w:pPr>
        <w:pStyle w:val="Heading2"/>
      </w:pPr>
      <w:r>
        <w:t xml:space="preserve">3. The indicator engine</w:t>
      </w:r>
    </w:p>
    <w:p>
      <w:pPr>
        <w:pStyle w:val="FirstParagraph"/>
      </w:pPr>
      <w:r>
        <w:t xml:space="preserve">The engine lives in</w:t>
      </w:r>
      <w:r>
        <w:t xml:space="preserve"> </w:t>
      </w:r>
      <w:r>
        <w:rPr>
          <w:rStyle w:val="VerbatimChar"/>
        </w:rPr>
        <w:t xml:space="preserve">engine/</w:t>
      </w:r>
      <w:r>
        <w:t xml:space="preserve">. It is a set of</w:t>
      </w:r>
      <w:r>
        <w:t xml:space="preserve"> </w:t>
      </w:r>
      <w:r>
        <w:rPr>
          <w:b/>
          <w:bCs/>
        </w:rPr>
        <w:t xml:space="preserve">stateless pillar function libraries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air.py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ghg.py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nature.py</w:t>
      </w:r>
      <w:r>
        <w:t xml:space="preserve">) plus a single</w:t>
      </w:r>
      <w:r>
        <w:t xml:space="preserve"> </w:t>
      </w:r>
      <w:r>
        <w:rPr>
          <w:b/>
          <w:bCs/>
        </w:rPr>
        <w:t xml:space="preserve">stateful orchestrator</w:t>
      </w:r>
      <w:r>
        <w:t xml:space="preserve"> </w:t>
      </w:r>
      <w:r>
        <w:t xml:space="preserve">(</w:t>
      </w:r>
      <w:r>
        <w:rPr>
          <w:rStyle w:val="VerbatimChar"/>
        </w:rPr>
        <w:t xml:space="preserve">orchestrator.py::ScreeningRun</w:t>
      </w:r>
      <w:r>
        <w:t xml:space="preserve">) and shared building blocks in</w:t>
      </w:r>
      <w:r>
        <w:t xml:space="preserve"> </w:t>
      </w:r>
      <w:r>
        <w:rPr>
          <w:rStyle w:val="VerbatimChar"/>
        </w:rPr>
        <w:t xml:space="preserve">engine/core/</w:t>
      </w:r>
      <w:r>
        <w:t xml:space="preserve">. Canonical indicator IDs are in</w:t>
      </w:r>
      <w:r>
        <w:t xml:space="preserve"> </w:t>
      </w:r>
      <w:r>
        <w:rPr>
          <w:rStyle w:val="VerbatimChar"/>
        </w:rPr>
        <w:t xml:space="preserve">engine/ids.py</w:t>
      </w:r>
      <w:r>
        <w:t xml:space="preserve">; all tunables in</w:t>
      </w:r>
      <w:r>
        <w:t xml:space="preserve"> </w:t>
      </w:r>
      <w:r>
        <w:rPr>
          <w:rStyle w:val="VerbatimChar"/>
        </w:rPr>
        <w:t xml:space="preserve">engine/constants.py</w:t>
      </w:r>
      <w:r>
        <w:t xml:space="preserve">.</w:t>
      </w:r>
    </w:p>
    <w:bookmarkStart w:id="16" w:name="Xf74ebdb414a7f0d7c4ddb743b87b0b9b77e73c8"/>
    <w:p>
      <w:pPr>
        <w:pStyle w:val="Heading3"/>
      </w:pPr>
      <w:r>
        <w:t xml:space="preserve">3.1 The three pillars and what they actually compute</w:t>
      </w:r>
    </w:p>
    <w:p>
      <w:pPr>
        <w:pStyle w:val="BlockText"/>
      </w:pPr>
      <w:r>
        <w:rPr>
          <w:b/>
          <w:bCs/>
        </w:rPr>
        <w:t xml:space="preserve">Key methodological point:</w:t>
      </w:r>
      <w:r>
        <w:t xml:space="preserve"> </w:t>
      </w:r>
      <w:r>
        <w:t xml:space="preserve">the three pillars deliberately use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scoring grammars because they ask different physical questions. This is intentional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going to be</w:t>
      </w:r>
      <w:r>
        <w:t xml:space="preserve"> </w:t>
      </w:r>
      <w:r>
        <w:t xml:space="preserve">“harmonised.”</w:t>
      </w:r>
    </w:p>
    <w:bookmarkStart w:id="13" w:name="air-pollution-pillar-engineair.py"/>
    <w:p>
      <w:pPr>
        <w:pStyle w:val="Heading4"/>
      </w:pPr>
      <w:r>
        <w:t xml:space="preserve">Air Pollution pillar (</w:t>
      </w:r>
      <w:r>
        <w:rPr>
          <w:rStyle w:val="VerbatimChar"/>
        </w:rPr>
        <w:t xml:space="preserve">engine/air.py</w:t>
      </w:r>
      <w:r>
        <w:t xml:space="preserve">)</w:t>
      </w:r>
    </w:p>
    <w:p>
      <w:pPr>
        <w:pStyle w:val="FirstParagraph"/>
      </w:pPr>
      <w:r>
        <w:t xml:space="preserve">Nine pollutants, all scored by the same</w:t>
      </w:r>
      <w:r>
        <w:t xml:space="preserve"> </w:t>
      </w:r>
      <w:r>
        <w:t xml:space="preserve">“repeatable core”</w:t>
      </w:r>
      <w:r>
        <w:t xml:space="preserve"> </w:t>
      </w:r>
      <w:r>
        <w:t xml:space="preserve">anomaly method (see §3.2).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Canonical ID</w:t>
            </w:r>
          </w:p>
        </w:tc>
        <w:tc>
          <w:tcPr/>
          <w:p>
            <w:pPr>
              <w:pStyle w:val="Compact"/>
            </w:pPr>
            <w:r>
              <w:t xml:space="preserve">Source dataset</w:t>
            </w:r>
          </w:p>
        </w:tc>
        <w:tc>
          <w:tcPr/>
          <w:p>
            <w:pPr>
              <w:pStyle w:val="Compact"/>
            </w:pPr>
            <w:r>
              <w:t xml:space="preserve">Measures</w:t>
            </w:r>
          </w:p>
        </w:tc>
        <w:tc>
          <w:tcPr/>
          <w:p>
            <w:pPr>
              <w:pStyle w:val="Compact"/>
            </w:pPr>
            <w:r>
              <w:t xml:space="preserve">Raw unit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air.no2.score</w:t>
            </w:r>
          </w:p>
        </w:tc>
        <w:tc>
          <w:tcPr/>
          <w:p>
            <w:pPr>
              <w:pStyle w:val="Compact"/>
            </w:pPr>
            <w:r>
              <w:t xml:space="preserve">Sentinel-5P</w:t>
            </w:r>
            <w:r>
              <w:t xml:space="preserve"> </w:t>
            </w:r>
            <w:r>
              <w:rPr>
                <w:rStyle w:val="VerbatimChar"/>
              </w:rPr>
              <w:t xml:space="preserve">COPERNICUS/S5P/OFFL/L3_NO2</w:t>
            </w:r>
          </w:p>
        </w:tc>
        <w:tc>
          <w:tcPr/>
          <w:p>
            <w:pPr>
              <w:pStyle w:val="Compact"/>
            </w:pPr>
            <w:r>
              <w:t xml:space="preserve">NO₂ tropospheric column</w:t>
            </w:r>
          </w:p>
        </w:tc>
        <w:tc>
          <w:tcPr/>
          <w:p>
            <w:pPr>
              <w:pStyle w:val="Compact"/>
            </w:pPr>
            <w:r>
              <w:t xml:space="preserve">µmol/m²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air.so2.score</w:t>
            </w:r>
          </w:p>
        </w:tc>
        <w:tc>
          <w:tcPr/>
          <w:p>
            <w:pPr>
              <w:pStyle w:val="Compact"/>
            </w:pPr>
            <w:r>
              <w:t xml:space="preserve">Sentinel-5P</w:t>
            </w:r>
            <w:r>
              <w:t xml:space="preserve"> </w:t>
            </w:r>
            <w:r>
              <w:rPr>
                <w:rStyle w:val="VerbatimChar"/>
              </w:rPr>
              <w:t xml:space="preserve">…/L3_SO2</w:t>
            </w:r>
          </w:p>
        </w:tc>
        <w:tc>
          <w:tcPr/>
          <w:p>
            <w:pPr>
              <w:pStyle w:val="Compact"/>
            </w:pPr>
            <w:r>
              <w:t xml:space="preserve">SO₂ column</w:t>
            </w:r>
          </w:p>
        </w:tc>
        <w:tc>
          <w:tcPr/>
          <w:p>
            <w:pPr>
              <w:pStyle w:val="Compact"/>
            </w:pPr>
            <w:r>
              <w:t xml:space="preserve">µmol/m²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air.co.score</w:t>
            </w:r>
          </w:p>
        </w:tc>
        <w:tc>
          <w:tcPr/>
          <w:p>
            <w:pPr>
              <w:pStyle w:val="Compact"/>
            </w:pPr>
            <w:r>
              <w:t xml:space="preserve">Sentinel-5P</w:t>
            </w:r>
            <w:r>
              <w:t xml:space="preserve"> </w:t>
            </w:r>
            <w:r>
              <w:rPr>
                <w:rStyle w:val="VerbatimChar"/>
              </w:rPr>
              <w:t xml:space="preserve">…/L3_CO</w:t>
            </w:r>
          </w:p>
        </w:tc>
        <w:tc>
          <w:tcPr/>
          <w:p>
            <w:pPr>
              <w:pStyle w:val="Compact"/>
            </w:pPr>
            <w:r>
              <w:t xml:space="preserve">Carbon monoxide column</w:t>
            </w:r>
          </w:p>
        </w:tc>
        <w:tc>
          <w:tcPr/>
          <w:p>
            <w:pPr>
              <w:pStyle w:val="Compact"/>
            </w:pPr>
            <w:r>
              <w:t xml:space="preserve">mmol/m²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air.hcho.score</w:t>
            </w:r>
          </w:p>
        </w:tc>
        <w:tc>
          <w:tcPr/>
          <w:p>
            <w:pPr>
              <w:pStyle w:val="Compact"/>
            </w:pPr>
            <w:r>
              <w:t xml:space="preserve">Sentinel-5P</w:t>
            </w:r>
            <w:r>
              <w:t xml:space="preserve"> </w:t>
            </w:r>
            <w:r>
              <w:rPr>
                <w:rStyle w:val="VerbatimChar"/>
              </w:rPr>
              <w:t xml:space="preserve">…/L3_HCHO</w:t>
            </w:r>
          </w:p>
        </w:tc>
        <w:tc>
          <w:tcPr/>
          <w:p>
            <w:pPr>
              <w:pStyle w:val="Compact"/>
            </w:pPr>
            <w:r>
              <w:t xml:space="preserve">Formaldehyde column</w:t>
            </w:r>
          </w:p>
        </w:tc>
        <w:tc>
          <w:tcPr/>
          <w:p>
            <w:pPr>
              <w:pStyle w:val="Compact"/>
            </w:pPr>
            <w:r>
              <w:t xml:space="preserve">µmol/m²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air.o3.score</w:t>
            </w:r>
          </w:p>
        </w:tc>
        <w:tc>
          <w:tcPr/>
          <w:p>
            <w:pPr>
              <w:pStyle w:val="Compact"/>
            </w:pPr>
            <w:r>
              <w:t xml:space="preserve">Sentinel-5P</w:t>
            </w:r>
            <w:r>
              <w:t xml:space="preserve"> </w:t>
            </w:r>
            <w:r>
              <w:rPr>
                <w:rStyle w:val="VerbatimChar"/>
              </w:rPr>
              <w:t xml:space="preserve">…/L3_O3</w:t>
            </w:r>
          </w:p>
        </w:tc>
        <w:tc>
          <w:tcPr/>
          <w:p>
            <w:pPr>
              <w:pStyle w:val="Compact"/>
            </w:pPr>
            <w:r>
              <w:t xml:space="preserve">Ozone column</w:t>
            </w:r>
          </w:p>
        </w:tc>
        <w:tc>
          <w:tcPr/>
          <w:p>
            <w:pPr>
              <w:pStyle w:val="Compact"/>
            </w:pPr>
            <w:r>
              <w:t xml:space="preserve">Dobson Units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air.aai.score</w:t>
            </w:r>
          </w:p>
        </w:tc>
        <w:tc>
          <w:tcPr/>
          <w:p>
            <w:pPr>
              <w:pStyle w:val="Compact"/>
            </w:pPr>
            <w:r>
              <w:t xml:space="preserve">Sentinel-5P</w:t>
            </w:r>
            <w:r>
              <w:t xml:space="preserve"> </w:t>
            </w:r>
            <w:r>
              <w:rPr>
                <w:rStyle w:val="VerbatimChar"/>
              </w:rPr>
              <w:t xml:space="preserve">…/L3_AER_AI</w:t>
            </w:r>
          </w:p>
        </w:tc>
        <w:tc>
          <w:tcPr/>
          <w:p>
            <w:pPr>
              <w:pStyle w:val="Compact"/>
            </w:pPr>
            <w:r>
              <w:t xml:space="preserve">Absorbing aerosol index</w:t>
            </w:r>
          </w:p>
        </w:tc>
        <w:tc>
          <w:tcPr/>
          <w:p>
            <w:pPr>
              <w:pStyle w:val="Compact"/>
            </w:pPr>
            <w:r>
              <w:t xml:space="preserve">dimensionless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air.pm25.score</w:t>
            </w:r>
          </w:p>
        </w:tc>
        <w:tc>
          <w:tcPr/>
          <w:p>
            <w:pPr>
              <w:pStyle w:val="Compact"/>
            </w:pPr>
            <w:r>
              <w:t xml:space="preserve">CAMS</w:t>
            </w:r>
            <w:r>
              <w:t xml:space="preserve"> </w:t>
            </w:r>
            <w:r>
              <w:rPr>
                <w:rStyle w:val="VerbatimChar"/>
              </w:rPr>
              <w:t xml:space="preserve">ECMWF/CAMS/NRT</w:t>
            </w:r>
          </w:p>
        </w:tc>
        <w:tc>
          <w:tcPr/>
          <w:p>
            <w:pPr>
              <w:pStyle w:val="Compact"/>
            </w:pPr>
            <w:r>
              <w:t xml:space="preserve">Modelled surface PM₂.₅</w:t>
            </w:r>
          </w:p>
        </w:tc>
        <w:tc>
          <w:tcPr/>
          <w:p>
            <w:pPr>
              <w:pStyle w:val="Compact"/>
            </w:pPr>
            <w:r>
              <w:t xml:space="preserve">µg/m³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air.pm10.score</w:t>
            </w:r>
          </w:p>
        </w:tc>
        <w:tc>
          <w:tcPr/>
          <w:p>
            <w:pPr>
              <w:pStyle w:val="Compact"/>
            </w:pPr>
            <w:r>
              <w:t xml:space="preserve">CAMS</w:t>
            </w:r>
            <w:r>
              <w:t xml:space="preserve"> </w:t>
            </w:r>
            <w:r>
              <w:rPr>
                <w:rStyle w:val="VerbatimChar"/>
              </w:rPr>
              <w:t xml:space="preserve">ECMWF/CAMS/NRT</w:t>
            </w:r>
          </w:p>
        </w:tc>
        <w:tc>
          <w:tcPr/>
          <w:p>
            <w:pPr>
              <w:pStyle w:val="Compact"/>
            </w:pPr>
            <w:r>
              <w:t xml:space="preserve">Modelled surface PM₁₀</w:t>
            </w:r>
          </w:p>
        </w:tc>
        <w:tc>
          <w:tcPr/>
          <w:p>
            <w:pPr>
              <w:pStyle w:val="Compact"/>
            </w:pPr>
            <w:r>
              <w:t xml:space="preserve">µg/m³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air.aod.score</w:t>
            </w:r>
          </w:p>
        </w:tc>
        <w:tc>
          <w:tcPr/>
          <w:p>
            <w:pPr>
              <w:pStyle w:val="Compact"/>
            </w:pPr>
            <w:r>
              <w:t xml:space="preserve">MODIS MAIAC</w:t>
            </w:r>
            <w:r>
              <w:t xml:space="preserve"> </w:t>
            </w:r>
            <w:r>
              <w:rPr>
                <w:rStyle w:val="VerbatimChar"/>
              </w:rPr>
              <w:t xml:space="preserve">MODIS/061/MCD19A2_GRANULES</w:t>
            </w:r>
          </w:p>
        </w:tc>
        <w:tc>
          <w:tcPr/>
          <w:p>
            <w:pPr>
              <w:pStyle w:val="Compact"/>
            </w:pPr>
            <w:r>
              <w:t xml:space="preserve">Aerosol optical depth (0.55 µm)</w:t>
            </w:r>
          </w:p>
        </w:tc>
        <w:tc>
          <w:tcPr/>
          <w:p>
            <w:pPr>
              <w:pStyle w:val="Compact"/>
            </w:pPr>
            <w:r>
              <w:t xml:space="preserve">dimensionless</w:t>
            </w:r>
          </w:p>
        </w:tc>
      </w:tr>
    </w:tbl>
    <w:p>
      <w:pPr>
        <w:pStyle w:val="BodyText"/>
      </w:pPr>
      <w:r>
        <w:t xml:space="preserve">These combine into sub-aggregates (e.g. </w:t>
      </w:r>
      <w:r>
        <w:rPr>
          <w:rStyle w:val="VerbatimChar"/>
        </w:rPr>
        <w:t xml:space="preserve">air.industrial_combustion_proxy</w:t>
      </w:r>
      <w:r>
        <w:t xml:space="preserve">,</w:t>
      </w:r>
      <w:r>
        <w:t xml:space="preserve"> </w:t>
      </w:r>
      <w:r>
        <w:rPr>
          <w:rStyle w:val="VerbatimChar"/>
        </w:rPr>
        <w:t xml:space="preserve">air.heavy_industry_score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air.pm_or_aerosol</w:t>
      </w:r>
      <w:r>
        <w:t xml:space="preserve">) and then pillar aggregates:</w:t>
      </w:r>
      <w:r>
        <w:t xml:space="preserve"> </w:t>
      </w:r>
      <w:r>
        <w:rPr>
          <w:rStyle w:val="VerbatimChar"/>
        </w:rPr>
        <w:t xml:space="preserve">air.pollution_proxy_score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air.spatiotemporal_anomaly_score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air.measurement_quality_score</w:t>
      </w:r>
      <w:r>
        <w:t xml:space="preserve">, and the headline</w:t>
      </w:r>
      <w:r>
        <w:t xml:space="preserve"> </w:t>
      </w:r>
      <w:r>
        <w:rPr>
          <w:rStyle w:val="VerbatimChar"/>
        </w:rPr>
        <w:t xml:space="preserve">air.audit_followup_priority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O₃ is capped at 0.5</w:t>
      </w:r>
      <w:r>
        <w:t xml:space="preserve"> </w:t>
      </w:r>
      <w:r>
        <w:t xml:space="preserve">by design — it is a context indicator, not a primary pollution-burden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PM₂.₅/PM₁₀ are modelled, not measured</w:t>
      </w:r>
      <w:r>
        <w:t xml:space="preserve"> </w:t>
      </w:r>
      <w:r>
        <w:t xml:space="preserve">(CAMS is a model output, ~44 km native resolution).</w:t>
      </w:r>
    </w:p>
    <w:bookmarkEnd w:id="13"/>
    <w:bookmarkStart w:id="14" w:name="X1adbeb7c689a5adfb446cc66538943ff1662c5f"/>
    <w:p>
      <w:pPr>
        <w:pStyle w:val="Heading4"/>
      </w:pPr>
      <w:r>
        <w:t xml:space="preserve">GHG pillar (</w:t>
      </w:r>
      <w:r>
        <w:rPr>
          <w:rStyle w:val="VerbatimChar"/>
        </w:rPr>
        <w:t xml:space="preserve">engine/ghg.py</w:t>
      </w:r>
      <w:r>
        <w:t xml:space="preserve">) — three indicators, three different grammars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Canonical ID</w:t>
            </w:r>
          </w:p>
        </w:tc>
        <w:tc>
          <w:tcPr/>
          <w:p>
            <w:pPr>
              <w:pStyle w:val="Compact"/>
            </w:pPr>
            <w:r>
              <w:t xml:space="preserve">Source dataset</w:t>
            </w:r>
          </w:p>
        </w:tc>
        <w:tc>
          <w:tcPr/>
          <w:p>
            <w:pPr>
              <w:pStyle w:val="Compact"/>
            </w:pPr>
            <w:r>
              <w:t xml:space="preserve">Measures</w:t>
            </w:r>
          </w:p>
        </w:tc>
        <w:tc>
          <w:tcPr/>
          <w:p>
            <w:pPr>
              <w:pStyle w:val="Compact"/>
            </w:pPr>
            <w:r>
              <w:t xml:space="preserve">Raw unit</w:t>
            </w:r>
          </w:p>
        </w:tc>
        <w:tc>
          <w:tcPr/>
          <w:p>
            <w:pPr>
              <w:pStyle w:val="Compact"/>
            </w:pPr>
            <w:r>
              <w:t xml:space="preserve">How scored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ghg.viirs.score</w:t>
            </w:r>
          </w:p>
        </w:tc>
        <w:tc>
          <w:tcPr/>
          <w:p>
            <w:pPr>
              <w:pStyle w:val="Compact"/>
            </w:pPr>
            <w:r>
              <w:t xml:space="preserve">VIIRS night-lights</w:t>
            </w:r>
            <w:r>
              <w:t xml:space="preserve"> </w:t>
            </w:r>
            <w:r>
              <w:rPr>
                <w:rStyle w:val="VerbatimChar"/>
              </w:rPr>
              <w:t xml:space="preserve">NASA/VIIRS/002/VNP46A2</w:t>
            </w:r>
          </w:p>
        </w:tc>
        <w:tc>
          <w:tcPr/>
          <w:p>
            <w:pPr>
              <w:pStyle w:val="Compact"/>
            </w:pPr>
            <w:r>
              <w:t xml:space="preserve">“Flaring”</w:t>
            </w:r>
            <w:r>
              <w:t xml:space="preserve">/intense-source brightness</w:t>
            </w:r>
          </w:p>
        </w:tc>
        <w:tc>
          <w:tcPr/>
          <w:p>
            <w:pPr>
              <w:pStyle w:val="Compact"/>
            </w:pPr>
            <w:r>
              <w:t xml:space="preserve">nW/cm²/sr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Absolute-anchor band</w:t>
            </w:r>
            <w:r>
              <w:t xml:space="preserve">: fraction of site pixels brighter than ~100 nW, saturating at 10% of pixels.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a z-score.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ghg.ch4.*</w:t>
            </w:r>
          </w:p>
        </w:tc>
        <w:tc>
          <w:tcPr/>
          <w:p>
            <w:pPr>
              <w:pStyle w:val="Compact"/>
            </w:pPr>
            <w:r>
              <w:t xml:space="preserve">Sentinel-5P</w:t>
            </w:r>
            <w:r>
              <w:t xml:space="preserve"> </w:t>
            </w:r>
            <w:r>
              <w:rPr>
                <w:rStyle w:val="VerbatimChar"/>
              </w:rPr>
              <w:t xml:space="preserve">…/L3_CH4</w:t>
            </w:r>
          </w:p>
        </w:tc>
        <w:tc>
          <w:tcPr/>
          <w:p>
            <w:pPr>
              <w:pStyle w:val="Compact"/>
            </w:pPr>
            <w:r>
              <w:t xml:space="preserve">Atmospheric methane column</w:t>
            </w:r>
          </w:p>
        </w:tc>
        <w:tc>
          <w:tcPr/>
          <w:p>
            <w:pPr>
              <w:pStyle w:val="Compact"/>
            </w:pPr>
            <w:r>
              <w:t xml:space="preserve">ppb</w:t>
            </w:r>
          </w:p>
        </w:tc>
        <w:tc>
          <w:tcPr/>
          <w:p>
            <w:pPr>
              <w:pStyle w:val="Compact"/>
            </w:pPr>
            <w:r>
              <w:t xml:space="preserve">z-score (but see</w:t>
            </w:r>
            <w:r>
              <w:t xml:space="preserve"> </w:t>
            </w:r>
            <w:r>
              <w:t xml:space="preserve">“inert”</w:t>
            </w:r>
            <w:r>
              <w:t xml:space="preserve"> </w:t>
            </w:r>
            <w:r>
              <w:t xml:space="preserve">note 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ghg.co2.*</w:t>
            </w:r>
          </w:p>
        </w:tc>
        <w:tc>
          <w:tcPr/>
          <w:p>
            <w:pPr>
              <w:pStyle w:val="Compact"/>
            </w:pPr>
            <w:r>
              <w:t xml:space="preserve">ODIAC fossil-CO₂</w:t>
            </w:r>
            <w:r>
              <w:t xml:space="preserve"> </w:t>
            </w:r>
            <w:r>
              <w:rPr>
                <w:rStyle w:val="VerbatimChar"/>
              </w:rPr>
              <w:t xml:space="preserve">projects/supply-chain-observatory/assets/odiac</w:t>
            </w:r>
          </w:p>
        </w:tc>
        <w:tc>
          <w:tcPr/>
          <w:p>
            <w:pPr>
              <w:pStyle w:val="Compact"/>
            </w:pPr>
            <w:r>
              <w:t xml:space="preserve">Fossil-fuel CO₂ emissions allocation</w:t>
            </w:r>
          </w:p>
        </w:tc>
        <w:tc>
          <w:tcPr/>
          <w:p>
            <w:pPr>
              <w:pStyle w:val="Compact"/>
            </w:pPr>
            <w:r>
              <w:t xml:space="preserve">t CO₂/yr</w:t>
            </w:r>
          </w:p>
        </w:tc>
        <w:tc>
          <w:tcPr/>
          <w:p>
            <w:pPr>
              <w:pStyle w:val="Compact"/>
            </w:pPr>
            <w:r>
              <w:t xml:space="preserve">log site-vs-ring ratio (but see</w:t>
            </w:r>
            <w:r>
              <w:t xml:space="preserve"> </w:t>
            </w:r>
            <w:r>
              <w:t xml:space="preserve">“demoted”</w:t>
            </w:r>
            <w:r>
              <w:t xml:space="preserve"> </w:t>
            </w:r>
            <w:r>
              <w:t xml:space="preserve">note below)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GHG composite (</w:t>
      </w:r>
      <w:r>
        <w:rPr>
          <w:rStyle w:val="VerbatimChar"/>
        </w:rPr>
        <w:t xml:space="preserve">ghg.core_audit_support</w:t>
      </w:r>
      <w:r>
        <w:t xml:space="preserve">) is built from just two terms:</w:t>
      </w:r>
      <w:r>
        <w:t xml:space="preserve"> </w:t>
      </w:r>
      <w:r>
        <w:rPr>
          <w:rStyle w:val="VerbatimChar"/>
        </w:rPr>
        <w:t xml:space="preserve">ghg.combustion_proxy</w:t>
      </w:r>
      <w:r>
        <w:t xml:space="preserve"> </w:t>
      </w:r>
      <w:r>
        <w:t xml:space="preserve">(borrowed from Air’s NO₂/CO signal, weight 0.60) and</w:t>
      </w:r>
      <w:r>
        <w:t xml:space="preserve"> </w:t>
      </w:r>
      <w:r>
        <w:rPr>
          <w:rStyle w:val="VerbatimChar"/>
        </w:rPr>
        <w:t xml:space="preserve">ghg.activity_score</w:t>
      </w:r>
      <w:r>
        <w:t xml:space="preserve"> </w:t>
      </w:r>
      <w:r>
        <w:t xml:space="preserve">(= VIIRS flaring, weight 0.40). Pillar aggregates:</w:t>
      </w:r>
      <w:r>
        <w:t xml:space="preserve"> </w:t>
      </w:r>
      <w:r>
        <w:rPr>
          <w:rStyle w:val="VerbatimChar"/>
        </w:rPr>
        <w:t xml:space="preserve">ghg.core_audit_support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ghg.data_quality_attribution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ghg.audit_followup_priority</w:t>
      </w:r>
      <w:r>
        <w:t xml:space="preserve">.</w:t>
      </w:r>
    </w:p>
    <w:bookmarkEnd w:id="14"/>
    <w:bookmarkStart w:id="15" w:name="natureland-pillar-enginenature.py"/>
    <w:p>
      <w:pPr>
        <w:pStyle w:val="Heading4"/>
      </w:pPr>
      <w:r>
        <w:t xml:space="preserve">Nature/Land pillar (</w:t>
      </w:r>
      <w:r>
        <w:rPr>
          <w:rStyle w:val="VerbatimChar"/>
        </w:rPr>
        <w:t xml:space="preserve">engine/nature.py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Canonical ID</w:t>
            </w:r>
          </w:p>
        </w:tc>
        <w:tc>
          <w:tcPr/>
          <w:p>
            <w:pPr>
              <w:pStyle w:val="Compact"/>
            </w:pPr>
            <w:r>
              <w:t xml:space="preserve">Source dataset</w:t>
            </w:r>
          </w:p>
        </w:tc>
        <w:tc>
          <w:tcPr/>
          <w:p>
            <w:pPr>
              <w:pStyle w:val="Compact"/>
            </w:pPr>
            <w:r>
              <w:t xml:space="preserve">Measures</w:t>
            </w:r>
          </w:p>
        </w:tc>
        <w:tc>
          <w:tcPr/>
          <w:p>
            <w:pPr>
              <w:pStyle w:val="Compact"/>
            </w:pPr>
            <w:r>
              <w:t xml:space="preserve">How scored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nature.kba.proximity_score</w:t>
            </w:r>
          </w:p>
        </w:tc>
        <w:tc>
          <w:tcPr/>
          <w:p>
            <w:pPr>
              <w:pStyle w:val="Compact"/>
            </w:pPr>
            <w:r>
              <w:t xml:space="preserve">KBA polygons</w:t>
            </w:r>
            <w:r>
              <w:t xml:space="preserve"> </w:t>
            </w:r>
            <w:r>
              <w:rPr>
                <w:rStyle w:val="VerbatimChar"/>
              </w:rPr>
              <w:t xml:space="preserve">…/assets/KBAsGlobal_2026_March_01_POL</w:t>
            </w:r>
          </w:p>
        </w:tc>
        <w:tc>
          <w:tcPr/>
          <w:p>
            <w:pPr>
              <w:pStyle w:val="Compact"/>
            </w:pPr>
            <w:r>
              <w:t xml:space="preserve">Proximity/overlap to Key Biodiversity Areas</w:t>
            </w:r>
          </w:p>
        </w:tc>
        <w:tc>
          <w:tcPr/>
          <w:p>
            <w:pPr>
              <w:pStyle w:val="Compact"/>
            </w:pPr>
            <w:r>
              <w:t xml:space="preserve">distance decay (</w:t>
            </w:r>
            <w:r>
              <w:rPr>
                <w:rStyle w:val="VerbatimChar"/>
              </w:rPr>
              <w:t xml:space="preserve">exp(-dist/10km)</w:t>
            </w:r>
            <w:r>
              <w:t xml:space="preserve">) or overlap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nature.dw.*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nature.sensitive_land_cover_presence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nature.water_or_flooded_veg_exposure</w:t>
            </w:r>
          </w:p>
        </w:tc>
        <w:tc>
          <w:tcPr/>
          <w:p>
            <w:pPr>
              <w:pStyle w:val="Compact"/>
            </w:pPr>
            <w:r>
              <w:t xml:space="preserve">Dynamic World</w:t>
            </w:r>
            <w:r>
              <w:t xml:space="preserve"> </w:t>
            </w:r>
            <w:r>
              <w:rPr>
                <w:rStyle w:val="VerbatimChar"/>
              </w:rPr>
              <w:t xml:space="preserve">GOOGLE/DYNAMICWORLD/V1</w:t>
            </w:r>
          </w:p>
        </w:tc>
        <w:tc>
          <w:tcPr/>
          <w:p>
            <w:pPr>
              <w:pStyle w:val="Compact"/>
            </w:pPr>
            <w:r>
              <w:t xml:space="preserve">90-day land-cover composition</w:t>
            </w:r>
          </w:p>
        </w:tc>
        <w:tc>
          <w:tcPr/>
          <w:p>
            <w:pPr>
              <w:pStyle w:val="Compact"/>
            </w:pPr>
            <w:r>
              <w:t xml:space="preserve">direct fractions / saturation clamps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nature.habitat.conversion_score</w:t>
            </w:r>
          </w:p>
        </w:tc>
        <w:tc>
          <w:tcPr/>
          <w:p>
            <w:pPr>
              <w:pStyle w:val="Compact"/>
            </w:pPr>
            <w:r>
              <w:t xml:space="preserve">Dynamic World</w:t>
            </w:r>
          </w:p>
        </w:tc>
        <w:tc>
          <w:tcPr/>
          <w:p>
            <w:pPr>
              <w:pStyle w:val="Compact"/>
            </w:pPr>
            <w:r>
              <w:t xml:space="preserve">Natural→non-natural land conversion vs baseline</w:t>
            </w:r>
          </w:p>
        </w:tc>
        <w:tc>
          <w:tcPr/>
          <w:p>
            <w:pPr>
              <w:pStyle w:val="Compact"/>
            </w:pPr>
            <w:r>
              <w:t xml:space="preserve">class-delta fractions, clamped at 10% 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nature.ndvi.score</w:t>
            </w:r>
          </w:p>
        </w:tc>
        <w:tc>
          <w:tcPr/>
          <w:p>
            <w:pPr>
              <w:pStyle w:val="Compact"/>
            </w:pPr>
            <w:r>
              <w:t xml:space="preserve">MODIS</w:t>
            </w:r>
            <w:r>
              <w:t xml:space="preserve"> </w:t>
            </w:r>
            <w:r>
              <w:rPr>
                <w:rStyle w:val="VerbatimChar"/>
              </w:rPr>
              <w:t xml:space="preserve">MODIS/061/MOD13Q1</w:t>
            </w:r>
          </w:p>
        </w:tc>
        <w:tc>
          <w:tcPr/>
          <w:p>
            <w:pPr>
              <w:pStyle w:val="Compact"/>
            </w:pPr>
            <w:r>
              <w:t xml:space="preserve">Vegetation greenness anomaly</w:t>
            </w:r>
          </w:p>
        </w:tc>
        <w:tc>
          <w:tcPr/>
          <w:p>
            <w:pPr>
              <w:pStyle w:val="Compact"/>
            </w:pPr>
            <w:r>
              <w:t xml:space="preserve">z-score (repeatable core), lower-is-worse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nature.forest_loss.*</w:t>
            </w:r>
          </w:p>
        </w:tc>
        <w:tc>
          <w:tcPr/>
          <w:p>
            <w:pPr>
              <w:pStyle w:val="Compact"/>
            </w:pPr>
            <w:r>
              <w:t xml:space="preserve">Hansen</w:t>
            </w:r>
            <w:r>
              <w:t xml:space="preserve"> </w:t>
            </w:r>
            <w:r>
              <w:rPr>
                <w:rStyle w:val="VerbatimChar"/>
              </w:rPr>
              <w:t xml:space="preserve">UMD/hansen/global_forest_change_2023_v1_11</w:t>
            </w:r>
          </w:p>
        </w:tc>
        <w:tc>
          <w:tcPr/>
          <w:p>
            <w:pPr>
              <w:pStyle w:val="Compact"/>
            </w:pPr>
            <w:r>
              <w:t xml:space="preserve">Cumulative forest loss</w:t>
            </w:r>
          </w:p>
        </w:tc>
        <w:tc>
          <w:tcPr/>
          <w:p>
            <w:pPr>
              <w:pStyle w:val="Compact"/>
            </w:pPr>
            <w:r>
              <w:t xml:space="preserve">raw area only (see</w:t>
            </w:r>
            <w:r>
              <w:t xml:space="preserve"> </w:t>
            </w:r>
            <w:r>
              <w:t xml:space="preserve">“demoted”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Sub-aggregates:</w:t>
      </w:r>
      <w:r>
        <w:t xml:space="preserve"> </w:t>
      </w:r>
      <w:r>
        <w:rPr>
          <w:rStyle w:val="VerbatimChar"/>
        </w:rPr>
        <w:t xml:space="preserve">nature.biodiversity_exposure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nature.habitat.conversion_score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nature.vegetation_condition</w:t>
      </w:r>
      <w:r>
        <w:t xml:space="preserve">. Pillar aggregates:</w:t>
      </w:r>
      <w:r>
        <w:t xml:space="preserve"> </w:t>
      </w:r>
      <w:r>
        <w:rPr>
          <w:rStyle w:val="VerbatimChar"/>
        </w:rPr>
        <w:t xml:space="preserve">nature.measurement_quality</w:t>
      </w:r>
      <w:r>
        <w:t xml:space="preserve">, headline</w:t>
      </w:r>
      <w:r>
        <w:t xml:space="preserve"> </w:t>
      </w:r>
      <w:r>
        <w:rPr>
          <w:rStyle w:val="VerbatimChar"/>
        </w:rPr>
        <w:t xml:space="preserve">nature.followup_priority</w:t>
      </w:r>
      <w:r>
        <w:t xml:space="preserve">.</w:t>
      </w:r>
    </w:p>
    <w:bookmarkEnd w:id="15"/>
    <w:bookmarkEnd w:id="16"/>
    <w:bookmarkStart w:id="17" w:name="X94ec83f96265830d751e6e71cfad98ea7ca9162"/>
    <w:p>
      <w:pPr>
        <w:pStyle w:val="Heading3"/>
      </w:pPr>
      <w:r>
        <w:t xml:space="preserve">3.2 How raw values become 0–1 scores (the</w:t>
      </w:r>
      <w:r>
        <w:t xml:space="preserve"> </w:t>
      </w:r>
      <w:r>
        <w:t xml:space="preserve">“repeatable core”</w:t>
      </w:r>
      <w:r>
        <w:t xml:space="preserve">)</w:t>
      </w:r>
    </w:p>
    <w:p>
      <w:pPr>
        <w:pStyle w:val="FirstParagraph"/>
      </w:pPr>
      <w:r>
        <w:t xml:space="preserve">Most indicators (all Air pollutants, NDVI) use the</w:t>
      </w:r>
      <w:r>
        <w:t xml:space="preserve"> </w:t>
      </w:r>
      <w:r>
        <w:rPr>
          <w:b/>
          <w:bCs/>
        </w:rPr>
        <w:t xml:space="preserve">site-vs-background anomaly method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engine/core/normalisation.py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engine/core/repeatable_core.py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score = clamp( (site − background_median) / (k · σ) , 0, 1 )     # higher-is-worse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k = 3</w:t>
      </w:r>
      <w:r>
        <w:t xml:space="preserve"> </w:t>
      </w:r>
      <w:r>
        <w:t xml:space="preserve">(a 3σ exceedance saturates the score to 1.0),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is the mean over a circular</w:t>
      </w:r>
      <w:r>
        <w:t xml:space="preserve"> </w:t>
      </w:r>
      <w:r>
        <w:rPr>
          <w:b/>
          <w:bCs/>
        </w:rPr>
        <w:t xml:space="preserve">site buffer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background_median</w:t>
      </w:r>
      <w:r>
        <w:t xml:space="preserve"> </w:t>
      </w:r>
      <w:r>
        <w:t xml:space="preserve">is the median over a surrounding</w:t>
      </w:r>
      <w:r>
        <w:t xml:space="preserve"> </w:t>
      </w:r>
      <w:r>
        <w:rPr>
          <w:b/>
          <w:bCs/>
        </w:rPr>
        <w:t xml:space="preserve">background ring</w:t>
      </w:r>
      <w:r>
        <w:t xml:space="preserve"> </w:t>
      </w:r>
      <w:r>
        <w:t xml:space="preserve">(annulus, default 5× the site radius, capped at 200 km, land-masked).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Important methodological detail (M-DIAG-A4):</w:t>
      </w:r>
      <w:r>
        <w:t xml:space="preserve"> </w:t>
      </w:r>
      <w:r>
        <w:t xml:space="preserve">the denominator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ring’s spatial spread. It is the</w:t>
      </w:r>
      <w:r>
        <w:t xml:space="preserve"> </w:t>
      </w:r>
      <w:r>
        <w:rPr>
          <w:b/>
          <w:bCs/>
        </w:rPr>
        <w:t xml:space="preserve">temporal</w:t>
      </w:r>
      <w:r>
        <w:t xml:space="preserve"> </w:t>
      </w:r>
      <w:r>
        <w:t xml:space="preserve">standard deviation of the site’s own day-by-day values over a trailing</w:t>
      </w:r>
      <w:r>
        <w:t xml:space="preserve"> </w:t>
      </w:r>
      <w:r>
        <w:t xml:space="preserve">“climatology”</w:t>
      </w:r>
      <w:r>
        <w:t xml:space="preserve"> </w:t>
      </w:r>
      <w:r>
        <w:t xml:space="preserve">baseline period before the analysis window. An earlier version used spatial spread and it inflated anomalies 2–14× too high; this was diagnosed and fixed. VIIRS is excluded from this (night-lights have near-zero temporal variance).</w:t>
      </w:r>
    </w:p>
    <w:p>
      <w:pPr>
        <w:pStyle w:val="Compact"/>
        <w:numPr>
          <w:ilvl w:val="0"/>
          <w:numId w:val="1004"/>
        </w:numPr>
      </w:pPr>
      <w:r>
        <w:t xml:space="preserve">The three non-repeatable-core scorers are deliberate exceptions: VIIRS (absolute anchor), ODIAC CO₂ (log ratio), KBA (distance decay).</w:t>
      </w:r>
    </w:p>
    <w:bookmarkEnd w:id="17"/>
    <w:bookmarkStart w:id="18" w:name="how-scores-aggregate"/>
    <w:p>
      <w:pPr>
        <w:pStyle w:val="Heading3"/>
      </w:pPr>
      <w:r>
        <w:t xml:space="preserve">3.3 How scores aggregate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Sub-aggregate / pillar scores</w:t>
      </w:r>
      <w:r>
        <w:t xml:space="preserve"> </w:t>
      </w:r>
      <w:r>
        <w:t xml:space="preserve">are fixed-weight sums of contributing scores (weights in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; each weight dict sums to 1.0). Missing inputs are dropped and the surviving weights renormalised (</w:t>
      </w:r>
      <w:r>
        <w:t xml:space="preserve">“survivor renormalise”</w:t>
      </w:r>
      <w:r>
        <w:t xml:space="preserve">) — there are no silent default substitutions.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Composite score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composite.overall_screening</w:t>
      </w:r>
      <w:r>
        <w:t xml:space="preserve">) = the</w:t>
      </w:r>
      <w:r>
        <w:t xml:space="preserve"> </w:t>
      </w:r>
      <w:r>
        <w:rPr>
          <w:b/>
          <w:bCs/>
        </w:rPr>
        <w:t xml:space="preserve">equal-weighted mean of the three pillar follow-up priorities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air.audit_followup_priority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ghg.audit_followup_priority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nature.followup_priority</w:t>
      </w:r>
      <w:r>
        <w:t xml:space="preserve">).</w:t>
      </w:r>
      <w:r>
        <w:t xml:space="preserve"> </w:t>
      </w:r>
      <w:r>
        <w:rPr>
          <w:b/>
          <w:bCs/>
        </w:rPr>
        <w:t xml:space="preserve">Strict-None:</w:t>
      </w:r>
      <w:r>
        <w:t xml:space="preserve"> </w:t>
      </w:r>
      <w:r>
        <w:t xml:space="preserve">if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pillar’s priority is missing, the composite 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(not a partial mean) — a deliberate fix so a single surviving pillar can’t masquerade as the whole-site score.</w:t>
      </w:r>
    </w:p>
    <w:p>
      <w:pPr>
        <w:pStyle w:val="Compact"/>
        <w:numPr>
          <w:ilvl w:val="0"/>
          <w:numId w:val="1005"/>
        </w:numPr>
      </w:pPr>
      <w:r>
        <w:t xml:space="preserve">The composite is therefore a</w:t>
      </w:r>
      <w:r>
        <w:t xml:space="preserve"> </w:t>
      </w:r>
      <w:r>
        <w:rPr>
          <w:b/>
          <w:bCs/>
        </w:rPr>
        <w:t xml:space="preserve">0–1</w:t>
      </w:r>
      <w:r>
        <w:rPr>
          <w:b/>
          <w:bCs/>
        </w:rPr>
        <w:t xml:space="preserve"> </w:t>
      </w:r>
      <w:r>
        <w:rPr>
          <w:b/>
          <w:bCs/>
        </w:rPr>
        <w:t xml:space="preserve">“audit follow-up priority”</w:t>
      </w:r>
      <w:r>
        <w:t xml:space="preserve"> </w:t>
      </w:r>
      <w:r>
        <w:t xml:space="preserve">number, where higher = more reason to look closely.</w:t>
      </w:r>
    </w:p>
    <w:bookmarkEnd w:id="18"/>
    <w:bookmarkStart w:id="19" w:name="scoring-bands-traffic-light"/>
    <w:p>
      <w:pPr>
        <w:pStyle w:val="Heading3"/>
      </w:pPr>
      <w:r>
        <w:t xml:space="preserve">3.4 Scoring bands (traffic light)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TRAFFIC_LIGHT_THRESHOLDS = (0.33, 0.66)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&lt; 0.33 → Green</w:t>
      </w:r>
      <w:r>
        <w:t xml:space="preserve"> </w:t>
      </w:r>
      <w:r>
        <w:t xml:space="preserve">(low concern)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0.33–0.66 → Amber</w:t>
      </w:r>
      <w:r>
        <w:t xml:space="preserve"> </w:t>
      </w:r>
      <w:r>
        <w:t xml:space="preserve">(moderate)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&gt; 0.66 → Red</w:t>
      </w:r>
      <w:r>
        <w:t xml:space="preserve"> </w:t>
      </w:r>
      <w:r>
        <w:t xml:space="preserve">(high concern)</w:t>
      </w:r>
    </w:p>
    <w:p>
      <w:pPr>
        <w:pStyle w:val="BodyText"/>
      </w:pPr>
      <w:r>
        <w:t xml:space="preserve">These are spec-mandated boundaries applied to the headline composite and to each pillar’s follow-up priority.</w:t>
      </w:r>
    </w:p>
    <w:bookmarkEnd w:id="19"/>
    <w:bookmarkStart w:id="20" w:name="the-confidence-model"/>
    <w:p>
      <w:pPr>
        <w:pStyle w:val="Heading3"/>
      </w:pPr>
      <w:r>
        <w:t xml:space="preserve">3.5 The confidence model</w:t>
      </w:r>
    </w:p>
    <w:p>
      <w:pPr>
        <w:pStyle w:val="FirstParagraph"/>
      </w:pPr>
      <w:r>
        <w:t xml:space="preserve">Separate from the risk score, every indicator gets a</w:t>
      </w:r>
      <w:r>
        <w:t xml:space="preserve"> </w:t>
      </w:r>
      <w:r>
        <w:rPr>
          <w:b/>
          <w:bCs/>
        </w:rPr>
        <w:t xml:space="preserve">0–1 confidence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engine/core/confidence.py</w:t>
      </w:r>
      <w:r>
        <w:t xml:space="preserve">), answering</w:t>
      </w:r>
      <w:r>
        <w:t xml:space="preserve"> </w:t>
      </w:r>
      <w:r>
        <w:t xml:space="preserve">“how well did the satellites observe this site?”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c_raw   = 0.30·QA + 0.30·N_valid + 0.25·anomaly_strength + 0.15·spatial_context</w:t>
      </w:r>
      <w:r>
        <w:br/>
      </w:r>
      <w:r>
        <w:rPr>
          <w:rStyle w:val="VerbatimChar"/>
        </w:rPr>
        <w:t xml:space="preserve">c_final = c_raw · column_to_surface_multiplier [· fallback penalties]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QA</w:t>
      </w:r>
      <w:r>
        <w:t xml:space="preserve"> </w:t>
      </w:r>
      <w:r>
        <w:t xml:space="preserve">— a per-indicator static quality default (e.g. NO₂ 0.90, SO₂ 0.75, CAMS PM 0.80).</w:t>
      </w:r>
      <w:r>
        <w:t xml:space="preserve"> </w:t>
      </w:r>
      <w:r>
        <w:rPr>
          <w:i/>
          <w:iCs/>
        </w:rPr>
        <w:t xml:space="preserve">Real per-image quality pass-rates are not yet plumbed in — this is a known Layer-B follow-up.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N_valid</w:t>
      </w:r>
      <w:r>
        <w:t xml:space="preserve"> </w:t>
      </w:r>
      <w:r>
        <w:t xml:space="preserve">— observations seen ÷ expected observations for the window (catches cloudy/sparse windows).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anomaly_strength</w:t>
      </w:r>
      <w:r>
        <w:t xml:space="preserve"> </w:t>
      </w:r>
      <w:r>
        <w:t xml:space="preserve">— the hotspot-frequency value; 1.0 for indicators with no anomaly concept.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spatial_context</w:t>
      </w:r>
      <w:r>
        <w:t xml:space="preserve"> </w:t>
      </w:r>
      <w:r>
        <w:t xml:space="preserve">— whether the site buffer covers ≥3 native pixels; penalises sub-pixel buffers.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column-to-surface multiplier</w:t>
      </w:r>
      <w:r>
        <w:t xml:space="preserve"> </w:t>
      </w:r>
      <w:r>
        <w:t xml:space="preserve">— penalises gases whose satellite</w:t>
      </w:r>
      <w:r>
        <w:t xml:space="preserve"> </w:t>
      </w:r>
      <w:r>
        <w:rPr>
          <w:i/>
          <w:iCs/>
        </w:rPr>
        <w:t xml:space="preserve">column</w:t>
      </w:r>
      <w:r>
        <w:t xml:space="preserve"> </w:t>
      </w:r>
      <w:r>
        <w:t xml:space="preserve">measurement is a weaker proxy for</w:t>
      </w:r>
      <w:r>
        <w:t xml:space="preserve"> </w:t>
      </w:r>
      <w:r>
        <w:rPr>
          <w:i/>
          <w:iCs/>
        </w:rPr>
        <w:t xml:space="preserve">ground-level</w:t>
      </w:r>
      <w:r>
        <w:t xml:space="preserve"> </w:t>
      </w:r>
      <w:r>
        <w:t xml:space="preserve">concentration (e.g. CH₄/CO down-weighted vs NO₂).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Fallback penalties</w:t>
      </w:r>
      <w:r>
        <w:t xml:space="preserve"> </w:t>
      </w:r>
      <w:r>
        <w:t xml:space="preserve">— if a</w:t>
      </w:r>
      <w:r>
        <w:t xml:space="preserve"> </w:t>
      </w:r>
      <w:r>
        <w:t xml:space="preserve">“same-period-previous-year”</w:t>
      </w:r>
      <w:r>
        <w:t xml:space="preserve"> </w:t>
      </w:r>
      <w:r>
        <w:t xml:space="preserve">or climatology fallback was used to recover missing data, confidence is multiplied by 0.60 / 0.75.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Strict-None:</w:t>
      </w:r>
      <w:r>
        <w:t xml:space="preserve"> </w:t>
      </w:r>
      <w:r>
        <w:t xml:space="preserve">any missing term collapses that indicator’s confidence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; pillars renormalise over survivors.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Composite confidence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 the three pillar confidence aggregates (strict-None). The most-poorly-observed pillar caps the headline confidence.</w:t>
      </w:r>
    </w:p>
    <w:p>
      <w:pPr>
        <w:pStyle w:val="FirstParagraph"/>
      </w:pPr>
      <w:r>
        <w:t xml:space="preserve">In the UI this is shown as a confidence dot, and below ~0.40 an indicator reads as</w:t>
      </w:r>
      <w:r>
        <w:t xml:space="preserve"> </w:t>
      </w:r>
      <w:r>
        <w:t xml:space="preserve">“Sparse”</w:t>
      </w:r>
      <w:r>
        <w:t xml:space="preserve">.</w:t>
      </w:r>
    </w:p>
    <w:bookmarkEnd w:id="20"/>
    <w:bookmarkStart w:id="21" w:name="indicators-that-are-defined-but-inert"/>
    <w:p>
      <w:pPr>
        <w:pStyle w:val="Heading3"/>
      </w:pPr>
      <w:r>
        <w:t xml:space="preserve">3.6 Indicators that are DEFINED but INERT</w:t>
      </w:r>
    </w:p>
    <w:p>
      <w:pPr>
        <w:pStyle w:val="FirstParagraph"/>
      </w:pPr>
      <w:r>
        <w:t xml:space="preserve">This is important for an honest report — several indicators exist in the schema and are computed/displayed but</w:t>
      </w:r>
      <w:r>
        <w:t xml:space="preserve"> </w:t>
      </w:r>
      <w:r>
        <w:rPr>
          <w:b/>
          <w:bCs/>
        </w:rPr>
        <w:t xml:space="preserve">do not influence any score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CH₄ (</w:t>
      </w:r>
      <w:r>
        <w:rPr>
          <w:rStyle w:val="VerbatimChar"/>
          <w:b/>
          <w:bCs/>
        </w:rPr>
        <w:t xml:space="preserve">ghg.ch4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reclassified as reference data (M-CH4-A1).</w:t>
      </w:r>
      <w:r>
        <w:t xml:space="preserve"> </w:t>
      </w:r>
      <w:r>
        <w:t xml:space="preserve">Still computed and shown on a reference card, but</w:t>
      </w:r>
      <w:r>
        <w:t xml:space="preserve"> </w:t>
      </w:r>
      <w:r>
        <w:rPr>
          <w:b/>
          <w:bCs/>
        </w:rPr>
        <w:t xml:space="preserve">nothing scored consumes it</w:t>
      </w:r>
      <w:r>
        <w:t xml:space="preserve">. Reason: validation against ODIAC/OCO showed the CH₄ anomaly proxy fired at only 1 of 25 test sites at 5 km, and 0 of 25 at 15 km — the TROPOMI ~7 km methane footprint is simply too coarse for a screening-size site. The scoring functions still exist in code but are no longer called.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ODIAC CO₂ (</w:t>
      </w:r>
      <w:r>
        <w:rPr>
          <w:rStyle w:val="VerbatimChar"/>
          <w:b/>
          <w:bCs/>
        </w:rPr>
        <w:t xml:space="preserve">ghg.co2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demoted from the live composite (M5.5b).</w:t>
      </w:r>
      <w:r>
        <w:t xml:space="preserve"> </w:t>
      </w:r>
      <w:r>
        <w:t xml:space="preserve">It only covers 2020–2023 (2+ year vintage lag), so a present-day screening can’t use it as a live signal. It still computes and displays as</w:t>
      </w:r>
      <w:r>
        <w:t xml:space="preserve"> </w:t>
      </w:r>
      <w:r>
        <w:t xml:space="preserve">“standing exposure”</w:t>
      </w:r>
      <w:r>
        <w:t xml:space="preserve"> </w:t>
      </w:r>
      <w:r>
        <w:t xml:space="preserve">context, but is outside the formula.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Hansen forest loss (</w:t>
      </w:r>
      <w:r>
        <w:rPr>
          <w:rStyle w:val="VerbatimChar"/>
          <w:b/>
          <w:bCs/>
        </w:rPr>
        <w:t xml:space="preserve">nature.forest_loss</w:t>
      </w:r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demoted to a reference layer.</w:t>
      </w:r>
      <w:r>
        <w:t xml:space="preserve"> </w:t>
      </w:r>
      <w:r>
        <w:t xml:space="preserve">Its</w:t>
      </w:r>
      <w:r>
        <w:t xml:space="preserve"> </w:t>
      </w:r>
      <w:r>
        <w:t xml:space="preserve">“cumulative loss since 2000”</w:t>
      </w:r>
      <w:r>
        <w:t xml:space="preserve"> </w:t>
      </w:r>
      <w:r>
        <w:t xml:space="preserve">framing breaks the live-window semantics of the other Dynamic-World-based nature terms. It survives as a reference card and as an input to</w:t>
      </w:r>
      <w:r>
        <w:t xml:space="preserve"> </w:t>
      </w:r>
      <w:r>
        <w:rPr>
          <w:rStyle w:val="VerbatimChar"/>
        </w:rPr>
        <w:t xml:space="preserve">regional_loss_evidence</w:t>
      </w:r>
      <w:r>
        <w:t xml:space="preserve"> </w:t>
      </w:r>
      <w:r>
        <w:t xml:space="preserve">(the ring-vs-site external-driver check), but its weight in the habitat composite was removed.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ghg.nearby_source_isolation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fixed 1.0 placeholder.</w:t>
      </w:r>
      <w:r>
        <w:t xml:space="preserve"> </w:t>
      </w:r>
      <w:r>
        <w:t xml:space="preserve">Emitted into the payload but removed from the data-quality aggregate (it was inflating it).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ghg.spatiotemporal_anomaly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ghg.trend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air.trend_score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retired.</w:t>
      </w:r>
      <w:r>
        <w:t xml:space="preserve"> </w:t>
      </w:r>
      <w:r>
        <w:t xml:space="preserve">After CH₄/VIIRS were re-framed, GHG has no anomaly source; trend is now a per-indicator drill-down only and never enters composite arithmetic.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nature.recovery.score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fixed 0.0 placeholder</w:t>
      </w:r>
      <w:r>
        <w:t xml:space="preserve"> </w:t>
      </w:r>
      <w:r>
        <w:t xml:space="preserve">(the FIRMS active-fire input it needs is deferred).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nature.cloud_observation_quality</w:t>
      </w:r>
      <w:r>
        <w:rPr>
          <w:b/>
          <w:bCs/>
        </w:rPr>
        <w:t xml:space="preserve"> </w:t>
      </w:r>
      <w:r>
        <w:rPr>
          <w:b/>
          <w:bCs/>
        </w:rPr>
        <w:t xml:space="preserve">(0.8)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nature.seasonal_comparability</w:t>
      </w:r>
      <w:r>
        <w:rPr>
          <w:b/>
          <w:bCs/>
        </w:rPr>
        <w:t xml:space="preserve"> </w:t>
      </w:r>
      <w:r>
        <w:rPr>
          <w:b/>
          <w:bCs/>
        </w:rPr>
        <w:t xml:space="preserve">(1.0)</w:t>
      </w:r>
      <w:r>
        <w:t xml:space="preserve"> </w:t>
      </w:r>
      <w:r>
        <w:t xml:space="preserve">— fixed placeholder quality sub-scores.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NDVI slope / negative-trend term</w:t>
      </w:r>
      <w:r>
        <w:t xml:space="preserve"> </w:t>
      </w:r>
      <w:r>
        <w:t xml:space="preserve">— demoted to drill-down-only; removed from the vegetation-condition score.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Attributability surfaces</w:t>
      </w:r>
      <w:r>
        <w:t xml:space="preserve"> </w:t>
      </w:r>
      <w:r>
        <w:t xml:space="preserve">(</w:t>
      </w:r>
      <w:r>
        <w:rPr>
          <w:rStyle w:val="VerbatimChar"/>
        </w:rPr>
        <w:t xml:space="preserve">nature.habitat.attributability_state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nature.supplier_spatial_link.*</w:t>
      </w:r>
      <w:r>
        <w:t xml:space="preserve">, VIIRS</w:t>
      </w:r>
      <w:r>
        <w:t xml:space="preserve"> </w:t>
      </w:r>
      <w:r>
        <w:rPr>
          <w:rStyle w:val="VerbatimChar"/>
        </w:rPr>
        <w:t xml:space="preserve">lit_contrast</w:t>
      </w:r>
      <w:r>
        <w:t xml:space="preserve"> </w:t>
      </w:r>
      <w:r>
        <w:t xml:space="preserve">percentile) and</w:t>
      </w:r>
      <w:r>
        <w:t xml:space="preserve"> </w:t>
      </w:r>
      <w:r>
        <w:rPr>
          <w:b/>
          <w:bCs/>
        </w:rPr>
        <w:t xml:space="preserve">wind attribution</w:t>
      </w:r>
      <w:r>
        <w:t xml:space="preserve"> </w:t>
      </w:r>
      <w:r>
        <w:t xml:space="preserve">— computed and shown as categorical context but</w:t>
      </w:r>
      <w:r>
        <w:t xml:space="preserve"> </w:t>
      </w:r>
      <w:r>
        <w:rPr>
          <w:b/>
          <w:bCs/>
        </w:rPr>
        <w:t xml:space="preserve">deliberately not in any composite or confidence score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air.attribution_confidence_score</w:t>
      </w:r>
      <w:r>
        <w:t xml:space="preserve"> </w:t>
      </w:r>
      <w:r>
        <w:t xml:space="preserve">— a deprecation alias duplicating</w:t>
      </w:r>
      <w:r>
        <w:t xml:space="preserve"> </w:t>
      </w:r>
      <w:r>
        <w:rPr>
          <w:rStyle w:val="VerbatimChar"/>
        </w:rPr>
        <w:t xml:space="preserve">air.measurement_quality_score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Reserved-but-never-computed:</w:t>
      </w:r>
      <w:r>
        <w:t xml:space="preserve"> </w:t>
      </w:r>
      <w:r>
        <w:t xml:space="preserve">sector tags, wind-consistency, sector-match, high-GWP-sector-risk, EVI, FIRMS fire, JRC surface water.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key-methodological-decisions"/>
    <w:p>
      <w:pPr>
        <w:pStyle w:val="Heading2"/>
      </w:pPr>
      <w:r>
        <w:t xml:space="preserve">4. Key methodological decisions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Site-vs-background anomaly approach.</w:t>
      </w:r>
      <w:r>
        <w:t xml:space="preserve"> </w:t>
      </w:r>
      <w:r>
        <w:rPr>
          <w:i/>
          <w:iCs/>
        </w:rPr>
        <w:t xml:space="preserve">Chosen:</w:t>
      </w:r>
      <w:r>
        <w:t xml:space="preserve"> </w:t>
      </w:r>
      <w:r>
        <w:t xml:space="preserve">score each indicator as how far the site sits above (or below) its</w:t>
      </w:r>
      <w:r>
        <w:t xml:space="preserve"> </w:t>
      </w:r>
      <w:r>
        <w:rPr>
          <w:i/>
          <w:iCs/>
        </w:rPr>
        <w:t xml:space="preserve">local</w:t>
      </w:r>
      <w:r>
        <w:t xml:space="preserve"> </w:t>
      </w:r>
      <w:r>
        <w:t xml:space="preserve">surroundings, measured in standard deviations, rather than against an absolute threshold. This makes the tool location-relative and comparable across very different regions.</w:t>
      </w:r>
      <w:r>
        <w:t xml:space="preserve"> </w:t>
      </w:r>
      <w:r>
        <w:rPr>
          <w:i/>
          <w:iCs/>
        </w:rPr>
        <w:t xml:space="preserve">Refined:</w:t>
      </w:r>
      <w:r>
        <w:t xml:space="preserve"> </w:t>
      </w:r>
      <w:r>
        <w:t xml:space="preserve">the denominator was switched from the ring’s</w:t>
      </w:r>
      <w:r>
        <w:t xml:space="preserve"> </w:t>
      </w:r>
      <w:r>
        <w:rPr>
          <w:i/>
          <w:iCs/>
        </w:rPr>
        <w:t xml:space="preserve">spatial</w:t>
      </w:r>
      <w:r>
        <w:t xml:space="preserve"> </w:t>
      </w:r>
      <w:r>
        <w:t xml:space="preserve">spread to the site’s</w:t>
      </w:r>
      <w:r>
        <w:t xml:space="preserve"> </w:t>
      </w:r>
      <w:r>
        <w:rPr>
          <w:i/>
          <w:iCs/>
        </w:rPr>
        <w:t xml:space="preserve">temporal</w:t>
      </w:r>
      <w:r>
        <w:t xml:space="preserve"> </w:t>
      </w:r>
      <w:r>
        <w:t xml:space="preserve">day-to-day spread after the spatial version was shown to inflate anomalies (M-DIAG-A4).</w:t>
      </w:r>
      <w:r>
        <w:t xml:space="preserve"> </w:t>
      </w:r>
      <w:r>
        <w:rPr>
          <w:i/>
          <w:iCs/>
        </w:rPr>
        <w:t xml:space="preserve">Rejected:</w:t>
      </w:r>
      <w:r>
        <w:t xml:space="preserve"> </w:t>
      </w:r>
      <w:r>
        <w:t xml:space="preserve">absolute fixed thresholds (except where physically necessary — VIIRS flaring, ODIAC).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GHG / VIIRS / ODIAC treatment.</w:t>
      </w:r>
      <w:r>
        <w:t xml:space="preserve"> </w:t>
      </w:r>
      <w:r>
        <w:rPr>
          <w:i/>
          <w:iCs/>
        </w:rPr>
        <w:t xml:space="preserve">Chosen:</w:t>
      </w:r>
      <w:r>
        <w:t xml:space="preserve"> </w:t>
      </w:r>
      <w:r>
        <w:t xml:space="preserve">lead the live GHG signal with VIIRS night-lights</w:t>
      </w:r>
      <w:r>
        <w:t xml:space="preserve"> </w:t>
      </w:r>
      <w:r>
        <w:t xml:space="preserve">“flaring”</w:t>
      </w:r>
      <w:r>
        <w:t xml:space="preserve"> </w:t>
      </w:r>
      <w:r>
        <w:t xml:space="preserve">(an absolute-anchored intense-source detector) plus a borrowed Air combustion proxy, validated against ODIAC (Spearman ρ ≈ 0.70).</w:t>
      </w:r>
      <w:r>
        <w:t xml:space="preserve"> </w:t>
      </w:r>
      <w:r>
        <w:rPr>
          <w:i/>
          <w:iCs/>
        </w:rPr>
        <w:t xml:space="preserve">Rejected:</w:t>
      </w:r>
      <w:r>
        <w:t xml:space="preserve"> </w:t>
      </w:r>
      <w:r>
        <w:t xml:space="preserve">(a) using CH₄ as a live scoring signal — footprint too coarse, reclassified to reference; (b) using ODIAC CO₂ in the live composite — vintage lag too large, demoted to context; (c) the earlier VIIRS</w:t>
      </w:r>
      <w:r>
        <w:t xml:space="preserve"> </w:t>
      </w:r>
      <w:r>
        <w:t xml:space="preserve">“sustained ring-contrast”</w:t>
      </w:r>
      <w:r>
        <w:t xml:space="preserve"> </w:t>
      </w:r>
      <w:r>
        <w:t xml:space="preserve">grammar — it couldn’t rank intensity (heavy and middling sources looked identical), replaced by the absolute anchor.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Trend engine.</w:t>
      </w:r>
      <w:r>
        <w:t xml:space="preserve"> </w:t>
      </w:r>
      <w:r>
        <w:rPr>
          <w:i/>
          <w:iCs/>
        </w:rPr>
        <w:t xml:space="preserve">Chosen:</w:t>
      </w:r>
      <w:r>
        <w:t xml:space="preserve"> </w:t>
      </w:r>
      <w:r>
        <w:t xml:space="preserve">trend (</w:t>
      </w:r>
      <w:r>
        <w:rPr>
          <w:rStyle w:val="VerbatimChar"/>
        </w:rPr>
        <w:t xml:space="preserve">engine/core/trend.py</w:t>
      </w:r>
      <w:r>
        <w:t xml:space="preserve">) is a</w:t>
      </w:r>
      <w:r>
        <w:t xml:space="preserve"> </w:t>
      </w:r>
      <w:r>
        <w:rPr>
          <w:b/>
          <w:bCs/>
        </w:rPr>
        <w:t xml:space="preserve">Theil–Sen slope + Mann–Kendall significance</w:t>
      </w:r>
      <w:r>
        <w:t xml:space="preserve"> </w:t>
      </w:r>
      <w:r>
        <w:t xml:space="preserve">test on a per-day site series, computed</w:t>
      </w:r>
      <w:r>
        <w:t xml:space="preserve"> </w:t>
      </w:r>
      <w:r>
        <w:rPr>
          <w:b/>
          <w:bCs/>
        </w:rPr>
        <w:t xml:space="preserve">on demand after a screening</w:t>
      </w:r>
      <w:r>
        <w:t xml:space="preserve">, for a</w:t>
      </w:r>
      <w:r>
        <w:t xml:space="preserve"> </w:t>
      </w:r>
      <w:r>
        <w:rPr>
          <w:b/>
          <w:bCs/>
        </w:rPr>
        <w:t xml:space="preserve">single indicator at a time</w:t>
      </w:r>
      <w:r>
        <w:t xml:space="preserve">.</w:t>
      </w:r>
      <w:r>
        <w:t xml:space="preserve"> </w:t>
      </w:r>
      <w:r>
        <w:rPr>
          <w:i/>
          <w:iCs/>
        </w:rPr>
        <w:t xml:space="preserve">Rejected:</w:t>
      </w:r>
      <w:r>
        <w:t xml:space="preserve"> </w:t>
      </w:r>
      <w:r>
        <w:t xml:space="preserve">aggregating trend across indicators or feeding it into the composite — trend is drill-down-only and never enters the headline score.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Wind attribution.</w:t>
      </w:r>
      <w:r>
        <w:t xml:space="preserve"> </w:t>
      </w:r>
      <w:r>
        <w:rPr>
          <w:i/>
          <w:iCs/>
        </w:rPr>
        <w:t xml:space="preserve">Status:</w:t>
      </w:r>
      <w:r>
        <w:t xml:space="preserve"> </w:t>
      </w:r>
      <w:r>
        <w:t xml:space="preserve">implemented (</w:t>
      </w:r>
      <w:r>
        <w:rPr>
          <w:rStyle w:val="VerbatimChar"/>
        </w:rPr>
        <w:t xml:space="preserve">engine/core/wind.py</w:t>
      </w:r>
      <w:r>
        <w:t xml:space="preserve">, M-WIND-A1 v2.0) as 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label (high/moderate/low/sparse) based on ERA5 wind speed and upwind/downwind ring asymmetry on anomaly days. It is</w:t>
      </w:r>
      <w:r>
        <w:t xml:space="preserve"> </w:t>
      </w:r>
      <w:r>
        <w:rPr>
          <w:b/>
          <w:bCs/>
        </w:rPr>
        <w:t xml:space="preserve">purely informational — it does not enter any score or confidence.</w:t>
      </w:r>
      <w:r>
        <w:t xml:space="preserve"> </w:t>
      </w:r>
      <w:r>
        <w:rPr>
          <w:i/>
          <w:iCs/>
        </w:rPr>
        <w:t xml:space="preserve">Honest caveat the code itself records:</w:t>
      </w:r>
      <w:r>
        <w:t xml:space="preserve"> </w:t>
      </w:r>
      <w:r>
        <w:t xml:space="preserve">across the five seeded demo sites essentially none land at</w:t>
      </w:r>
      <w:r>
        <w:t xml:space="preserve"> </w:t>
      </w:r>
      <w:r>
        <w:t xml:space="preserve">“low”</w:t>
      </w:r>
      <w:r>
        <w:t xml:space="preserve">, because of structural limits in the hotspot detector and ring geometry; a calibration sweep is deferred to v1.x. Treat the wind arrows as indicative only.</w:t>
      </w:r>
    </w:p>
    <w:p>
      <w:r>
        <w:pict>
          <v:rect style="width:0;height:1.5pt" o:hralign="center" o:hrstd="t" o:hr="t"/>
        </w:pict>
      </w:r>
    </w:p>
    <w:bookmarkEnd w:id="23"/>
    <w:bookmarkStart w:id="24" w:name="testing"/>
    <w:p>
      <w:pPr>
        <w:pStyle w:val="Heading2"/>
      </w:pPr>
      <w:r>
        <w:t xml:space="preserve">5. Testing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2,086 tests</w:t>
      </w:r>
      <w:r>
        <w:t xml:space="preserve"> </w:t>
      </w:r>
      <w:r>
        <w:t xml:space="preserve">collected across</w:t>
      </w:r>
      <w:r>
        <w:t xml:space="preserve"> </w:t>
      </w:r>
      <w:r>
        <w:rPr>
          <w:b/>
          <w:bCs/>
        </w:rPr>
        <w:t xml:space="preserve">98 test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</w:t>
      </w:r>
      <w:r>
        <w:t xml:space="preserve">). A full run with no Earth Engine credentials gives roughly</w:t>
      </w:r>
      <w:r>
        <w:t xml:space="preserve"> </w:t>
      </w:r>
      <w:r>
        <w:rPr>
          <w:b/>
          <w:bCs/>
        </w:rPr>
        <w:t xml:space="preserve">2,052 passed, 34 skipped, 0 failed</w:t>
      </w:r>
      <w:r>
        <w:t xml:space="preserve"> </w:t>
      </w:r>
      <w:r>
        <w:t xml:space="preserve">in ~12 seconds.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Almost everything is pure unit / synthetic-payload testing</w:t>
      </w:r>
      <w:r>
        <w:t xml:space="preserve"> </w:t>
      </w:r>
      <w:r>
        <w:t xml:space="preserve">(~2,050 tests): engine formulas (</w:t>
      </w:r>
      <w:r>
        <w:rPr>
          <w:rStyle w:val="VerbatimChar"/>
        </w:rPr>
        <w:t xml:space="preserve">test_air.py</w:t>
      </w:r>
      <w:r>
        <w:t xml:space="preserve"> </w:t>
      </w:r>
      <w:r>
        <w:t xml:space="preserve">95,</w:t>
      </w:r>
      <w:r>
        <w:t xml:space="preserve"> </w:t>
      </w:r>
      <w:r>
        <w:rPr>
          <w:rStyle w:val="VerbatimChar"/>
        </w:rPr>
        <w:t xml:space="preserve">test_ghg.py</w:t>
      </w:r>
      <w:r>
        <w:t xml:space="preserve"> </w:t>
      </w:r>
      <w:r>
        <w:t xml:space="preserve">76,</w:t>
      </w:r>
      <w:r>
        <w:t xml:space="preserve"> </w:t>
      </w:r>
      <w:r>
        <w:rPr>
          <w:rStyle w:val="VerbatimChar"/>
        </w:rPr>
        <w:t xml:space="preserve">test_nature.py</w:t>
      </w:r>
      <w:r>
        <w:t xml:space="preserve"> </w:t>
      </w:r>
      <w:r>
        <w:t xml:space="preserve">70, plus orchestrator, repeatable-core, normalisation, confidence, severity, trend, VIIRS, provenance, verbal-summary, fallback, etc.), UI-component render/state tests (the</w:t>
      </w:r>
      <w:r>
        <w:t xml:space="preserve"> </w:t>
      </w:r>
      <w:r>
        <w:rPr>
          <w:rStyle w:val="VerbatimChar"/>
        </w:rPr>
        <w:t xml:space="preserve">test_c4*</w:t>
      </w:r>
      <w:r>
        <w:t xml:space="preserve">/</w:t>
      </w:r>
      <w:r>
        <w:rPr>
          <w:rStyle w:val="VerbatimChar"/>
        </w:rPr>
        <w:t xml:space="preserve">test_c5*</w:t>
      </w:r>
      <w:r>
        <w:t xml:space="preserve">/</w:t>
      </w:r>
      <w:r>
        <w:rPr>
          <w:rStyle w:val="VerbatimChar"/>
        </w:rPr>
        <w:t xml:space="preserve">test_p02*</w:t>
      </w:r>
      <w:r>
        <w:t xml:space="preserve">…</w:t>
      </w:r>
      <w:r>
        <w:rPr>
          <w:rStyle w:val="VerbatimChar"/>
        </w:rPr>
        <w:t xml:space="preserve">test_p11*</w:t>
      </w:r>
      <w:r>
        <w:t xml:space="preserve"> </w:t>
      </w:r>
      <w:r>
        <w:t xml:space="preserve">families), and doc↔engine consistency guards (</w:t>
      </w:r>
      <w:r>
        <w:rPr>
          <w:rStyle w:val="VerbatimChar"/>
        </w:rPr>
        <w:t xml:space="preserve">test_doc_constants_sync.py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test_formula_keys_match_engine.py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Integration tests that hit Earth Engine</w:t>
      </w:r>
      <w:r>
        <w:t xml:space="preserve"> </w:t>
      </w:r>
      <w:r>
        <w:t xml:space="preserve">are the only ones needing network/credentials — 7 files,</w:t>
      </w:r>
      <w:r>
        <w:t xml:space="preserve"> </w:t>
      </w:r>
      <w:r>
        <w:rPr>
          <w:b/>
          <w:bCs/>
        </w:rPr>
        <w:t xml:space="preserve">auto-skipped</w:t>
      </w:r>
      <w:r>
        <w:t xml:space="preserve"> </w:t>
      </w:r>
      <w:r>
        <w:t xml:space="preserve">unless</w:t>
      </w:r>
      <w:r>
        <w:t xml:space="preserve"> </w:t>
      </w:r>
      <w:r>
        <w:rPr>
          <w:rStyle w:val="VerbatimChar"/>
        </w:rPr>
        <w:t xml:space="preserve">RUN_EE_TESTS=1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EE_PROJECT_ID</w:t>
      </w:r>
      <w:r>
        <w:t xml:space="preserve"> </w:t>
      </w:r>
      <w:r>
        <w:t xml:space="preserve">are set (these are the 34 skips). So the EE-dependent assertions are</w:t>
      </w:r>
      <w:r>
        <w:t xml:space="preserve"> </w:t>
      </w:r>
      <w:r>
        <w:rPr>
          <w:b/>
          <w:bCs/>
        </w:rPr>
        <w:t xml:space="preserve">effectively unverified in the default run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What’s NOT covered:</w:t>
      </w:r>
    </w:p>
    <w:p>
      <w:pPr>
        <w:pStyle w:val="Compact"/>
        <w:numPr>
          <w:ilvl w:val="1"/>
          <w:numId w:val="1010"/>
        </w:numPr>
      </w:pPr>
      <w:r>
        <w:t xml:space="preserve">The live Earth Engine path is only exercised when someone manually opts in; there’s no CI enforcement that it ever runs.</w:t>
      </w:r>
    </w:p>
    <w:p>
      <w:pPr>
        <w:pStyle w:val="Compact"/>
        <w:numPr>
          <w:ilvl w:val="1"/>
          <w:numId w:val="1010"/>
        </w:numPr>
      </w:pPr>
      <w:r>
        <w:t xml:space="preserve">Several UI components have no dedicated test:</w:t>
      </w:r>
      <w:r>
        <w:t xml:space="preserve"> </w:t>
      </w:r>
      <w:r>
        <w:rPr>
          <w:rStyle w:val="VerbatimChar"/>
        </w:rPr>
        <w:t xml:space="preserve">c3_summary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c7_verbal_summary</w:t>
      </w:r>
      <w:r>
        <w:t xml:space="preserve"> </w:t>
      </w:r>
      <w:r>
        <w:t xml:space="preserve">(the engine-side generator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tested, the UI wrapper isn’t),</w:t>
      </w:r>
      <w:r>
        <w:t xml:space="preserve"> </w:t>
      </w:r>
      <w:r>
        <w:rPr>
          <w:rStyle w:val="VerbatimChar"/>
        </w:rPr>
        <w:t xml:space="preserve">indicator_info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p02_preview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p03_hub</w:t>
      </w:r>
      <w:r>
        <w:t xml:space="preserve">,</w:t>
      </w:r>
      <w:r>
        <w:t xml:space="preserve"> </w:t>
      </w:r>
      <w:r>
        <w:rPr>
          <w:rStyle w:val="VerbatimChar"/>
        </w:rPr>
        <w:t xml:space="preserve">p08_renderer</w:t>
      </w:r>
      <w:r>
        <w:t xml:space="preserve">,</w:t>
      </w:r>
      <w:r>
        <w:t xml:space="preserve"> </w:t>
      </w:r>
      <w:r>
        <w:rPr>
          <w:rStyle w:val="VerbatimChar"/>
        </w:rPr>
        <w:t xml:space="preserve">trend_plot</w:t>
      </w:r>
      <w:r>
        <w:t xml:space="preserve">,</w:t>
      </w:r>
      <w:r>
        <w:t xml:space="preserve"> </w:t>
      </w:r>
      <w:r>
        <w:rPr>
          <w:rStyle w:val="VerbatimChar"/>
        </w:rPr>
        <w:t xml:space="preserve">trend_view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theme.py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tests/test_air_integration.py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broken empty stub</w:t>
      </w:r>
      <w:r>
        <w:t xml:space="preserve"> </w:t>
      </w:r>
      <w:r>
        <w:t xml:space="preserve">(its entire content is the character</w:t>
      </w:r>
      <w:r>
        <w:t xml:space="preserve"> </w:t>
      </w:r>
      <w:r>
        <w:rPr>
          <w:rStyle w:val="VerbatimChar"/>
        </w:rPr>
        <w:t xml:space="preserve">3</w:t>
      </w:r>
      <w:r>
        <w:t xml:space="preserve">) — collects zero tests. Should be deleted or implemented.</w:t>
      </w:r>
    </w:p>
    <w:p>
      <w:pPr>
        <w:pStyle w:val="Compact"/>
        <w:numPr>
          <w:ilvl w:val="1"/>
          <w:numId w:val="1010"/>
        </w:numPr>
      </w:pPr>
      <w:r>
        <w:t xml:space="preserve">The declared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 </w:t>
      </w:r>
      <w:r>
        <w:t xml:space="preserve">pytest marker is never actually applied, so</w:t>
      </w:r>
      <w:r>
        <w:t xml:space="preserve"> </w:t>
      </w:r>
      <w:r>
        <w:rPr>
          <w:rStyle w:val="VerbatimChar"/>
        </w:rPr>
        <w:t xml:space="preserve">pytest -m integration</w:t>
      </w:r>
      <w:r>
        <w:t xml:space="preserve"> </w:t>
      </w:r>
      <w:r>
        <w:t xml:space="preserve">selects nothing. There is no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pytest-timeout</w:t>
      </w:r>
      <w:r>
        <w:t xml:space="preserve"> </w:t>
      </w:r>
      <w:r>
        <w:t xml:space="preserve">is not installed.</w:t>
      </w:r>
    </w:p>
    <w:p>
      <w:r>
        <w:pict>
          <v:rect style="width:0;height:1.5pt" o:hralign="center" o:hrstd="t" o:hr="t"/>
        </w:pict>
      </w:r>
    </w:p>
    <w:bookmarkEnd w:id="24"/>
    <w:bookmarkStart w:id="25" w:name="honest-limitations"/>
    <w:p>
      <w:pPr>
        <w:pStyle w:val="Heading2"/>
      </w:pPr>
      <w:r>
        <w:t xml:space="preserve">6. Honest limitations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PM₂.₅/PM₁₀ are modelled, not measured.</w:t>
      </w:r>
      <w:r>
        <w:t xml:space="preserve"> </w:t>
      </w:r>
      <w:r>
        <w:t xml:space="preserve">They come from the CAMS atmospheric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at ~44 km resolution — far coarser than a supplier fenceline. Treat as regional context.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Satellite columns ≠ ground concentrations.</w:t>
      </w:r>
      <w:r>
        <w:t xml:space="preserve"> </w:t>
      </w:r>
      <w:r>
        <w:t xml:space="preserve">Sentinel-5P measures whole-atmosphere</w:t>
      </w:r>
      <w:r>
        <w:t xml:space="preserve"> </w:t>
      </w:r>
      <w:r>
        <w:rPr>
          <w:i/>
          <w:iCs/>
        </w:rPr>
        <w:t xml:space="preserve">columns</w:t>
      </w:r>
      <w:r>
        <w:t xml:space="preserve">; the tool uses them as proxies for surface pollution. The confidence model down-weights the weaker proxies (CH₄, CO), but the proxy assumption remains.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Static QA values.</w:t>
      </w:r>
      <w:r>
        <w:t xml:space="preserve"> </w:t>
      </w:r>
      <w:r>
        <w:t xml:space="preserve">The</w:t>
      </w:r>
      <w:r>
        <w:t xml:space="preserve"> </w:t>
      </w:r>
      <w:r>
        <w:t xml:space="preserve">“QA”</w:t>
      </w:r>
      <w:r>
        <w:t xml:space="preserve"> </w:t>
      </w:r>
      <w:r>
        <w:t xml:space="preserve">term in confidence is a per-indicator hand-set constant, not a real per-image quality pass-rate. Confidence is therefore approximate.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First-pass, uncalibrated thresholds.</w:t>
      </w:r>
      <w:r>
        <w:t xml:space="preserve"> </w:t>
      </w:r>
      <w:r>
        <w:t xml:space="preserve">Many saturation points and band cut-offs are explicitly marked</w:t>
      </w:r>
      <w:r>
        <w:t xml:space="preserve"> </w:t>
      </w:r>
      <w:r>
        <w:t xml:space="preserve">“first-pass / calibration pending”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: the 10% habitat-loss saturation, 20% water-exposure saturation, the KBA 10 km decay length, the VIIRS 100 nW flaring anchor, the wind speed/asymmetry breakpoints, the habitat-attributability distance bands. They are reasonable judgments, not empirically tuned.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lag and coverage.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ODIAC CO₂</w:t>
      </w:r>
      <w:r>
        <w:t xml:space="preserve"> </w:t>
      </w:r>
      <w:r>
        <w:t xml:space="preserve">lags ~2 years (covers 2020–2023) — the reason it was demoted from the live score.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Hansen forest loss</w:t>
      </w:r>
      <w:r>
        <w:t xml:space="preserve"> </w:t>
      </w:r>
      <w:r>
        <w:t xml:space="preserve">is annual and pinned to the</w:t>
      </w:r>
      <w:r>
        <w:t xml:space="preserve"> </w:t>
      </w:r>
      <w:r>
        <w:rPr>
          <w:b/>
          <w:bCs/>
        </w:rPr>
        <w:t xml:space="preserve">2023</w:t>
      </w:r>
      <w:r>
        <w:t xml:space="preserve"> </w:t>
      </w:r>
      <w:r>
        <w:t xml:space="preserve">vintage in code.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CH₄</w:t>
      </w:r>
      <w:r>
        <w:t xml:space="preserve"> </w:t>
      </w:r>
      <w:r>
        <w:t xml:space="preserve">footprint (~7 km) is too coarse for site-scale screening — the reason it’s reference-only.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MODIS NDVI</w:t>
      </w:r>
      <w:r>
        <w:t xml:space="preserve"> </w:t>
      </w:r>
      <w:r>
        <w:t xml:space="preserve">is a 16-day composite, so short windows see few observations.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Attribution caveats.</w:t>
      </w:r>
      <w:r>
        <w:t xml:space="preserve"> </w:t>
      </w:r>
      <w:r>
        <w:t xml:space="preserve">Both attribution surfaces are</w:t>
      </w:r>
      <w:r>
        <w:t xml:space="preserve"> </w:t>
      </w:r>
      <w:r>
        <w:rPr>
          <w:i/>
          <w:iCs/>
        </w:rPr>
        <w:t xml:space="preserve">indicative only</w:t>
      </w:r>
      <w:r>
        <w:t xml:space="preserve">. Habitat attributability is a simple distance-from-loss-centroid heuristic. Wind attribution rarely produces a</w:t>
      </w:r>
      <w:r>
        <w:t xml:space="preserve"> </w:t>
      </w:r>
      <w:r>
        <w:t xml:space="preserve">“low”</w:t>
      </w:r>
      <w:r>
        <w:t xml:space="preserve"> </w:t>
      </w:r>
      <w:r>
        <w:t xml:space="preserve">label on real sites (documented detector/geometry limitation). Neither affects the score — the tool flags</w:t>
      </w:r>
      <w:r>
        <w:t xml:space="preserve"> </w:t>
      </w:r>
      <w:r>
        <w:rPr>
          <w:i/>
          <w:iCs/>
        </w:rPr>
        <w:t xml:space="preserve">where to look</w:t>
      </w:r>
      <w:r>
        <w:t xml:space="preserve">, it does not prove a supplier</w:t>
      </w:r>
      <w:r>
        <w:t xml:space="preserve"> </w:t>
      </w:r>
      <w:r>
        <w:rPr>
          <w:i/>
          <w:iCs/>
        </w:rPr>
        <w:t xml:space="preserve">caused</w:t>
      </w:r>
      <w:r>
        <w:t xml:space="preserve"> </w:t>
      </w:r>
      <w:r>
        <w:t xml:space="preserve">an observed signal.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Coastal / sparse AOIs.</w:t>
      </w:r>
      <w:r>
        <w:t xml:space="preserve"> </w:t>
      </w:r>
      <w:r>
        <w:t xml:space="preserve">When the background ring lands mostly over water or has persistent cloud, indicators are skipped with a specific reason rather than guessed — good for honesty, but it means some sites return partial results.</w:t>
      </w:r>
    </w:p>
    <w:p>
      <w:r>
        <w:pict>
          <v:rect style="width:0;height:1.5pt" o:hralign="center" o:hrstd="t" o:hr="t"/>
        </w:pict>
      </w:r>
    </w:p>
    <w:bookmarkEnd w:id="25"/>
    <w:bookmarkStart w:id="26" w:name="known-gaps-future-work"/>
    <w:p>
      <w:pPr>
        <w:pStyle w:val="Heading2"/>
      </w:pPr>
      <w:r>
        <w:t xml:space="preserve">7. Known gaps / future work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P-07 country supplier-database mode</w:t>
      </w:r>
      <w:r>
        <w:t xml:space="preserve"> </w:t>
      </w:r>
      <w:r>
        <w:t xml:space="preserve">— stubbed,</w:t>
      </w:r>
      <w:r>
        <w:t xml:space="preserve"> </w:t>
      </w:r>
      <w:r>
        <w:t xml:space="preserve">“Coming in v1.x”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Real per-image QA pass-rates</w:t>
      </w:r>
      <w:r>
        <w:t xml:space="preserve"> </w:t>
      </w:r>
      <w:r>
        <w:t xml:space="preserve">into confidence (Layer B) — deferred.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Calibration sweep</w:t>
      </w:r>
      <w:r>
        <w:t xml:space="preserve"> </w:t>
      </w:r>
      <w:r>
        <w:t xml:space="preserve">of the first-pass thresholds (habitat attributability + wind jointly) — deferred to v1.x.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Wind-attribution detector rework</w:t>
      </w:r>
      <w:r>
        <w:t xml:space="preserve"> </w:t>
      </w:r>
      <w:r>
        <w:t xml:space="preserve">— the structural fix (temporal-std baseline, per-pollutant thresholds) is logged for v1.x.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FIRMS active-fire input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nature.recovery</w:t>
      </w:r>
      <w:r>
        <w:t xml:space="preserve"> </w:t>
      </w:r>
      <w:r>
        <w:t xml:space="preserve">and air fire detection — deferred (recovery score currently fixed at 0.0).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CH₄ / OCO-2/OCO-3 validation harness</w:t>
      </w:r>
      <w:r>
        <w:t xml:space="preserve"> </w:t>
      </w:r>
      <w:r>
        <w:t xml:space="preserve">(Part B via Earthdata</w:t>
      </w:r>
      <w:r>
        <w:t xml:space="preserve"> </w:t>
      </w:r>
      <w:r>
        <w:rPr>
          <w:rStyle w:val="VerbatimChar"/>
        </w:rPr>
        <w:t xml:space="preserve">earthaccess</w:t>
      </w:r>
      <w:r>
        <w:t xml:space="preserve">) — OCO is not in Earth Engine; needs Earthdata credentials. Deferred.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P-11 ESRS</w:t>
      </w:r>
      <w:r>
        <w:t xml:space="preserve"> </w:t>
      </w:r>
      <w:r>
        <w:t xml:space="preserve">per-indicator datapoint codes and policy/action/target sub-sections — intentionally out of scope for v1.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P-09</w:t>
      </w:r>
      <w:r>
        <w:t xml:space="preserve"> </w:t>
      </w:r>
      <w:r>
        <w:t xml:space="preserve">per-component weight display — deferred.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Deferred datasets not yet wired:</w:t>
      </w:r>
      <w:r>
        <w:t xml:space="preserve"> </w:t>
      </w:r>
      <w:r>
        <w:t xml:space="preserve">EVI, JRC Global Surface Water, EDGAR, Climate TRACE, Sentinel-2/Landsat, S5P near-real-time variants.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v1.x roadmap</w:t>
      </w:r>
      <w:r>
        <w:t xml:space="preserve"> </w:t>
      </w:r>
      <w:r>
        <w:t xml:space="preserve">(Tier A–F) lives in</w:t>
      </w:r>
      <w:r>
        <w:t xml:space="preserve"> </w:t>
      </w:r>
      <w:r>
        <w:rPr>
          <w:rStyle w:val="VerbatimChar"/>
        </w:rPr>
        <w:t xml:space="preserve">docs/Indicators_Audit_and_v1x_Roadmap.md</w:t>
      </w:r>
      <w:r>
        <w:t xml:space="preserve">, the designated authority for indicator decisions.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Cleanup:</w:t>
      </w:r>
      <w:r>
        <w:t xml:space="preserve"> </w:t>
      </w:r>
      <w:r>
        <w:t xml:space="preserve">delete the</w:t>
      </w:r>
      <w:r>
        <w:t xml:space="preserve"> </w:t>
      </w:r>
      <w:r>
        <w:rPr>
          <w:rStyle w:val="VerbatimChar"/>
        </w:rPr>
        <w:t xml:space="preserve">99_engine_scratch.py</w:t>
      </w:r>
      <w:r>
        <w:t xml:space="preserve"> </w:t>
      </w:r>
      <w:r>
        <w:t xml:space="preserve">dev page, the empty</w:t>
      </w:r>
      <w:r>
        <w:t xml:space="preserve"> </w:t>
      </w:r>
      <w:r>
        <w:rPr>
          <w:rStyle w:val="VerbatimChar"/>
        </w:rPr>
        <w:t xml:space="preserve">test_air_integration.py</w:t>
      </w:r>
      <w:r>
        <w:t xml:space="preserve">, and the dead</w:t>
      </w:r>
      <w:r>
        <w:t xml:space="preserve"> </w:t>
      </w:r>
      <w:r>
        <w:t xml:space="preserve">“Switch to Trend”</w:t>
      </w:r>
      <w:r>
        <w:t xml:space="preserve"> </w:t>
      </w:r>
      <w:r>
        <w:t xml:space="preserve">button.</w:t>
      </w:r>
    </w:p>
    <w:p>
      <w:r>
        <w:pict>
          <v:rect style="width:0;height:1.5pt" o:hralign="center" o:hrstd="t" o:hr="t"/>
        </w:pict>
      </w:r>
    </w:p>
    <w:bookmarkEnd w:id="26"/>
    <w:bookmarkStart w:id="27" w:name="Xfd237bd388eef6f4f21f0206b0ffe8b089ac67c"/>
    <w:p>
      <w:pPr>
        <w:pStyle w:val="Heading2"/>
      </w:pPr>
      <w:r>
        <w:t xml:space="preserve">8. Datasets (live data sources actually read by the engine)</w:t>
      </w:r>
    </w:p>
    <w:p>
      <w:pPr>
        <w:pStyle w:val="FirstParagraph"/>
      </w:pPr>
      <w:r>
        <w:t xml:space="preserve">Asset IDs are taken from the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(where the code and</w:t>
      </w:r>
      <w:r>
        <w:t xml:space="preserve"> </w:t>
      </w:r>
      <w:r>
        <w:rPr>
          <w:rStyle w:val="VerbatimChar"/>
        </w:rPr>
        <w:t xml:space="preserve">GEE_Database_List_v3</w:t>
      </w:r>
      <w:r>
        <w:t xml:space="preserve"> </w:t>
      </w:r>
      <w:r>
        <w:t xml:space="preserve">disagree, code wins — flagged).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 (asset ID in code)</w:t>
            </w:r>
          </w:p>
        </w:tc>
        <w:tc>
          <w:tcPr/>
          <w:p>
            <w:pPr>
              <w:pStyle w:val="Compact"/>
            </w:pPr>
            <w:r>
              <w:t xml:space="preserve">Pillar / use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Update cadence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COPERNICUS/S5P/OFFL/L3_NO2</w:t>
            </w:r>
            <w:r>
              <w:t xml:space="preserve"> </w:t>
            </w:r>
            <w:r>
              <w:t xml:space="preserve">(and SO2, CO, HCHO, O3, AER_AI)</w:t>
            </w:r>
          </w:p>
        </w:tc>
        <w:tc>
          <w:tcPr/>
          <w:p>
            <w:pPr>
              <w:pStyle w:val="Compact"/>
            </w:pPr>
            <w:r>
              <w:t xml:space="preserve">Air pollutants</w:t>
            </w:r>
          </w:p>
        </w:tc>
        <w:tc>
          <w:tcPr/>
          <w:p>
            <w:pPr>
              <w:pStyle w:val="Compact"/>
            </w:pPr>
            <w:r>
              <w:t xml:space="preserve">Copernicus / ESA (Sentinel-5P TROPOMI)</w:t>
            </w:r>
          </w:p>
        </w:tc>
        <w:tc>
          <w:tcPr/>
          <w:p>
            <w:pPr>
              <w:pStyle w:val="Compact"/>
            </w:pPr>
            <w:r>
              <w:t xml:space="preserve">~Daily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ECMWF/CAMS/NRT</w:t>
            </w:r>
          </w:p>
        </w:tc>
        <w:tc>
          <w:tcPr/>
          <w:p>
            <w:pPr>
              <w:pStyle w:val="Compact"/>
            </w:pPr>
            <w:r>
              <w:t xml:space="preserve">Air PM₂.₅ / PM₁₀</w:t>
            </w:r>
          </w:p>
        </w:tc>
        <w:tc>
          <w:tcPr/>
          <w:p>
            <w:pPr>
              <w:pStyle w:val="Compact"/>
            </w:pPr>
            <w:r>
              <w:t xml:space="preserve">ECMWF Copernicus Atmosphere (CAMS)</w:t>
            </w:r>
          </w:p>
        </w:tc>
        <w:tc>
          <w:tcPr/>
          <w:p>
            <w:pPr>
              <w:pStyle w:val="Compact"/>
            </w:pPr>
            <w:r>
              <w:t xml:space="preserve">Daily (modelled)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MODIS/061/MCD19A2_GRANULES</w:t>
            </w:r>
          </w:p>
        </w:tc>
        <w:tc>
          <w:tcPr/>
          <w:p>
            <w:pPr>
              <w:pStyle w:val="Compact"/>
            </w:pPr>
            <w:r>
              <w:t xml:space="preserve">Air AOD (MAIAC)</w:t>
            </w:r>
          </w:p>
        </w:tc>
        <w:tc>
          <w:tcPr/>
          <w:p>
            <w:pPr>
              <w:pStyle w:val="Compact"/>
            </w:pPr>
            <w:r>
              <w:t xml:space="preserve">NASA MODIS</w:t>
            </w:r>
          </w:p>
        </w:tc>
        <w:tc>
          <w:tcPr/>
          <w:p>
            <w:pPr>
              <w:pStyle w:val="Compact"/>
            </w:pPr>
            <w:r>
              <w:t xml:space="preserve">~Daily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COPERNICUS/S5P/OFFL/L3_CH4</w:t>
            </w:r>
          </w:p>
        </w:tc>
        <w:tc>
          <w:tcPr/>
          <w:p>
            <w:pPr>
              <w:pStyle w:val="Compact"/>
            </w:pPr>
            <w:r>
              <w:t xml:space="preserve">GHG methane (reference)</w:t>
            </w:r>
          </w:p>
        </w:tc>
        <w:tc>
          <w:tcPr/>
          <w:p>
            <w:pPr>
              <w:pStyle w:val="Compact"/>
            </w:pPr>
            <w:r>
              <w:t xml:space="preserve">Copernicus / ESA</w:t>
            </w:r>
          </w:p>
        </w:tc>
        <w:tc>
          <w:tcPr/>
          <w:p>
            <w:pPr>
              <w:pStyle w:val="Compact"/>
            </w:pPr>
            <w:r>
              <w:t xml:space="preserve">~Daily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NASA/VIIRS/002/VNP46A2</w:t>
            </w:r>
          </w:p>
        </w:tc>
        <w:tc>
          <w:tcPr/>
          <w:p>
            <w:pPr>
              <w:pStyle w:val="Compact"/>
            </w:pPr>
            <w:r>
              <w:t xml:space="preserve">GHG VIIRS night-lights</w:t>
            </w:r>
          </w:p>
        </w:tc>
        <w:tc>
          <w:tcPr/>
          <w:p>
            <w:pPr>
              <w:pStyle w:val="Compact"/>
            </w:pPr>
            <w:r>
              <w:t xml:space="preserve">NASA / NOAA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projects/supply-chain-observatory/assets/odiac</w:t>
            </w:r>
          </w:p>
        </w:tc>
        <w:tc>
          <w:tcPr/>
          <w:p>
            <w:pPr>
              <w:pStyle w:val="Compact"/>
            </w:pPr>
            <w:r>
              <w:t xml:space="preserve">GHG CO₂ (context)</w:t>
            </w:r>
          </w:p>
        </w:tc>
        <w:tc>
          <w:tcPr/>
          <w:p>
            <w:pPr>
              <w:pStyle w:val="Compact"/>
            </w:pPr>
            <w:r>
              <w:t xml:space="preserve">ODIAC / NIES Japan</w:t>
            </w:r>
          </w:p>
        </w:tc>
        <w:tc>
          <w:tcPr/>
          <w:p>
            <w:pPr>
              <w:pStyle w:val="Compact"/>
            </w:pPr>
            <w:r>
              <w:t xml:space="preserve">Annual, ~1+ yr lag (2020–2023)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GOOGLE/DYNAMICWORLD/V1</w:t>
            </w:r>
          </w:p>
        </w:tc>
        <w:tc>
          <w:tcPr/>
          <w:p>
            <w:pPr>
              <w:pStyle w:val="Compact"/>
            </w:pPr>
            <w:r>
              <w:t xml:space="preserve">Nature land cover / habitat / water</w:t>
            </w:r>
          </w:p>
        </w:tc>
        <w:tc>
          <w:tcPr/>
          <w:p>
            <w:pPr>
              <w:pStyle w:val="Compact"/>
            </w:pPr>
            <w:r>
              <w:t xml:space="preserve">Google + WRI</w:t>
            </w:r>
          </w:p>
        </w:tc>
        <w:tc>
          <w:tcPr/>
          <w:p>
            <w:pPr>
              <w:pStyle w:val="Compact"/>
            </w:pPr>
            <w:r>
              <w:t xml:space="preserve">Every 2–5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UMD/hansen/global_forest_change_2023_v1_11</w:t>
            </w:r>
          </w:p>
        </w:tc>
        <w:tc>
          <w:tcPr/>
          <w:p>
            <w:pPr>
              <w:pStyle w:val="Compact"/>
            </w:pPr>
            <w:r>
              <w:t xml:space="preserve">Nature forest loss (reference)</w:t>
            </w:r>
          </w:p>
        </w:tc>
        <w:tc>
          <w:tcPr/>
          <w:p>
            <w:pPr>
              <w:pStyle w:val="Compact"/>
            </w:pPr>
            <w:r>
              <w:t xml:space="preserve">UMD / Hansen et al.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MODIS/061/MOD13Q1</w:t>
            </w:r>
          </w:p>
        </w:tc>
        <w:tc>
          <w:tcPr/>
          <w:p>
            <w:pPr>
              <w:pStyle w:val="Compact"/>
            </w:pPr>
            <w:r>
              <w:t xml:space="preserve">Nature NDVI</w:t>
            </w:r>
          </w:p>
        </w:tc>
        <w:tc>
          <w:tcPr/>
          <w:p>
            <w:pPr>
              <w:pStyle w:val="Compact"/>
            </w:pPr>
            <w:r>
              <w:t xml:space="preserve">NASA MODIS</w:t>
            </w:r>
          </w:p>
        </w:tc>
        <w:tc>
          <w:tcPr/>
          <w:p>
            <w:pPr>
              <w:pStyle w:val="Compact"/>
            </w:pPr>
            <w:r>
              <w:t xml:space="preserve">16-day composite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…/assets/KBAsGlobal_2026_March_01_POL</w:t>
            </w:r>
          </w:p>
        </w:tc>
        <w:tc>
          <w:tcPr/>
          <w:p>
            <w:pPr>
              <w:pStyle w:val="Compact"/>
            </w:pPr>
            <w:r>
              <w:t xml:space="preserve">Nature KBA proximity</w:t>
            </w:r>
          </w:p>
        </w:tc>
        <w:tc>
          <w:tcPr/>
          <w:p>
            <w:pPr>
              <w:pStyle w:val="Compact"/>
            </w:pPr>
            <w:r>
              <w:t xml:space="preserve">BirdLife International</w:t>
            </w:r>
          </w:p>
        </w:tc>
        <w:tc>
          <w:tcPr/>
          <w:p>
            <w:pPr>
              <w:pStyle w:val="Compact"/>
            </w:pPr>
            <w:r>
              <w:t xml:space="preserve">~6-monthly snapshot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ECMWF/ERA5/HOURLY</w:t>
            </w:r>
          </w:p>
        </w:tc>
        <w:tc>
          <w:tcPr/>
          <w:p>
            <w:pPr>
              <w:pStyle w:val="Compact"/>
            </w:pPr>
            <w:r>
              <w:t xml:space="preserve">Wind attribution (categorical, not scored)</w:t>
            </w:r>
          </w:p>
        </w:tc>
        <w:tc>
          <w:tcPr/>
          <w:p>
            <w:pPr>
              <w:pStyle w:val="Compact"/>
            </w:pPr>
            <w:r>
              <w:t xml:space="preserve">ECMWF ERA5</w:t>
            </w:r>
          </w:p>
        </w:tc>
        <w:tc>
          <w:tcPr/>
          <w:p>
            <w:pPr>
              <w:pStyle w:val="Compact"/>
            </w:pPr>
            <w:r>
              <w:t xml:space="preserve">Hourly reanalysis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MODIS/006/MOD44W</w:t>
            </w:r>
          </w:p>
        </w:tc>
        <w:tc>
          <w:tcPr/>
          <w:p>
            <w:pPr>
              <w:pStyle w:val="Compact"/>
            </w:pPr>
            <w:r>
              <w:t xml:space="preserve">Internal land/water mask for the background ring</w:t>
            </w:r>
          </w:p>
        </w:tc>
        <w:tc>
          <w:tcPr/>
          <w:p>
            <w:pPr>
              <w:pStyle w:val="Compact"/>
            </w:pPr>
            <w:r>
              <w:t xml:space="preserve">NASA MODIS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FAO/GAUL/2015/level0</w:t>
            </w:r>
          </w:p>
        </w:tc>
        <w:tc>
          <w:tcPr/>
          <w:p>
            <w:pPr>
              <w:pStyle w:val="Compact"/>
            </w:pPr>
            <w:r>
              <w:t xml:space="preserve">Country lookup for climatology baseline</w:t>
            </w:r>
          </w:p>
        </w:tc>
        <w:tc>
          <w:tcPr/>
          <w:p>
            <w:pPr>
              <w:pStyle w:val="Compact"/>
            </w:pPr>
            <w:r>
              <w:t xml:space="preserve">FAO GAUL</w:t>
            </w:r>
          </w:p>
        </w:tc>
        <w:tc>
          <w:tcPr/>
          <w:p>
            <w:pPr>
              <w:pStyle w:val="Compact"/>
            </w:pPr>
            <w:r>
              <w:t xml:space="preserve">Static (2015)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Code-vs-doc disagreements found (code wins in each case):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CAMS band names</w:t>
      </w:r>
      <w:r>
        <w:t xml:space="preserve"> </w:t>
      </w:r>
      <w:r>
        <w:t xml:space="preserve">— code uses the renamed long band names (</w:t>
      </w:r>
      <w:r>
        <w:rPr>
          <w:rStyle w:val="VerbatimChar"/>
        </w:rPr>
        <w:t xml:space="preserve">particulate_matter_d_less_than_25_um_surface</w:t>
      </w:r>
      <w:r>
        <w:t xml:space="preserve">); the doc lists older/short forms.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ODIAC asset</w:t>
      </w:r>
      <w:r>
        <w:t xml:space="preserve"> </w:t>
      </w:r>
      <w:r>
        <w:t xml:space="preserve">— code points at the uploaded GSCO asset</w:t>
      </w:r>
      <w:r>
        <w:t xml:space="preserve"> </w:t>
      </w:r>
      <w:r>
        <w:rPr>
          <w:rStyle w:val="VerbatimChar"/>
        </w:rPr>
        <w:t xml:space="preserve">projects/supply-chain-observatory/assets/odiac</w:t>
      </w:r>
      <w:r>
        <w:t xml:space="preserve">; the doc suggests a catalogue path that doesn’t exist.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Hansen version</w:t>
      </w:r>
      <w:r>
        <w:t xml:space="preserve"> </w:t>
      </w:r>
      <w:r>
        <w:t xml:space="preserve">— code pins</w:t>
      </w:r>
      <w:r>
        <w:t xml:space="preserve"> </w:t>
      </w:r>
      <w:r>
        <w:rPr>
          <w:rStyle w:val="VerbatimChar"/>
        </w:rPr>
        <w:t xml:space="preserve">global_forest_change_2023_v1_11</w:t>
      </w:r>
      <w:r>
        <w:t xml:space="preserve">; the doc lists</w:t>
      </w:r>
      <w:r>
        <w:t xml:space="preserve"> </w:t>
      </w:r>
      <w:r>
        <w:rPr>
          <w:rStyle w:val="VerbatimChar"/>
        </w:rPr>
        <w:t xml:space="preserve">2024_v1_12 (or later)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KBA asset</w:t>
      </w:r>
      <w:r>
        <w:t xml:space="preserve"> </w:t>
      </w:r>
      <w:r>
        <w:t xml:space="preserve">— code uses the uploaded snapshot</w:t>
      </w:r>
      <w:r>
        <w:t xml:space="preserve"> </w:t>
      </w:r>
      <w:r>
        <w:rPr>
          <w:rStyle w:val="VerbatimChar"/>
        </w:rPr>
        <w:t xml:space="preserve">KBAsGlobal_2026_March_01_POL</w:t>
      </w:r>
      <w:r>
        <w:t xml:space="preserve">; the doc lists</w:t>
      </w:r>
      <w:r>
        <w:t xml:space="preserve"> </w:t>
      </w:r>
      <w:r>
        <w:rPr>
          <w:rStyle w:val="VerbatimChar"/>
        </w:rPr>
        <w:t xml:space="preserve">projects/ee-kbas-in-gee/assets/current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ERA5</w:t>
      </w:r>
      <w:r>
        <w:t xml:space="preserve"> </w:t>
      </w:r>
      <w:r>
        <w:t xml:space="preserve">— the doc lists ERA5 as</w:t>
      </w:r>
      <w:r>
        <w:t xml:space="preserve"> </w:t>
      </w:r>
      <w:r>
        <w:t xml:space="preserve">“considered but not included in v1”</w:t>
      </w:r>
      <w:r>
        <w:t xml:space="preserve">; the code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ECMWF/ERA5/HOURLY</w:t>
      </w:r>
      <w:r>
        <w:t xml:space="preserve"> </w:t>
      </w:r>
      <w:r>
        <w:t xml:space="preserve">in the wind path (chosen over ERA5-Land because the latter lacks boundary-layer height).</w:t>
      </w:r>
    </w:p>
    <w:p>
      <w:r>
        <w:pict>
          <v:rect style="width:0;height:1.5pt" o:hralign="center" o:hrstd="t" o:hr="t"/>
        </w:pict>
      </w:r>
    </w:p>
    <w:bookmarkEnd w:id="27"/>
    <w:bookmarkStart w:id="28" w:name="X912e190ef0274c9aa49216340244296fb23dc1c"/>
    <w:p>
      <w:pPr>
        <w:pStyle w:val="Heading2"/>
      </w:pPr>
      <w:r>
        <w:t xml:space="preserve">9. Open questions (genuinely ambiguous in the code — verify before stating in the report)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Composite when GHG is partly inert.</w:t>
      </w:r>
      <w:r>
        <w:t xml:space="preserve"> </w:t>
      </w:r>
      <w:r>
        <w:t xml:space="preserve">With CH₄ reference-only and ODIAC demoted, the live GHG follow-up priority rests on just VIIRS flaring + the borrowed Air combustion proxy. The composite weights all three pillars equally — it’s worth confirming with the team whether equal weighting is still intended now that GHG’s independent signal is so thin.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Which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EE_PROJECT_ID</w:t>
      </w:r>
      <w:r>
        <w:rPr>
          <w:b/>
          <w:bCs/>
        </w:rPr>
        <w:t xml:space="preserve"> </w:t>
      </w:r>
      <w:r>
        <w:rPr>
          <w:b/>
          <w:bCs/>
        </w:rPr>
        <w:t xml:space="preserve">is canonical.</w:t>
      </w:r>
      <w:r>
        <w:t xml:space="preserve"> </w:t>
      </w:r>
      <w:r>
        <w:t xml:space="preserve">The README says</w:t>
      </w:r>
      <w:r>
        <w:t xml:space="preserve"> </w:t>
      </w:r>
      <w:r>
        <w:t xml:space="preserve">“your own project ID”</w:t>
      </w:r>
      <w:r>
        <w:t xml:space="preserve">; project memory says the data assets live under</w:t>
      </w:r>
      <w:r>
        <w:t xml:space="preserve"> </w:t>
      </w:r>
      <w:r>
        <w:rPr>
          <w:rStyle w:val="VerbatimChar"/>
        </w:rPr>
        <w:t xml:space="preserve">supply-chain-observatory</w:t>
      </w:r>
      <w:r>
        <w:t xml:space="preserve">. A reader running the demo against a different project will silently fail to load ODIAC/KBA. Confirm the intended project.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docs/</w:t>
      </w:r>
      <w:r>
        <w:rPr>
          <w:b/>
          <w:bCs/>
        </w:rPr>
        <w:t xml:space="preserve"> </w:t>
      </w:r>
      <w:r>
        <w:rPr>
          <w:b/>
          <w:bCs/>
        </w:rPr>
        <w:t xml:space="preserve">was internally inconsistent — now reconciled (1 June 2026).</w:t>
      </w:r>
      <w:r>
        <w:t xml:space="preserve"> </w:t>
      </w:r>
      <w:r>
        <w:t xml:space="preserve">There is a</w:t>
      </w:r>
      <w:r>
        <w:t xml:space="preserve"> </w:t>
      </w:r>
      <w:r>
        <w:rPr>
          <w:rStyle w:val="VerbatimChar"/>
        </w:rPr>
        <w:t xml:space="preserve">v4</w:t>
      </w:r>
      <w:r>
        <w:t xml:space="preserve"> </w:t>
      </w:r>
      <w:r>
        <w:t xml:space="preserve">doc set, an authoritative</w:t>
      </w:r>
      <w:r>
        <w:t xml:space="preserve"> </w:t>
      </w:r>
      <w:r>
        <w:rPr>
          <w:rStyle w:val="VerbatimChar"/>
        </w:rPr>
        <w:t xml:space="preserve">Indicators_Audit_and_v1x_Roadmap.md</w:t>
      </w:r>
      <w:r>
        <w:t xml:space="preserve">, and ~40 milestone close-out notes. The frozen behaviour docs (</w:t>
      </w:r>
      <w:r>
        <w:rPr>
          <w:rStyle w:val="VerbatimChar"/>
        </w:rPr>
        <w:t xml:space="preserve">PLFS_v4</w:t>
      </w:r>
      <w:r>
        <w:t xml:space="preserve">,</w:t>
      </w:r>
      <w:r>
        <w:t xml:space="preserve"> </w:t>
      </w:r>
      <w:r>
        <w:rPr>
          <w:rStyle w:val="VerbatimChar"/>
        </w:rPr>
        <w:t xml:space="preserve">Wireframes_All_v4</w:t>
      </w:r>
      <w:r>
        <w:t xml:space="preserve">,</w:t>
      </w:r>
      <w:r>
        <w:t xml:space="preserve"> </w:t>
      </w:r>
      <w:r>
        <w:rPr>
          <w:rStyle w:val="VerbatimChar"/>
        </w:rPr>
        <w:t xml:space="preserve">Engine_Module_Skeleton_v1</w:t>
      </w:r>
      <w:r>
        <w:t xml:space="preserve">) had drifted from the code because the workflow froze docs while the engine evolved through milestones, with no write-back step. This has been addressed: each of the three now carries a dated</w:t>
      </w:r>
      <w:r>
        <w:t xml:space="preserve"> </w:t>
      </w:r>
      <w:r>
        <w:rPr>
          <w:b/>
          <w:bCs/>
        </w:rPr>
        <w:t xml:space="preserve">“Reconciliation banner — read first”</w:t>
      </w:r>
      <w:r>
        <w:t xml:space="preserve"> </w:t>
      </w:r>
      <w:r>
        <w:t xml:space="preserve">that re-anchors authority to v4/v2, lists every substantive behaviour delta with milestone attribution, and states</w:t>
      </w:r>
      <w:r>
        <w:t xml:space="preserve"> </w:t>
      </w:r>
      <w:r>
        <w:t xml:space="preserve">“the code wins”</w:t>
      </w:r>
      <w:r>
        <w:t xml:space="preserve">; the worst inline traps (GHG formula block, P-06 trend mode, composite helper, state contract, P-07 cap, Appendix C Sparse band, weight dicts, non-existent files) were fixed in place. The three browser-download</w:t>
      </w:r>
      <w:r>
        <w:t xml:space="preserve"> </w:t>
      </w:r>
      <w:r>
        <w:rPr>
          <w:rStyle w:val="VerbatimChar"/>
        </w:rPr>
        <w:t xml:space="preserve">(1)</w:t>
      </w:r>
      <w:r>
        <w:t xml:space="preserve"> </w:t>
      </w:r>
      <w:r>
        <w:t xml:space="preserve">filenames were renamed to the canonical names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expects. Stale page docstrings (P-03/04/05/11) and the README scope section were refreshed. The</w:t>
      </w:r>
      <w:r>
        <w:t xml:space="preserve"> </w:t>
      </w:r>
      <w:r>
        <w:rPr>
          <w:rStyle w:val="VerbatimChar"/>
        </w:rPr>
        <w:t xml:space="preserve">Indicators_Audit_and_v1x_Roadmap.md</w:t>
      </w:r>
      <w:r>
        <w:t xml:space="preserve"> </w:t>
      </w:r>
      <w:r>
        <w:t xml:space="preserve">was deliberately left untouched (it is the designated authority and already current).</w:t>
      </w:r>
      <w:r>
        <w:t xml:space="preserve"> </w:t>
      </w:r>
      <w:r>
        <w:rPr>
          <w:b/>
          <w:bCs/>
        </w:rPr>
        <w:t xml:space="preserve">Still true:</w:t>
      </w:r>
      <w:r>
        <w:t xml:space="preserve"> </w:t>
      </w:r>
      <w:r>
        <w:t xml:space="preserve">the audit doc + code remain ground truth; the milestone close-out notes are an append-only history, not a substitute for the canonical docs.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CAMS resolution vs buffer size.</w:t>
      </w:r>
      <w:r>
        <w:t xml:space="preserve"> </w:t>
      </w:r>
      <w:r>
        <w:t xml:space="preserve">PM is read at ~44 km native pixel but applied to fenceline-scale buffers (often 5 km). The spatial-context confidence term should be flagging this; confirm it produces the intended low-confidence behaviour in practice (vs being masked by the static QA value).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Wind</w:t>
      </w:r>
      <w:r>
        <w:rPr>
          <w:b/>
          <w:bCs/>
        </w:rPr>
        <w:t xml:space="preserve"> </w:t>
      </w:r>
      <w:r>
        <w:rPr>
          <w:b/>
          <w:bCs/>
        </w:rPr>
        <w:t xml:space="preserve">“low”</w:t>
      </w:r>
      <w:r>
        <w:rPr>
          <w:b/>
          <w:bCs/>
        </w:rPr>
        <w:t xml:space="preserve"> </w:t>
      </w:r>
      <w:r>
        <w:rPr>
          <w:b/>
          <w:bCs/>
        </w:rPr>
        <w:t xml:space="preserve">never firing.</w:t>
      </w:r>
      <w:r>
        <w:t xml:space="preserve"> </w:t>
      </w:r>
      <w:r>
        <w:t xml:space="preserve">The code comments document that no seeded site reaches</w:t>
      </w:r>
      <w:r>
        <w:t xml:space="preserve"> </w:t>
      </w:r>
      <w:r>
        <w:rPr>
          <w:rStyle w:val="VerbatimChar"/>
        </w:rPr>
        <w:t xml:space="preserve">state="low"</w:t>
      </w:r>
      <w:r>
        <w:t xml:space="preserve">. Whether this should be presented as a limitation or simply omitted from the report is a judgment call for the team.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2026-06-01T20:40:20Z</dcterms:created>
  <dcterms:modified xsi:type="dcterms:W3CDTF">2026-06-01T20:40:20Z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