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78.png" ContentType="image/png"/>
  <Override PartName="/word/media/rId22.png" ContentType="image/png"/>
  <Override PartName="/word/media/rId17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6" w:name="X32a1dd76463ea2daebb7a452637a401437e96c8"/>
    <w:p>
      <w:pPr>
        <w:pStyle w:val="Heading1"/>
      </w:pPr>
      <w:r>
        <w:t xml:space="preserve">GHG ↔ ODIAC + OCO-2/OCO-3 — Empirical Validation Report</w:t>
      </w:r>
    </w:p>
    <w:p>
      <w:pPr>
        <w:pStyle w:val="FirstParagraph"/>
      </w:pPr>
      <w:r>
        <w:rPr>
          <w:i/>
          <w:iCs/>
        </w:rPr>
        <w:t xml:space="preserve">Investigation milestone. Status: DRAFT (Steps A–H complete; Response B AOI-widening follow-up added as §10; pending operator review of §9).</w:t>
      </w:r>
      <w:r>
        <w:t xml:space="preserve"> </w:t>
      </w:r>
      <w:r>
        <w:rPr>
          <w:i/>
          <w:iCs/>
        </w:rPr>
        <w:t xml:space="preserve">Date authored: 30 May 2026 (Response B §10 appended same day).</w:t>
      </w:r>
      <w:r>
        <w:t xml:space="preserve"> </w:t>
      </w:r>
      <w:r>
        <w:rPr>
          <w:i/>
          <w:iCs/>
        </w:rPr>
        <w:t xml:space="preserve">Authority pointer: GHG↔ODIAC+OCO-2/OCO-3 Validation brief (operator-side, 30 May 2026).</w:t>
      </w:r>
      <w:r>
        <w:t xml:space="preserve"> </w:t>
      </w:r>
      <w:r>
        <w:rPr>
          <w:i/>
          <w:iCs/>
        </w:rPr>
        <w:t xml:space="preserve">Scope guard: empirical validation only. No engine code, thresholds, score logic, or seeds were changed. Analysis artefacts live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analysis/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</w:t>
      </w:r>
      <w:r>
        <w:rPr>
          <w:i/>
          <w:iCs/>
        </w:rPr>
        <w:t xml:space="preserve">, never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engine/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ui/</w:t>
      </w:r>
      <w:r>
        <w:rPr>
          <w:i/>
          <w:iCs/>
        </w:rPr>
        <w:t xml:space="preserve">.</w:t>
      </w:r>
      <w:r>
        <w:t xml:space="preserve"> </w:t>
      </w:r>
      <w:r>
        <w:rPr>
          <w:i/>
          <w:iCs/>
        </w:rPr>
        <w:t xml:space="preserve">Supporting evidence: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analysis/ghg_odiac_validation.ipynb</w:t>
      </w:r>
      <w:r>
        <w:rPr>
          <w:i/>
          <w:iCs/>
        </w:rPr>
        <w:t xml:space="preserve"> </w:t>
      </w:r>
      <w:r>
        <w:rPr>
          <w:i/>
          <w:iCs/>
        </w:rPr>
        <w:t xml:space="preserve">(executed),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analysis/ghg_odiac_validation.csv</w:t>
      </w:r>
      <w:r>
        <w:rPr>
          <w:i/>
          <w:iCs/>
        </w:rPr>
        <w:t xml:space="preserve"> </w:t>
      </w:r>
      <w:r>
        <w:rPr>
          <w:i/>
          <w:iCs/>
        </w:rPr>
        <w:t xml:space="preserve">(the data table),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analysis/plots/*.png</w:t>
      </w:r>
      <w:r>
        <w:rPr>
          <w:i/>
          <w:iCs/>
        </w:rPr>
        <w:t xml:space="preserve"> </w:t>
      </w:r>
      <w:r>
        <w:rPr>
          <w:i/>
          <w:iCs/>
        </w:rPr>
        <w:t xml:space="preserve">(the seven figures).</w:t>
      </w:r>
    </w:p>
    <w:p>
      <w:r>
        <w:pict>
          <v:rect style="width:0;height:1.5pt" o:hralign="center" o:hrstd="t" o:hr="t"/>
        </w:pict>
      </w:r>
    </w:p>
    <w:bookmarkStart w:id="34" w:name="summary"/>
    <w:p>
      <w:pPr>
        <w:pStyle w:val="Heading2"/>
      </w:pPr>
      <w:r>
        <w:t xml:space="preserve">§1. Summary</w:t>
      </w:r>
    </w:p>
    <w:p>
      <w:pPr>
        <w:pStyle w:val="FirstParagraph"/>
      </w:pPr>
      <w:r>
        <w:t xml:space="preserve">The GHG pillar’s</w:t>
      </w:r>
      <w:r>
        <w:t xml:space="preserve"> </w:t>
      </w:r>
      <w:r>
        <w:rPr>
          <w:b/>
          <w:bCs/>
        </w:rPr>
        <w:t xml:space="preserve">VIIRS activity proxy is validated; its CH₄ anomaly-z proxy is not.</w:t>
      </w:r>
      <w:r>
        <w:t xml:space="preserve"> </w:t>
      </w:r>
      <w:r>
        <w:t xml:space="preserve">Across 25 stratified locations, VIIRS nightlights track ODIAC fossil-CO₂ emissions with a moderate-to-good rank correlation (Spearman</w:t>
      </w:r>
      <w:r>
        <w:t xml:space="preserve"> </w:t>
      </w:r>
      <w:r>
        <w:rPr>
          <w:b/>
          <w:bCs/>
        </w:rPr>
        <w:t xml:space="preserve">0.70</w:t>
      </w:r>
      <w:r>
        <w:t xml:space="preserve"> </w:t>
      </w:r>
      <w:r>
        <w:t xml:space="preserve">overall, n=25) — the two industrial-activity signals agree, as a working proxy should. The CH₄ anomaly z-score, by contrast, shows</w:t>
      </w:r>
      <w:r>
        <w:t xml:space="preserve"> </w:t>
      </w:r>
      <w:r>
        <w:rPr>
          <w:b/>
          <w:bCs/>
        </w:rPr>
        <w:t xml:space="preserve">no relationship to ODIAC</w:t>
      </w:r>
      <w:r>
        <w:t xml:space="preserve"> </w:t>
      </w:r>
      <w:r>
        <w:t xml:space="preserve">(Pearson −0.00, Spearman −0.01, n=23) and — the headline gap —</w:t>
      </w:r>
      <w:r>
        <w:t xml:space="preserve"> </w:t>
      </w:r>
      <w:r>
        <w:rPr>
          <w:b/>
          <w:bCs/>
        </w:rPr>
        <w:t xml:space="preserve">fired its z&gt;1.5 threshold at only 1 of 25 sites (Mpumalanga, coal), missing every oil/gas site and every landfill</w:t>
      </w:r>
      <w:r>
        <w:t xml:space="preserve">, the two regimes it is meant to detect. Landfills, the most CH₄-diagnostic regime in the design, sit low on the CH₄ axis: at the 5 km screening radius, Sentinel-5P TROPOMI’s ~7 km native CH₄ footprint and the site-minus-background construction wash the point-source plume into the local background.</w:t>
      </w:r>
    </w:p>
    <w:p>
      <w:pPr>
        <w:pStyle w:val="BodyText"/>
      </w:pPr>
      <w:r>
        <w:t xml:space="preserve">Against atmospheric CO₂ (OCO-2/OCO-3 XCO₂), the picture is the one atmospheric transport predicts:</w:t>
      </w:r>
      <w:r>
        <w:t xml:space="preserve"> </w:t>
      </w:r>
      <w:r>
        <w:rPr>
          <w:b/>
          <w:bCs/>
        </w:rPr>
        <w:t xml:space="preserve">XCO₂ column enhancement does not track the activity proxy in general</w:t>
      </w:r>
      <w:r>
        <w:t xml:space="preserve"> </w:t>
      </w:r>
      <w:r>
        <w:t xml:space="preserve">(overall |Spearman| ≤ 0.17) — local emissions rarely produce a clean local column signal because the column is dominated by well-mixed background and is smeared by wind. The</w:t>
      </w:r>
      <w:r>
        <w:t xml:space="preserve"> </w:t>
      </w:r>
      <w:r>
        <w:rPr>
          <w:b/>
          <w:bCs/>
        </w:rPr>
        <w:t xml:space="preserve">one regime where it does work is coal-fired power</w:t>
      </w:r>
      <w:r>
        <w:t xml:space="preserve">, the cleanest fossil-CO₂ point sources, where both VIIRS (Spearman</w:t>
      </w:r>
      <w:r>
        <w:t xml:space="preserve"> </w:t>
      </w:r>
      <w:r>
        <w:rPr>
          <w:b/>
          <w:bCs/>
        </w:rPr>
        <w:t xml:space="preserve">1.0</w:t>
      </w:r>
      <w:r>
        <w:t xml:space="preserve">) and raw CH₄ concentration (Spearman</w:t>
      </w:r>
      <w:r>
        <w:t xml:space="preserve"> </w:t>
      </w:r>
      <w:r>
        <w:rPr>
          <w:b/>
          <w:bCs/>
        </w:rPr>
        <w:t xml:space="preserve">0.8</w:t>
      </w:r>
      <w:r>
        <w:t xml:space="preserve">) track the AOI-vs-background XCO₂ delta. Oil/gas and landfills correctly show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XCO₂ tracking — consistent with them being CH₄, not CO₂, emitters.</w:t>
      </w:r>
    </w:p>
    <w:p>
      <w:pPr>
        <w:pStyle w:val="BodyText"/>
      </w:pPr>
      <w:r>
        <w:rPr>
          <w:b/>
          <w:bCs/>
        </w:rPr>
        <w:t xml:space="preserve">The headline number for</w:t>
      </w:r>
      <w:r>
        <w:rPr>
          <w:b/>
          <w:bCs/>
        </w:rPr>
        <w:t xml:space="preserve"> </w:t>
      </w:r>
      <w:r>
        <w:rPr>
          <w:b/>
          <w:bCs/>
        </w:rPr>
        <w:t xml:space="preserve">“does it work”</w:t>
      </w:r>
      <w:r>
        <w:rPr>
          <w:b/>
          <w:bCs/>
        </w:rPr>
        <w:t xml:space="preserve">:</w:t>
      </w:r>
      <w:r>
        <w:t xml:space="preserve"> </w:t>
      </w:r>
      <w:r>
        <w:t xml:space="preserve">VIIRS↔ODIAC Spearman 0.70 (activity proxy validated); CH₄-z↔ODIAC ≈ 0 with a 1/25 firing rate (CH₄ proxy gap confirmed); XCO₂ agreement confined to the coal regime (transport-limited elsewhere). The proxy captures</w:t>
      </w:r>
      <w:r>
        <w:t xml:space="preserve"> </w:t>
      </w:r>
      <w:r>
        <w:rPr>
          <w:b/>
          <w:bCs/>
        </w:rPr>
        <w:t xml:space="preserve">industrial activity</w:t>
      </w:r>
      <w:r>
        <w:t xml:space="preserve"> </w:t>
      </w:r>
      <w:r>
        <w:t xml:space="preserve">well through VIIRS and captures</w:t>
      </w:r>
      <w:r>
        <w:t xml:space="preserve"> </w:t>
      </w:r>
      <w:r>
        <w:rPr>
          <w:b/>
          <w:bCs/>
        </w:rPr>
        <w:t xml:space="preserve">fossil-CO₂ point sources</w:t>
      </w:r>
      <w:r>
        <w:t xml:space="preserve"> </w:t>
      </w:r>
      <w:r>
        <w:t xml:space="preserve">where ODIAC and XCO₂ agree; it</w:t>
      </w:r>
      <w:r>
        <w:t xml:space="preserve"> </w:t>
      </w:r>
      <w:r>
        <w:rPr>
          <w:b/>
          <w:bCs/>
        </w:rPr>
        <w:t xml:space="preserve">misses diffuse and CH₄-dominated sources</w:t>
      </w:r>
      <w:r>
        <w:t xml:space="preserve"> </w:t>
      </w:r>
      <w:r>
        <w:t xml:space="preserve">(landfills, oil/gas) through the CH₄ channel at the current radius and thresholding.</w:t>
      </w:r>
    </w:p>
    <w:p>
      <w:pPr>
        <w:pStyle w:val="BodyText"/>
      </w:pPr>
      <w:r>
        <w:t xml:space="preserve">N=25, operator-picked — these findings are</w:t>
      </w:r>
      <w:r>
        <w:t xml:space="preserve"> </w:t>
      </w:r>
      <w:r>
        <w:rPr>
          <w:b/>
          <w:bCs/>
        </w:rPr>
        <w:t xml:space="preserve">illustrative, not statistically conclusive</w:t>
      </w:r>
      <w:r>
        <w:t xml:space="preserve">, and the per-regime correlations (n=4–5 each) are noise-prone. They are strong enough to motivate the calibration-sweep questions in §8–§9.</w:t>
      </w:r>
    </w:p>
    <w:p>
      <w:r>
        <w:pict>
          <v:rect style="width:0;height:1.5pt" o:hralign="center" o:hrstd="t" o:hr="t"/>
        </w:pict>
      </w:r>
    </w:p>
    <w:bookmarkEnd w:id="34"/>
    <w:bookmarkStart w:id="39" w:name="method"/>
    <w:p>
      <w:pPr>
        <w:pStyle w:val="Heading2"/>
      </w:pPr>
      <w:r>
        <w:t xml:space="preserve">§2. Method</w:t>
      </w:r>
    </w:p>
    <w:bookmarkStart w:id="35" w:name="locations"/>
    <w:p>
      <w:pPr>
        <w:pStyle w:val="Heading3"/>
      </w:pPr>
      <w:r>
        <w:t xml:space="preserve">2.1 Locations</w:t>
      </w:r>
    </w:p>
    <w:p>
      <w:pPr>
        <w:pStyle w:val="FirstParagraph"/>
      </w:pPr>
      <w:r>
        <w:t xml:space="preserve">Twenty-five locations, five per source-type regime, chosen to span the proxy’s expected behaviour (see</w:t>
      </w:r>
      <w:r>
        <w:t xml:space="preserve"> </w:t>
      </w:r>
      <w:r>
        <w:rPr>
          <w:rStyle w:val="VerbatimChar"/>
        </w:rPr>
        <w:t xml:space="preserve">analysis/locations.py</w:t>
      </w:r>
      <w:r>
        <w:t xml:space="preserve"> </w:t>
      </w:r>
      <w:r>
        <w:t xml:space="preserve">for coordinates):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Regime</w:t>
            </w:r>
          </w:p>
        </w:tc>
        <w:tc>
          <w:tcPr/>
          <w:p>
            <w:pPr>
              <w:pStyle w:val="Compact"/>
            </w:pPr>
            <w:r>
              <w:t xml:space="preserve">Locations</w:t>
            </w:r>
          </w:p>
        </w:tc>
        <w:tc>
          <w:tcPr/>
          <w:p>
            <w:pPr>
              <w:pStyle w:val="Compact"/>
            </w:pPr>
            <w:r>
              <w:t xml:space="preserve">Design expectation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Urban CO₂-dominant</w:t>
            </w:r>
          </w:p>
        </w:tc>
        <w:tc>
          <w:tcPr/>
          <w:p>
            <w:pPr>
              <w:pStyle w:val="Compact"/>
            </w:pPr>
            <w:r>
              <w:t xml:space="preserve">London, Mexico City, Mumbai, Lagos, Seoul</w:t>
            </w:r>
          </w:p>
        </w:tc>
        <w:tc>
          <w:tcPr/>
          <w:p>
            <w:pPr>
              <w:pStyle w:val="Compact"/>
            </w:pPr>
            <w:r>
              <w:t xml:space="preserve">CH₄ low, VIIRS high, ODIAC high, XCO₂ elevated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Oil/gas CH₄-dominant</w:t>
            </w:r>
          </w:p>
        </w:tc>
        <w:tc>
          <w:tcPr/>
          <w:p>
            <w:pPr>
              <w:pStyle w:val="Compact"/>
            </w:pPr>
            <w:r>
              <w:t xml:space="preserve">Permian, Bakken, Hassi Messaoud, Tengiz, Comodoro</w:t>
            </w:r>
          </w:p>
        </w:tc>
        <w:tc>
          <w:tcPr/>
          <w:p>
            <w:pPr>
              <w:pStyle w:val="Compact"/>
            </w:pPr>
            <w:r>
              <w:t xml:space="preserve">CH₄ high, VIIRS mod-high, ODIAC 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Coal-fired power</w:t>
            </w:r>
          </w:p>
        </w:tc>
        <w:tc>
          <w:tcPr/>
          <w:p>
            <w:pPr>
              <w:pStyle w:val="Compact"/>
            </w:pPr>
            <w:r>
              <w:t xml:space="preserve">Bełchatów, Tuoketuo, Vindhyachal, Mpumalanga, Kendal</w:t>
            </w:r>
          </w:p>
        </w:tc>
        <w:tc>
          <w:tcPr/>
          <w:p>
            <w:pPr>
              <w:pStyle w:val="Compact"/>
            </w:pPr>
            <w:r>
              <w:t xml:space="preserve">CH₄ moderate, VIIRS high, ODIAC high, XCO₂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Landfill / waste</w:t>
            </w:r>
          </w:p>
        </w:tc>
        <w:tc>
          <w:tcPr/>
          <w:p>
            <w:pPr>
              <w:pStyle w:val="Compact"/>
            </w:pPr>
            <w:r>
              <w:t xml:space="preserve">Sudokwon, Bordo Poniente, Apex (NV), Puente Hills, Olusosun</w:t>
            </w:r>
          </w:p>
        </w:tc>
        <w:tc>
          <w:tcPr/>
          <w:p>
            <w:pPr>
              <w:pStyle w:val="Compact"/>
            </w:pPr>
            <w:r>
              <w:t xml:space="preserve">CH₄ very high, VIIRS low-mod, ODIAC low —</w:t>
            </w:r>
            <w:r>
              <w:t xml:space="preserve"> </w:t>
            </w:r>
            <w:r>
              <w:rPr>
                <w:b/>
                <w:bCs/>
              </w:rPr>
              <w:t xml:space="preserve">most diagnostic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Rural / clean</w:t>
            </w:r>
          </w:p>
        </w:tc>
        <w:tc>
          <w:tcPr/>
          <w:p>
            <w:pPr>
              <w:pStyle w:val="Compact"/>
            </w:pPr>
            <w:r>
              <w:t xml:space="preserve">Patagonia, C. Sahara, C. Australia, Greenland coast, Siberian taiga</w:t>
            </w:r>
          </w:p>
        </w:tc>
        <w:tc>
          <w:tcPr/>
          <w:p>
            <w:pPr>
              <w:pStyle w:val="Compact"/>
            </w:pPr>
            <w:r>
              <w:t xml:space="preserve">all-low</w:t>
            </w:r>
          </w:p>
        </w:tc>
      </w:tr>
    </w:tbl>
    <w:p>
      <w:pPr>
        <w:pStyle w:val="BodyText"/>
      </w:pPr>
      <w:r>
        <w:t xml:space="preserve">Comodoro reuses the existing engine seed coordinates (−45.8645, −67.4969).</w:t>
      </w:r>
    </w:p>
    <w:bookmarkEnd w:id="35"/>
    <w:bookmarkStart w:id="36" w:name="X7e7ee52142591e82ae8b4a042db47f6d51417fd"/>
    <w:p>
      <w:pPr>
        <w:pStyle w:val="Heading3"/>
      </w:pPr>
      <w:r>
        <w:t xml:space="preserve">2.2 Windows (locked at Step B, operator confirmation)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CH₄ + VIIRS:</w:t>
      </w:r>
      <w:r>
        <w:t xml:space="preserve"> </w:t>
      </w:r>
      <w:r>
        <w:t xml:space="preserve">2025-06-01 → 2025-12-01 (recent, production-style). All at the 5 km production radius.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ODIAC:</w:t>
      </w:r>
      <w:r>
        <w:t xml:space="preserve"> </w:t>
      </w:r>
      <w:r>
        <w:t xml:space="preserve">2023 annual (</w:t>
      </w:r>
      <w:r>
        <w:rPr>
          <w:rStyle w:val="VerbatimChar"/>
        </w:rPr>
        <w:t xml:space="preserve">projects/supply-chain-observatory/assets/odiac</w:t>
      </w:r>
      <w:r>
        <w:t xml:space="preserve">, 48 monthly grids covering 2020–2023; 2023 is the latest vintage). ODIAC stops at 2023, so it necessarily lags the CH₄/VIIRS window by ~2.5 years — a temporal-aggregation mismatch (see §7).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OCO XCO₂:</w:t>
      </w:r>
      <w:r>
        <w:t xml:space="preserve"> </w:t>
      </w:r>
      <w:r>
        <w:t xml:space="preserve">2025-06-01 → 2025-12-01 (aligned with CH₄/VIIRS). Per-location soundings pooled from a</w:t>
      </w:r>
      <w:r>
        <w:t xml:space="preserve"> </w:t>
      </w:r>
      <w:r>
        <w:rPr>
          <w:b/>
          <w:bCs/>
        </w:rPr>
        <w:t xml:space="preserve">±0.25° (~25 km) box</w:t>
      </w:r>
      <w:r>
        <w:t xml:space="preserve">, OCO-2 (v11.2r) and OCO-3 (v11r) combined, good-quality only (</w:t>
      </w:r>
      <w:r>
        <w:rPr>
          <w:rStyle w:val="VerbatimChar"/>
        </w:rPr>
        <w:t xml:space="preserve">xco2_quality_flag == 0</w:t>
      </w:r>
      <w:r>
        <w:t xml:space="preserve">).</w:t>
      </w:r>
    </w:p>
    <w:bookmarkEnd w:id="36"/>
    <w:bookmarkStart w:id="37" w:name="what-each-input-and-benchmark-is"/>
    <w:p>
      <w:pPr>
        <w:pStyle w:val="Heading3"/>
      </w:pPr>
      <w:r>
        <w:t xml:space="preserve">2.3 What each input and benchmark 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GHG raw inputs</w:t>
      </w:r>
      <w:r>
        <w:t xml:space="preserve"> </w:t>
      </w:r>
      <w:r>
        <w:t xml:space="preserve">were read directly from the engine’s stateless snapshot functions (</w:t>
      </w:r>
      <w:r>
        <w:rPr>
          <w:rStyle w:val="VerbatimChar"/>
        </w:rPr>
        <w:t xml:space="preserve">engine.ghg.compute_ch4_snapshot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compute_viirs_activity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compute_co2_snapshot</w:t>
      </w:r>
      <w:r>
        <w:t xml:space="preserve">) at the production radius — the same code the screening run executes. The raw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(not the bucketed severity) and raw VIIRS (not the bucketed value) were used. The GHG composite (</w:t>
      </w:r>
      <w:r>
        <w:rPr>
          <w:rStyle w:val="VerbatimChar"/>
        </w:rPr>
        <w:t xml:space="preserve">ghg.core_audit_support</w:t>
      </w:r>
      <w:r>
        <w:t xml:space="preserve">, CH₄+VIIRS — ODIAC is demoted from the live composite per M5.5b) is carried for context only.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ODIAC</w:t>
      </w:r>
      <w:r>
        <w:t xml:space="preserve"> </w:t>
      </w:r>
      <w:r>
        <w:t xml:space="preserve">(NIES Japan) is a</w:t>
      </w:r>
      <w:r>
        <w:t xml:space="preserve"> </w:t>
      </w:r>
      <w:r>
        <w:rPr>
          <w:b/>
          <w:bCs/>
        </w:rPr>
        <w:t xml:space="preserve">bottom-up fossil-fuel CO₂ emissions inventory</w:t>
      </w:r>
      <w:r>
        <w:t xml:space="preserve">, not an observation. National statistics are</w:t>
      </w:r>
      <w:r>
        <w:t xml:space="preserve"> </w:t>
      </w:r>
      <w:r>
        <w:rPr>
          <w:i/>
          <w:iCs/>
        </w:rPr>
        <w:t xml:space="preserve">allocated</w:t>
      </w:r>
      <w:r>
        <w:t xml:space="preserve"> </w:t>
      </w:r>
      <w:r>
        <w:t xml:space="preserve">to a 1 km grid using point-source databases and nightlights. It answers</w:t>
      </w:r>
      <w:r>
        <w:t xml:space="preserve"> </w:t>
      </w:r>
      <w:r>
        <w:t xml:space="preserve">“where is fossil CO₂</w:t>
      </w:r>
      <w:r>
        <w:t xml:space="preserve"> </w:t>
      </w:r>
      <w:r>
        <w:rPr>
          <w:i/>
          <w:iCs/>
        </w:rPr>
        <w:t xml:space="preserve">emitted</w:t>
      </w:r>
      <w:r>
        <w:t xml:space="preserve">”</w:t>
      </w:r>
      <w:r>
        <w:t xml:space="preserve">. The engine samples it as an AOI-mean over the buffer; for this validation a</w:t>
      </w:r>
      <w:r>
        <w:t xml:space="preserve"> </w:t>
      </w:r>
      <w:r>
        <w:rPr>
          <w:b/>
          <w:bCs/>
        </w:rPr>
        <w:t xml:space="preserve">centre-point sample</w:t>
      </w:r>
      <w:r>
        <w:t xml:space="preserve"> </w:t>
      </w:r>
      <w:r>
        <w:t xml:space="preserve">was added so both point and AOI-mean are surfaced (annualised t CO₂/cell, identical units).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OCO-2 / OCO-3 XCO₂</w:t>
      </w:r>
      <w:r>
        <w:t xml:space="preserve"> </w:t>
      </w:r>
      <w:r>
        <w:t xml:space="preserve">(NASA ACOS L2 Lite FP) is the</w:t>
      </w:r>
      <w:r>
        <w:t xml:space="preserve"> </w:t>
      </w:r>
      <w:r>
        <w:rPr>
          <w:b/>
          <w:bCs/>
        </w:rPr>
        <w:t xml:space="preserve">column-averaged atmospheric CO₂ dry-air mole fraction</w:t>
      </w:r>
      <w:r>
        <w:t xml:space="preserve"> </w:t>
      </w:r>
      <w:r>
        <w:t xml:space="preserve">retrieved from reflected sunlight. It answers</w:t>
      </w:r>
      <w:r>
        <w:t xml:space="preserve"> </w:t>
      </w:r>
      <w:r>
        <w:t xml:space="preserve">“what is the CO₂</w:t>
      </w:r>
      <w:r>
        <w:t xml:space="preserve"> </w:t>
      </w:r>
      <w:r>
        <w:rPr>
          <w:i/>
          <w:iCs/>
        </w:rPr>
        <w:t xml:space="preserve">concentration</w:t>
      </w:r>
      <w:r>
        <w:t xml:space="preserve"> </w:t>
      </w:r>
      <w:r>
        <w:t xml:space="preserve">in the air column”</w:t>
      </w:r>
      <w:r>
        <w:t xml:space="preserve">. OCO-2 flies a narrow nadir/glint swath; OCO-3 adds Snapshot Area Map (SAM) targeting that densely samples cities and point sources.</w:t>
      </w:r>
      <w:r>
        <w:t xml:space="preserve"> </w:t>
      </w:r>
      <w:r>
        <w:rPr>
          <w:b/>
          <w:bCs/>
        </w:rPr>
        <w:t xml:space="preserve">OCO is not available in Earth Engine</w:t>
      </w:r>
      <w:r>
        <w:t xml:space="preserve"> </w:t>
      </w:r>
      <w:r>
        <w:t xml:space="preserve">(confirmed in Step A across the official catalog, the community mirror, and direct asset probing); XCO₂ was sourced outside EE via</w:t>
      </w:r>
      <w:r>
        <w:t xml:space="preserve"> </w:t>
      </w:r>
      <w:r>
        <w:rPr>
          <w:rStyle w:val="VerbatimChar"/>
        </w:rPr>
        <w:t xml:space="preserve">earthaccess</w:t>
      </w:r>
      <w:r>
        <w:t xml:space="preserve"> </w:t>
      </w:r>
      <w:r>
        <w:t xml:space="preserve">from NASA GES DISC.</w:t>
      </w:r>
    </w:p>
    <w:bookmarkEnd w:id="37"/>
    <w:bookmarkStart w:id="38" w:name="extraction-and-analysis"/>
    <w:p>
      <w:pPr>
        <w:pStyle w:val="Heading3"/>
      </w:pPr>
      <w:r>
        <w:t xml:space="preserve">2.4 Extraction and analysis</w:t>
      </w:r>
    </w:p>
    <w:p>
      <w:pPr>
        <w:pStyle w:val="FirstParagraph"/>
      </w:pPr>
      <w:r>
        <w:rPr>
          <w:rStyle w:val="VerbatimChar"/>
        </w:rPr>
        <w:t xml:space="preserve">analysis/extract_part_a.py</w:t>
      </w:r>
      <w:r>
        <w:t xml:space="preserve"> </w:t>
      </w:r>
      <w:r>
        <w:t xml:space="preserve">runs the engine per location (ODIAC on its 2023 window, CH₄/VIIRS on the 2025 window) and writes the Part A columns.</w:t>
      </w:r>
      <w:r>
        <w:t xml:space="preserve"> </w:t>
      </w:r>
      <w:r>
        <w:rPr>
          <w:rStyle w:val="VerbatimChar"/>
        </w:rPr>
        <w:t xml:space="preserve">analysis/extract_part_b.py</w:t>
      </w:r>
      <w:r>
        <w:t xml:space="preserve"> </w:t>
      </w:r>
      <w:r>
        <w:t xml:space="preserve">scans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OCO-2 (173) and OCO-3 (180) daily-global granule in the window — there is no per-location server-side subsetting for these sounding products — and for each location pools good-quality soundings inside the AOI box and a 0.25°–1.0° background annulus. The</w:t>
      </w:r>
      <w:r>
        <w:t xml:space="preserve"> </w:t>
      </w:r>
      <w:r>
        <w:rPr>
          <w:b/>
          <w:bCs/>
        </w:rPr>
        <w:t xml:space="preserve">XCO₂ delta</w:t>
      </w:r>
      <w:r>
        <w:t xml:space="preserve"> </w:t>
      </w:r>
      <w:r>
        <w:t xml:space="preserve">= AOI-box mean − background-annulus mean; because AOI and ring soundings come from the same overpasses, the seasonal/latitudinal column gradient largely cancels in the delta. A location needs ≥5 AOI and ≥20 background soundings to report a delta. Analysis and the seven figures are produced by</w:t>
      </w:r>
      <w:r>
        <w:t xml:space="preserve"> </w:t>
      </w:r>
      <w:r>
        <w:rPr>
          <w:rStyle w:val="VerbatimChar"/>
        </w:rPr>
        <w:t xml:space="preserve">analysis/analysis_plots.py</w:t>
      </w:r>
      <w:r>
        <w:t xml:space="preserve"> </w:t>
      </w:r>
      <w:r>
        <w:t xml:space="preserve">and rendered in the notebook.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6" w:name="Xb81b8aaa9c96cafbb3ccd916536bd57314eb4a4"/>
    <w:p>
      <w:pPr>
        <w:pStyle w:val="Heading2"/>
      </w:pPr>
      <w:r>
        <w:t xml:space="preserve">§3. Part A findings — activity validation (vs ODIAC)</w:t>
      </w:r>
    </w:p>
    <w:bookmarkStart w:id="46" w:name="Xd8eb37652692ea4bb731f7b59fc4725a5f23ecc"/>
    <w:p>
      <w:pPr>
        <w:pStyle w:val="Heading3"/>
      </w:pPr>
      <w:r>
        <w:t xml:space="preserve">3.1 VIIRS tracks ODIAC; CH₄ anomaly z does not</w:t>
      </w:r>
    </w:p>
    <w:p>
      <w:pPr>
        <w:pStyle w:val="CaptionedFigure"/>
      </w:pPr>
      <w:r>
        <w:drawing>
          <wp:inline>
            <wp:extent cx="5334000" cy="3809999"/>
            <wp:effectExtent b="0" l="0" r="0" t="0"/>
            <wp:docPr descr="Plot 1 — CH4 anomaly z vs ODIAC" title="" id="41" name="Picture"/>
            <a:graphic>
              <a:graphicData uri="http://schemas.openxmlformats.org/drawingml/2006/picture">
                <pic:pic>
                  <pic:nvPicPr>
                    <pic:cNvPr descr="../analysis/plots/plot1_ch4z_vs_odiac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Plot 1 — CH4 anomaly z vs ODIAC</w:t>
      </w:r>
    </w:p>
    <w:p>
      <w:pPr>
        <w:pStyle w:val="CaptionedFigure"/>
      </w:pPr>
      <w:r>
        <w:drawing>
          <wp:inline>
            <wp:extent cx="5334000" cy="3809999"/>
            <wp:effectExtent b="0" l="0" r="0" t="0"/>
            <wp:docPr descr="Plot 2 — VIIRS vs ODIAC" title="" id="44" name="Picture"/>
            <a:graphic>
              <a:graphicData uri="http://schemas.openxmlformats.org/drawingml/2006/picture">
                <pic:pic>
                  <pic:nvPicPr>
                    <pic:cNvPr descr="../analysis/plots/plot2_viirs_vs_odiac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Plot 2 — VIIRS vs ODIAC</w:t>
      </w:r>
    </w:p>
    <w:p>
      <w:pPr>
        <w:pStyle w:val="BodyText"/>
      </w:pPr>
      <w:r>
        <w:t xml:space="preserve">Per-regime and overall correlations (vs log₁₀ ODIAC point sample):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Regime</w:t>
            </w:r>
          </w:p>
        </w:tc>
        <w:tc>
          <w:tcPr/>
          <w:p>
            <w:pPr>
              <w:pStyle w:val="Compact"/>
            </w:pPr>
            <w:r>
              <w:t xml:space="preserve">CH₄–ODIAC Pearson</w:t>
            </w:r>
          </w:p>
        </w:tc>
        <w:tc>
          <w:tcPr/>
          <w:p>
            <w:pPr>
              <w:pStyle w:val="Compact"/>
            </w:pPr>
            <w:r>
              <w:t xml:space="preserve">CH₄–ODIAC Spearman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VIIRS–ODIAC Pearson</w:t>
            </w:r>
          </w:p>
        </w:tc>
        <w:tc>
          <w:tcPr/>
          <w:p>
            <w:pPr>
              <w:pStyle w:val="Compact"/>
            </w:pPr>
            <w:r>
              <w:t xml:space="preserve">VIIRS–ODIAC Spearman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Urban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0.66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Oil/Gas</w:t>
            </w:r>
          </w:p>
        </w:tc>
        <w:tc>
          <w:tcPr/>
          <w:p>
            <w:pPr>
              <w:pStyle w:val="Compact"/>
            </w:pPr>
            <w:r>
              <w:t xml:space="preserve">−0.72</w:t>
            </w:r>
          </w:p>
        </w:tc>
        <w:tc>
          <w:tcPr/>
          <w:p>
            <w:pPr>
              <w:pStyle w:val="Compact"/>
            </w:pPr>
            <w:r>
              <w:t xml:space="preserve">−0.50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</w:t>
            </w:r>
          </w:p>
        </w:tc>
        <w:tc>
          <w:tcPr/>
          <w:p>
            <w:pPr>
              <w:pStyle w:val="Compact"/>
            </w:pPr>
            <w:r>
              <w:t xml:space="preserve">−0.15</w:t>
            </w:r>
          </w:p>
        </w:tc>
        <w:tc>
          <w:tcPr/>
          <w:p>
            <w:pPr>
              <w:pStyle w:val="Compact"/>
            </w:pPr>
            <w:r>
              <w:t xml:space="preserve">−0.10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Landfill</w:t>
            </w:r>
          </w:p>
        </w:tc>
        <w:tc>
          <w:tcPr/>
          <w:p>
            <w:pPr>
              <w:pStyle w:val="Compact"/>
            </w:pPr>
            <w:r>
              <w:t xml:space="preserve">−0.63</w:t>
            </w:r>
          </w:p>
        </w:tc>
        <w:tc>
          <w:tcPr/>
          <w:p>
            <w:pPr>
              <w:pStyle w:val="Compact"/>
            </w:pPr>
            <w:r>
              <w:t xml:space="preserve">−0.60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−0.12</w:t>
            </w:r>
          </w:p>
        </w:tc>
        <w:tc>
          <w:tcPr/>
          <w:p>
            <w:pPr>
              <w:pStyle w:val="Compact"/>
            </w:pPr>
            <w:r>
              <w:t xml:space="preserve">−0.10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</w:pPr>
            <w:r>
              <w:t xml:space="preserve">n/a (ODIAC=0)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n/a (ODIAC=0)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−0.01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</w:tbl>
    <w:p>
      <w:pPr>
        <w:pStyle w:val="BodyText"/>
      </w:pPr>
      <w:r>
        <w:t xml:space="preserve">VIIRS↔ODIAC is the</w:t>
      </w:r>
      <w:r>
        <w:t xml:space="preserve"> </w:t>
      </w:r>
      <w:r>
        <w:rPr>
          <w:b/>
          <w:bCs/>
        </w:rPr>
        <w:t xml:space="preserve">proxy-works signal</w:t>
      </w:r>
      <w:r>
        <w:t xml:space="preserve">: both are industrial-activity measures and they agree in rank (Spearman 0.70 overall, 0.70 within urban and coal). The Pearson is lower (0.38) because a handful of mega-emitter ODIAC cells (Bełchatów’s point sample hits ~2×10⁷ t CO₂/cell) stretch the linear axis; rank correlation is the honest statistic here.</w:t>
      </w:r>
    </w:p>
    <w:p>
      <w:pPr>
        <w:pStyle w:val="BodyText"/>
      </w:pPr>
      <w:r>
        <w:t xml:space="preserve">CH₄ anomaly z↔ODIAC is</w:t>
      </w:r>
      <w:r>
        <w:t xml:space="preserve"> </w:t>
      </w:r>
      <w:r>
        <w:rPr>
          <w:b/>
          <w:bCs/>
        </w:rPr>
        <w:t xml:space="preserve">flat-to-negative</w:t>
      </w:r>
      <w:r>
        <w:t xml:space="preserve"> </w:t>
      </w:r>
      <w:r>
        <w:t xml:space="preserve">(overall ≈ 0; oil/gas −0.72, landfill −0.63). The negative within-regime slopes are not a hidden inverse signal — they are noise around a detector that is not responding to the emission field at all (§6.1).</w:t>
      </w:r>
    </w:p>
    <w:bookmarkEnd w:id="46"/>
    <w:bookmarkStart w:id="47" w:name="Xcc321fc9e94f98db7fa5aa5cd651e3202ac2ba4"/>
    <w:p>
      <w:pPr>
        <w:pStyle w:val="Heading3"/>
      </w:pPr>
      <w:r>
        <w:t xml:space="preserve">3.2 Divergence cases — does CH₄ fire where it should?</w:t>
      </w:r>
    </w:p>
    <w:p>
      <w:pPr>
        <w:pStyle w:val="FirstParagraph"/>
      </w:pPr>
      <w:r>
        <w:t xml:space="preserve">CH₄ anomaly z firing at the z&gt;1.5 threshold, by regime: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Regime</w:t>
            </w:r>
          </w:p>
        </w:tc>
        <w:tc>
          <w:tcPr/>
          <w:p>
            <w:pPr>
              <w:pStyle w:val="Compact"/>
            </w:pPr>
            <w:r>
              <w:t xml:space="preserve">Fired (z&gt;1.5)</w:t>
            </w:r>
          </w:p>
        </w:tc>
        <w:tc>
          <w:tcPr/>
          <w:p>
            <w:pPr>
              <w:pStyle w:val="Compact"/>
            </w:pPr>
            <w:r>
              <w:t xml:space="preserve">Did not fire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Urban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London, Mexico City, Mumbai, Seoul —</w:t>
            </w:r>
            <w:r>
              <w:t xml:space="preserve"> </w:t>
            </w:r>
            <w:r>
              <w:rPr>
                <w:b/>
                <w:bCs/>
              </w:rPr>
              <w:t xml:space="preserve">correct</w:t>
            </w:r>
            <w:r>
              <w:t xml:space="preserve"> </w:t>
            </w:r>
            <w:r>
              <w:t xml:space="preserve">(urban is CO₂/VIIRS-driven, not CH₄)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Oil/Gas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Permian, Bakken, Hassi Messaoud, Tengiz, Comodoro —</w:t>
            </w:r>
            <w:r>
              <w:t xml:space="preserve"> </w:t>
            </w:r>
            <w:r>
              <w:rPr>
                <w:b/>
                <w:bCs/>
              </w:rPr>
              <w:t xml:space="preserve">should have fired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</w:t>
            </w:r>
          </w:p>
        </w:tc>
        <w:tc>
          <w:tcPr/>
          <w:p>
            <w:pPr>
              <w:pStyle w:val="Compact"/>
            </w:pPr>
            <w:r>
              <w:t xml:space="preserve">Mpumalanga</w:t>
            </w:r>
          </w:p>
        </w:tc>
        <w:tc>
          <w:tcPr/>
          <w:p>
            <w:pPr>
              <w:pStyle w:val="Compact"/>
            </w:pPr>
            <w:r>
              <w:t xml:space="preserve">Bełchatów, Tuoketuo, Vindhyachal, Kendal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Landfill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Sudokwon, Bordo Poniente, Apex, Puente Hills —</w:t>
            </w:r>
            <w:r>
              <w:t xml:space="preserve"> </w:t>
            </w:r>
            <w:r>
              <w:rPr>
                <w:b/>
                <w:bCs/>
              </w:rPr>
              <w:t xml:space="preserve">should have fired (most diagnostic)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all five —</w:t>
            </w:r>
            <w:r>
              <w:t xml:space="preserve"> </w:t>
            </w:r>
            <w:r>
              <w:rPr>
                <w:b/>
                <w:bCs/>
              </w:rPr>
              <w:t xml:space="preserve">correct</w:t>
            </w:r>
          </w:p>
        </w:tc>
      </w:tr>
    </w:tbl>
    <w:p>
      <w:pPr>
        <w:pStyle w:val="BodyText"/>
      </w:pPr>
      <w:r>
        <w:t xml:space="preserve">The detector is</w:t>
      </w:r>
      <w:r>
        <w:t xml:space="preserve"> </w:t>
      </w:r>
      <w:r>
        <w:rPr>
          <w:b/>
          <w:bCs/>
        </w:rPr>
        <w:t xml:space="preserve">right for the wrong-direction regimes and wrong for the right-direction regimes</w:t>
      </w:r>
      <w:r>
        <w:t xml:space="preserve">: it correctly stays silent at urban and rural sites, but it also stays silent at every oil/gas and every landfill site — exactly where a CH₄ proxy must speak. Only Mpumalanga (z=1.76) clears the bar, and the single highest z in the whole set is 1.76. This is the central proxy gap (diagnosed in §6.1). Hassi Messaoud, a gas-flaring site bright in VIIRS (228.8, the set maximum), returns CH₄ z =</w:t>
      </w:r>
      <w:r>
        <w:t xml:space="preserve"> </w:t>
      </w:r>
      <w:r>
        <w:rPr>
          <w:b/>
          <w:bCs/>
        </w:rPr>
        <w:t xml:space="preserve">−4.03</w:t>
      </w:r>
      <w:r>
        <w:t xml:space="preserve"> </w:t>
      </w:r>
      <w:r>
        <w:t xml:space="preserve">— the detector reads it as anomalously</w:t>
      </w:r>
      <w:r>
        <w:t xml:space="preserve"> </w:t>
      </w:r>
      <w:r>
        <w:rPr>
          <w:i/>
          <w:iCs/>
        </w:rPr>
        <w:t xml:space="preserve">clean</w:t>
      </w:r>
      <w:r>
        <w:t xml:space="preserve"> </w:t>
      </w:r>
      <w:r>
        <w:t xml:space="preserve">(see §6.1 for why the desert background ring does this).</w:t>
      </w:r>
    </w:p>
    <w:bookmarkEnd w:id="47"/>
    <w:bookmarkStart w:id="51" w:name="X2b0aca2b517f89a32722d1d134a2a66a6536372"/>
    <w:p>
      <w:pPr>
        <w:pStyle w:val="Heading3"/>
      </w:pPr>
      <w:r>
        <w:t xml:space="preserve">3.3 ODIAC sampling robustness (point vs AOI-mean)</w:t>
      </w:r>
    </w:p>
    <w:p>
      <w:pPr>
        <w:pStyle w:val="CaptionedFigure"/>
      </w:pPr>
      <w:r>
        <w:drawing>
          <wp:inline>
            <wp:extent cx="5334000" cy="4513384"/>
            <wp:effectExtent b="0" l="0" r="0" t="0"/>
            <wp:docPr descr="Plot 3 — ODIAC point vs AOI-mean" title="" id="49" name="Picture"/>
            <a:graphic>
              <a:graphicData uri="http://schemas.openxmlformats.org/drawingml/2006/picture">
                <pic:pic>
                  <pic:nvPicPr>
                    <pic:cNvPr descr="../analysis/plots/plot3_odiac_point_vs_mean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3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Plot 3 — ODIAC point vs AOI-mean</w:t>
      </w:r>
    </w:p>
    <w:p>
      <w:pPr>
        <w:pStyle w:val="BodyText"/>
      </w:pPr>
      <w:r>
        <w:t xml:space="preserve">The centre-point ODIAC sample and the radius-averaged AOI-mean agree well in rank (Spearman 0.81, n=19 non-zero), so the validation is not an artefact of which sampling the engine uses. They</w:t>
      </w:r>
      <w:r>
        <w:t xml:space="preserve"> </w:t>
      </w:r>
      <w:r>
        <w:rPr>
          <w:b/>
          <w:bCs/>
        </w:rPr>
        <w:t xml:space="preserve">diverge sharply at point sources</w:t>
      </w:r>
      <w:r>
        <w:t xml:space="preserve">, in both directions: Bełchatów’s point cell (~2×10⁷ t CO₂/cell) far exceeds its AOI-mean (~1.6×10⁵) because the buffer dilutes one mega-emitter cell, whereas Vindhyachal’s AOI-mean (~8.7×10⁵) far exceeds its point sample (~7.8×10³) because the centre coordinate fell</w:t>
      </w:r>
      <w:r>
        <w:t xml:space="preserve"> </w:t>
      </w:r>
      <w:r>
        <w:rPr>
          <w:i/>
          <w:iCs/>
        </w:rPr>
        <w:t xml:space="preserve">beside</w:t>
      </w:r>
      <w:r>
        <w:t xml:space="preserve"> </w:t>
      </w:r>
      <w:r>
        <w:t xml:space="preserve">the plant cell. This sub-pixel sensitivity is itself a caution for any ODIAC-based scoring (§7).</w:t>
      </w:r>
    </w:p>
    <w:bookmarkEnd w:id="51"/>
    <w:bookmarkStart w:id="55" w:name="the-proxys-two-axes"/>
    <w:p>
      <w:pPr>
        <w:pStyle w:val="Heading3"/>
      </w:pPr>
      <w:r>
        <w:t xml:space="preserve">3.4 The proxy’s two axes</w:t>
      </w:r>
    </w:p>
    <w:p>
      <w:pPr>
        <w:pStyle w:val="CaptionedFigure"/>
      </w:pPr>
      <w:r>
        <w:drawing>
          <wp:inline>
            <wp:extent cx="5334000" cy="3809999"/>
            <wp:effectExtent b="0" l="0" r="0" t="0"/>
            <wp:docPr descr="Plot 4 — CH4 anomaly z vs VIIRS" title="" id="53" name="Picture"/>
            <a:graphic>
              <a:graphicData uri="http://schemas.openxmlformats.org/drawingml/2006/picture">
                <pic:pic>
                  <pic:nvPicPr>
                    <pic:cNvPr descr="../analysis/plots/plot4_ch4z_vs_viir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Plot 4 — CH4 anomaly z vs VIIRS</w:t>
      </w:r>
    </w:p>
    <w:p>
      <w:pPr>
        <w:pStyle w:val="BodyText"/>
      </w:pPr>
      <w:r>
        <w:t xml:space="preserve">Plotting the two GHG raw axes against each other shows the regimes separate</w:t>
      </w:r>
      <w:r>
        <w:t xml:space="preserve"> </w:t>
      </w:r>
      <w:r>
        <w:rPr>
          <w:b/>
          <w:bCs/>
        </w:rPr>
        <w:t xml:space="preserve">horizontally (VIIRS)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not vertically (CH₄ z)</w:t>
      </w:r>
      <w:r>
        <w:t xml:space="preserve"> </w:t>
      </w:r>
      <w:r>
        <w:t xml:space="preserve">— the vertical spread is ~±1 z for almost every regime, with no regime lifted into the firing band. The proxy’s discriminating power in this set comes almost entirely from VIIRS.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8" w:name="X76d106651f5fdf509f4cd63496853c4989d5f23"/>
    <w:p>
      <w:pPr>
        <w:pStyle w:val="Heading2"/>
      </w:pPr>
      <w:r>
        <w:t xml:space="preserve">§4. Part B findings — concentration validation (vs OCO-2/OCO-3 XCO₂)</w:t>
      </w:r>
    </w:p>
    <w:bookmarkStart w:id="57" w:name="coverage-honest-first"/>
    <w:p>
      <w:pPr>
        <w:pStyle w:val="Heading3"/>
      </w:pPr>
      <w:r>
        <w:t xml:space="preserve">4.1 Coverage (honest first)</w:t>
      </w:r>
    </w:p>
    <w:p>
      <w:pPr>
        <w:pStyle w:val="FirstParagraph"/>
      </w:pPr>
      <w:r>
        <w:t xml:space="preserve">Full-window scanning recovered usable XCO₂ at</w:t>
      </w:r>
      <w:r>
        <w:t xml:space="preserve"> </w:t>
      </w:r>
      <w:r>
        <w:rPr>
          <w:b/>
          <w:bCs/>
        </w:rPr>
        <w:t xml:space="preserve">24 of 25 locations</w:t>
      </w:r>
      <w:r>
        <w:t xml:space="preserve"> </w:t>
      </w:r>
      <w:r>
        <w:t xml:space="preserve">— better than the narrow-swath sampling feared at Step A. Only</w:t>
      </w:r>
      <w:r>
        <w:t xml:space="preserve"> </w:t>
      </w:r>
      <w:r>
        <w:rPr>
          <w:b/>
          <w:bCs/>
        </w:rPr>
        <w:t xml:space="preserve">Siberian taiga</w:t>
      </w:r>
      <w:r>
        <w:t xml:space="preserve"> </w:t>
      </w:r>
      <w:r>
        <w:t xml:space="preserve">returned zero good soundings in the window. Coverage is highly uneven, and the conclusions weigh it accordingly: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Coverage tier</w:t>
            </w:r>
          </w:p>
        </w:tc>
        <w:tc>
          <w:tcPr/>
          <w:p>
            <w:pPr>
              <w:pStyle w:val="Compact"/>
            </w:pPr>
            <w:r>
              <w:t xml:space="preserve">Locations (good AOI soundings)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 (&gt;2000)</w:t>
            </w:r>
          </w:p>
        </w:tc>
        <w:tc>
          <w:tcPr/>
          <w:p>
            <w:pPr>
              <w:pStyle w:val="Compact"/>
            </w:pPr>
            <w:r>
              <w:t xml:space="preserve">Puente Hills 16160 (OCO-3 SAM over the LA basin), Seoul 3661, Mexico City 3502, Bordo Poniente 3465, Kendal 2496, Bełchatów 2247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 (200–2000)</w:t>
            </w:r>
          </w:p>
        </w:tc>
        <w:tc>
          <w:tcPr/>
          <w:p>
            <w:pPr>
              <w:pStyle w:val="Compact"/>
            </w:pPr>
            <w:r>
              <w:t xml:space="preserve">Tuoketuo, Tengiz, Permian, London, C. Australia, Mpumalanga, Apex, Patagonia, Comodoro, Vindhyachal, Bakken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Sparse (&lt;200)</w:t>
            </w:r>
          </w:p>
        </w:tc>
        <w:tc>
          <w:tcPr/>
          <w:p>
            <w:pPr>
              <w:pStyle w:val="Compact"/>
            </w:pPr>
            <w:r>
              <w:t xml:space="preserve">C. Sahara 184, Sudokwon 127, Olusosun 53, Lagos 50, Mumbai 46, Greenland 20, Hassi Messaoud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Siberian taiga 0</w:t>
            </w:r>
          </w:p>
        </w:tc>
      </w:tr>
    </w:tbl>
    <w:p>
      <w:pPr>
        <w:pStyle w:val="BodyText"/>
      </w:pPr>
      <w:r>
        <w:t xml:space="preserve">Sparse-coverage deltas (Sudokwon, Mumbai, Greenland, Hassi Messaoud) are weak evidence and are flagged as such wherever they appear in a conclusion.</w:t>
      </w:r>
    </w:p>
    <w:bookmarkEnd w:id="57"/>
    <w:bookmarkStart w:id="67" w:name="X83e9995d12e6d0784360e9cf62ffe94e08912f6"/>
    <w:p>
      <w:pPr>
        <w:pStyle w:val="Heading3"/>
      </w:pPr>
      <w:r>
        <w:t xml:space="preserve">4.2 XCO₂ enhancement does not track activity — except at coal</w:t>
      </w:r>
    </w:p>
    <w:p>
      <w:pPr>
        <w:pStyle w:val="CaptionedFigure"/>
      </w:pPr>
      <w:r>
        <w:drawing>
          <wp:inline>
            <wp:extent cx="5334000" cy="3809999"/>
            <wp:effectExtent b="0" l="0" r="0" t="0"/>
            <wp:docPr descr="Plot 5 — VIIRS vs XCO2 enhancement" title="" id="59" name="Picture"/>
            <a:graphic>
              <a:graphicData uri="http://schemas.openxmlformats.org/drawingml/2006/picture">
                <pic:pic>
                  <pic:nvPicPr>
                    <pic:cNvPr descr="../analysis/plots/plot5_viirs_vs_xco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Plot 5 — VIIRS vs XCO2 enhancement</w:t>
      </w:r>
    </w:p>
    <w:p>
      <w:pPr>
        <w:pStyle w:val="CaptionedFigure"/>
      </w:pPr>
      <w:r>
        <w:drawing>
          <wp:inline>
            <wp:extent cx="5334000" cy="3809999"/>
            <wp:effectExtent b="0" l="0" r="0" t="0"/>
            <wp:docPr descr="Plot 6 — CH4 raw vs XCO2 enhancement" title="" id="62" name="Picture"/>
            <a:graphic>
              <a:graphicData uri="http://schemas.openxmlformats.org/drawingml/2006/picture">
                <pic:pic>
                  <pic:nvPicPr>
                    <pic:cNvPr descr="../analysis/plots/plot6_ch4_vs_xco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Plot 6 — CH4 raw vs XCO2 enhancement</w:t>
      </w:r>
    </w:p>
    <w:p>
      <w:pPr>
        <w:pStyle w:val="CaptionedFigure"/>
      </w:pPr>
      <w:r>
        <w:drawing>
          <wp:inline>
            <wp:extent cx="5334000" cy="3809999"/>
            <wp:effectExtent b="0" l="0" r="0" t="0"/>
            <wp:docPr descr="Plot 7 — combined signal vs XCO2 enhancement" title="" id="65" name="Picture"/>
            <a:graphic>
              <a:graphicData uri="http://schemas.openxmlformats.org/drawingml/2006/picture">
                <pic:pic>
                  <pic:nvPicPr>
                    <pic:cNvPr descr="../analysis/plots/plot7_combined_vs_xco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Plot 7 — combined signal vs XCO2 enhancement</w:t>
      </w:r>
    </w:p>
    <w:p>
      <w:pPr>
        <w:pStyle w:val="BodyText"/>
      </w:pPr>
      <w:r>
        <w:t xml:space="preserve">Per-regime and overall correlations (vs XCO₂ AOI-minus-background delta):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Regime</w:t>
            </w:r>
          </w:p>
        </w:tc>
        <w:tc>
          <w:tcPr/>
          <w:p>
            <w:pPr>
              <w:pStyle w:val="Compact"/>
            </w:pPr>
            <w:r>
              <w:t xml:space="preserve">VIIRS–XCO₂ Pearson</w:t>
            </w:r>
          </w:p>
        </w:tc>
        <w:tc>
          <w:tcPr/>
          <w:p>
            <w:pPr>
              <w:pStyle w:val="Compact"/>
            </w:pPr>
            <w:r>
              <w:t xml:space="preserve">VIIRS–XCO₂ Spearman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CH₄–XCO₂ Pearson</w:t>
            </w:r>
          </w:p>
        </w:tc>
        <w:tc>
          <w:tcPr/>
          <w:p>
            <w:pPr>
              <w:pStyle w:val="Compact"/>
            </w:pPr>
            <w:r>
              <w:t xml:space="preserve">CH₄–XCO₂ Spearman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Urban</w:t>
            </w:r>
          </w:p>
        </w:tc>
        <w:tc>
          <w:tcPr/>
          <w:p>
            <w:pPr>
              <w:pStyle w:val="Compact"/>
            </w:pPr>
            <w:r>
              <w:t xml:space="preserve">−0.18</w:t>
            </w:r>
          </w:p>
        </w:tc>
        <w:tc>
          <w:tcPr/>
          <w:p>
            <w:pPr>
              <w:pStyle w:val="Compact"/>
            </w:pPr>
            <w:r>
              <w:t xml:space="preserve">−0.30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−0.10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Oil/Gas</w:t>
            </w:r>
          </w:p>
        </w:tc>
        <w:tc>
          <w:tcPr/>
          <w:p>
            <w:pPr>
              <w:pStyle w:val="Compact"/>
            </w:pPr>
            <w:r>
              <w:t xml:space="preserve">−0.57</w:t>
            </w:r>
          </w:p>
        </w:tc>
        <w:tc>
          <w:tcPr/>
          <w:p>
            <w:pPr>
              <w:pStyle w:val="Compact"/>
            </w:pPr>
            <w:r>
              <w:t xml:space="preserve">−0.10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−0.40</w:t>
            </w:r>
          </w:p>
        </w:tc>
        <w:tc>
          <w:tcPr/>
          <w:p>
            <w:pPr>
              <w:pStyle w:val="Compact"/>
            </w:pPr>
            <w:r>
              <w:t xml:space="preserve">−0.20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Landfill</w:t>
            </w:r>
          </w:p>
        </w:tc>
        <w:tc>
          <w:tcPr/>
          <w:p>
            <w:pPr>
              <w:pStyle w:val="Compact"/>
            </w:pPr>
            <w:r>
              <w:t xml:space="preserve">0.32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−0.40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−0.95</w:t>
            </w:r>
          </w:p>
        </w:tc>
        <w:tc>
          <w:tcPr/>
          <w:p>
            <w:pPr>
              <w:pStyle w:val="Compact"/>
            </w:pPr>
            <w:r>
              <w:t xml:space="preserve">−0.80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−0.00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−0.12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</w:tbl>
    <w:p>
      <w:pPr>
        <w:pStyle w:val="BodyText"/>
      </w:pPr>
      <w:r>
        <w:t xml:space="preserve">The XCO₂ deltas are</w:t>
      </w:r>
      <w:r>
        <w:t xml:space="preserve"> </w:t>
      </w:r>
      <w:r>
        <w:rPr>
          <w:b/>
          <w:bCs/>
        </w:rPr>
        <w:t xml:space="preserve">small and mixed</w:t>
      </w:r>
      <w:r>
        <w:t xml:space="preserve"> </w:t>
      </w:r>
      <w:r>
        <w:t xml:space="preserve">(range −1.64 to +3.54 ppm; most within ±1 ppm), which is the expected fingerprint of a transport-dominated, well-mixed column. Overall there is</w:t>
      </w:r>
      <w:r>
        <w:t xml:space="preserve"> </w:t>
      </w:r>
      <w:r>
        <w:rPr>
          <w:b/>
          <w:bCs/>
        </w:rPr>
        <w:t xml:space="preserve">no correlation</w:t>
      </w:r>
      <w:r>
        <w:t xml:space="preserve"> </w:t>
      </w:r>
      <w:r>
        <w:t xml:space="preserve">between either GHG input and the XCO₂ enhancement.</w:t>
      </w:r>
    </w:p>
    <w:p>
      <w:pPr>
        <w:pStyle w:val="BodyText"/>
      </w:pPr>
      <w:r>
        <w:t xml:space="preserve">The exception is</w:t>
      </w:r>
      <w:r>
        <w:t xml:space="preserve"> </w:t>
      </w:r>
      <w:r>
        <w:rPr>
          <w:b/>
          <w:bCs/>
        </w:rPr>
        <w:t xml:space="preserve">coal-fired power</w:t>
      </w:r>
      <w:r>
        <w:t xml:space="preserve">, where both VIIRS (Spearman 1.0) and raw CH₄ concentration (Spearman 0.8) track the XCO₂ delta. Coal plants are the cleanest large fossil-CO₂ point sources in the set, and their enhancements (Bełchatów +0.90, Vindhyachal +0.99, Tuoketuo +0.60, Kendal +0.47, Mpumalanga +0.22 ppm) are all positive and ordered with the activity signal. This is a genuine — if n=5, illustrative — concentration-side confirmation that the proxy captures real CO₂ where a strong CO₂ point source exists.</w:t>
      </w:r>
    </w:p>
    <w:p>
      <w:pPr>
        <w:pStyle w:val="BodyText"/>
      </w:pPr>
      <w:r>
        <w:t xml:space="preserve">Correctly,</w:t>
      </w:r>
      <w:r>
        <w:t xml:space="preserve"> </w:t>
      </w:r>
      <w:r>
        <w:rPr>
          <w:b/>
          <w:bCs/>
        </w:rPr>
        <w:t xml:space="preserve">oil/gas and landfills show no positive XCO₂ tracking</w:t>
      </w:r>
      <w:r>
        <w:t xml:space="preserve"> </w:t>
      </w:r>
      <w:r>
        <w:t xml:space="preserve">(oil/gas slopes are negative; landfill rank ≈ 0). These regimes emit CH₄, not CO₂, so the absence of a CO₂ column enhancement is the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answer, not a failure. The rural CH₄–XCO₂ Spearman of −0.80 is spurious: four near-zero deltas (±background noise) with no physical emission to track. The largest single enhancement,</w:t>
      </w:r>
      <w:r>
        <w:t xml:space="preserve"> </w:t>
      </w:r>
      <w:r>
        <w:rPr>
          <w:b/>
          <w:bCs/>
        </w:rPr>
        <w:t xml:space="preserve">Sudokwon +3.54 ppm</w:t>
      </w:r>
      <w:r>
        <w:t xml:space="preserve">, rests on only 127 soundings and sits in the Seoul CO₂ plume, so it is not cleanly attributable to the landfill.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where-the-proxy-works"/>
    <w:p>
      <w:pPr>
        <w:pStyle w:val="Heading2"/>
      </w:pPr>
      <w:r>
        <w:t xml:space="preserve">§5. Where the proxy works</w:t>
      </w:r>
    </w:p>
    <w:p>
      <w:pPr>
        <w:pStyle w:val="FirstParagraph"/>
      </w:pPr>
      <w:r>
        <w:t xml:space="preserve">Confirmed agreement against at least one benchmark, weighted by evidence strength: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VIIRS as an industrial-activity proxy — validated against ODIAC</w:t>
      </w:r>
      <w:r>
        <w:t xml:space="preserve"> </w:t>
      </w:r>
      <w:r>
        <w:t xml:space="preserve">(Spearman 0.70, n=25, dense evidence). This is the proxy’s load-bearing channel and it does what it claims.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Fossil-CO₂ point sources — coal-fired power — validated against both benchmarks.</w:t>
      </w:r>
      <w:r>
        <w:t xml:space="preserve"> </w:t>
      </w:r>
      <w:r>
        <w:t xml:space="preserve">ODIAC is high at coal sites and the XCO₂ delta tracks the activity proxy there (VIIRS Spearman 1.0, CH₄ 0.8). Two independent benchmarks agree for this regime.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Correct silence where it should be silent.</w:t>
      </w:r>
      <w:r>
        <w:t xml:space="preserve"> </w:t>
      </w:r>
      <w:r>
        <w:t xml:space="preserve">CH₄ z correctly does not fire at urban or rural sites; XCO₂ correctly shows no enhancement at CH₄-only sources (oil/gas, landfill) and at clean rural sites. The proxy’s</w:t>
      </w:r>
      <w:r>
        <w:t xml:space="preserve"> </w:t>
      </w:r>
      <w:r>
        <w:rPr>
          <w:i/>
          <w:iCs/>
        </w:rPr>
        <w:t xml:space="preserve">negatives</w:t>
      </w:r>
      <w:r>
        <w:t xml:space="preserve"> </w:t>
      </w:r>
      <w:r>
        <w:t xml:space="preserve">are largely trustworthy.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ODIAC point/AOI-mean equivalence</w:t>
      </w:r>
      <w:r>
        <w:t xml:space="preserve"> </w:t>
      </w:r>
      <w:r>
        <w:t xml:space="preserve">(Spearman 0.81) — the activity comparison is robust to the sampling choice.</w:t>
      </w:r>
    </w:p>
    <w:p>
      <w:r>
        <w:pict>
          <v:rect style="width:0;height:1.5pt" o:hralign="center" o:hrstd="t" o:hr="t"/>
        </w:pict>
      </w:r>
    </w:p>
    <w:bookmarkEnd w:id="69"/>
    <w:bookmarkStart w:id="73" w:name="where-the-proxy-diverges-and-why"/>
    <w:p>
      <w:pPr>
        <w:pStyle w:val="Heading2"/>
      </w:pPr>
      <w:r>
        <w:t xml:space="preserve">§6. Where the proxy diverges, and why</w:t>
      </w:r>
    </w:p>
    <w:bookmarkStart w:id="70" w:name="Xfa0c251c1763f3e090b86bd77a2c7e56476721e"/>
    <w:p>
      <w:pPr>
        <w:pStyle w:val="Heading3"/>
      </w:pPr>
      <w:r>
        <w:t xml:space="preserve">6.1 Structural gap — CH₄ anomaly z underperforms at oil/gas and landfills</w:t>
      </w:r>
    </w:p>
    <w:p>
      <w:pPr>
        <w:pStyle w:val="FirstParagraph"/>
      </w:pPr>
      <w:r>
        <w:t xml:space="preserve">The dominant divergence. CH₄ z fired at 1/25 sites and is uncorrelated with ODIAC. Three compounding causes: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Footprint mismatch.</w:t>
      </w:r>
      <w:r>
        <w:t xml:space="preserve"> </w:t>
      </w:r>
      <w:r>
        <w:t xml:space="preserve">Sentinel-5P TROPOMI CH₄ has a ~7 km native ground pixel; the screening AOI is a 5 km radius. A landfill or well-pad plume occupies a fraction of one TROPOMI pixel, so the AOI mean is dominated by regional background CH₄, not the source.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Site-minus-background self-cancellation.</w:t>
      </w:r>
      <w:r>
        <w:t xml:space="preserve"> </w:t>
      </w:r>
      <w:r>
        <w:t xml:space="preserve">The z-score is</w:t>
      </w:r>
      <w:r>
        <w:t xml:space="preserve"> </w:t>
      </w:r>
      <w:r>
        <w:rPr>
          <w:rStyle w:val="VerbatimChar"/>
        </w:rPr>
        <w:t xml:space="preserve">(site − background) / bg_std</w:t>
      </w:r>
      <w:r>
        <w:t xml:space="preserve">. When the coarse CH₄ pixel that covers the site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covers much of the background ring, site and background move together and the numerator collapses toward zero — or goes negative when the background ring happens to sit over locally higher CH₄ (the Hassi Messaoud z = −4.03 case: a desert background ring with high CH₄ variance and a flaring-but-not-CH₄-elevated centre).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Threshold tuned above the achievable signal.</w:t>
      </w:r>
      <w:r>
        <w:t xml:space="preserve"> </w:t>
      </w:r>
      <w:r>
        <w:t xml:space="preserve">The single largest z in the set is 1.76; the z&gt;1.5 bar is effectively unreachable for diffuse and sub-pixel CH₄ sources at this radius.</w:t>
      </w:r>
    </w:p>
    <w:p>
      <w:pPr>
        <w:pStyle w:val="FirstParagraph"/>
      </w:pPr>
      <w:r>
        <w:t xml:space="preserve">This is a structural limitation of column CH₄ at the screening scale, not a coding bug — the snapshot path executes correctly (verified end-to-end).</w:t>
      </w:r>
    </w:p>
    <w:bookmarkEnd w:id="70"/>
    <w:bookmarkStart w:id="71" w:name="Xe8666a3724069a9bbb2f1c9e0766adbdf98361c"/>
    <w:p>
      <w:pPr>
        <w:pStyle w:val="Heading3"/>
      </w:pPr>
      <w:r>
        <w:t xml:space="preserve">6.2 Atmospheric-transport effects — XCO₂ decoupled from local emissions</w:t>
      </w:r>
    </w:p>
    <w:p>
      <w:pPr>
        <w:pStyle w:val="FirstParagraph"/>
      </w:pPr>
      <w:r>
        <w:t xml:space="preserve">Part B’s overall null is the</w:t>
      </w:r>
      <w:r>
        <w:t xml:space="preserve"> </w:t>
      </w:r>
      <w:r>
        <w:rPr>
          <w:b/>
          <w:bCs/>
        </w:rPr>
        <w:t xml:space="preserve">same attributability story M-WIND-A1 told for air quality</w:t>
      </w:r>
      <w:r>
        <w:t xml:space="preserve">, now for CO₂. A satellite XCO₂ retrieval measures the whole air column, which is dominated by the well-mixed global background (~420+ ppm) with only a thin local enhancement that wind advects away from the source. Under any appreciable wind the column peak decouples from the emitting cell. Hence small, sign-mixed deltas everywhere except where a source is strong and persistent enough to imprint the column — coal power (§4.2).</w:t>
      </w:r>
    </w:p>
    <w:bookmarkEnd w:id="71"/>
    <w:bookmarkStart w:id="72" w:name="benchmark-limitation-divergences"/>
    <w:p>
      <w:pPr>
        <w:pStyle w:val="Heading3"/>
      </w:pPr>
      <w:r>
        <w:t xml:space="preserve">6.3 Benchmark-limitation divergences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ODIAC sub-pixel sensitivity</w:t>
      </w:r>
      <w:r>
        <w:t xml:space="preserve"> </w:t>
      </w:r>
      <w:r>
        <w:t xml:space="preserve">(§3.3): the point sample can over- or under-state a site by orders of magnitude depending on whether the centre coordinate lands on the emitter cell.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OCO coverage gaps</w:t>
      </w:r>
      <w:r>
        <w:t xml:space="preserve"> </w:t>
      </w:r>
      <w:r>
        <w:t xml:space="preserve">(§4.1): sparse regimes (rural, some landfills) yield weak deltas; Siberian taiga yields none.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Coverage failures on the GHG side too:</w:t>
      </w:r>
      <w:r>
        <w:t xml:space="preserve"> </w:t>
      </w:r>
      <w:r>
        <w:t xml:space="preserve">Lagos and Olusosun returned</w:t>
      </w:r>
      <w:r>
        <w:t xml:space="preserve"> </w:t>
      </w:r>
      <w:r>
        <w:rPr>
          <w:rStyle w:val="VerbatimChar"/>
        </w:rPr>
        <w:t xml:space="preserve">SiteBufferNoDataError</w:t>
      </w:r>
      <w:r>
        <w:t xml:space="preserve"> </w:t>
      </w:r>
      <w:r>
        <w:t xml:space="preserve">for CH₄ — Sentinel-5P CH₄ retrieval is routinely absent over the bright/coastal Lagos region — so both Lagos-area sites have no CH₄ datapoint at all.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caveats-about-the-benchmarks-themselves"/>
    <w:p>
      <w:pPr>
        <w:pStyle w:val="Heading2"/>
      </w:pPr>
      <w:r>
        <w:t xml:space="preserve">§7. Caveats about the benchmarks themselves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N=25, operator-picked, not sampled.</w:t>
      </w:r>
      <w:r>
        <w:t xml:space="preserve"> </w:t>
      </w:r>
      <w:r>
        <w:t xml:space="preserve">Findings are illustrative. Per-regime correlations rest on n=4–5 and are noise-prone; the coal XCO₂ Spearman of 1.0 is striking but is five points.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ODIAC is a bottom-up inventory, not an observation.</w:t>
      </w:r>
      <w:r>
        <w:t xml:space="preserve"> </w:t>
      </w:r>
      <w:r>
        <w:t xml:space="preserve">Per-cell values are a</w:t>
      </w:r>
      <w:r>
        <w:t xml:space="preserve"> </w:t>
      </w:r>
      <w:r>
        <w:rPr>
          <w:i/>
          <w:iCs/>
        </w:rPr>
        <w:t xml:space="preserve">modelled allocation</w:t>
      </w:r>
      <w:r>
        <w:t xml:space="preserve"> </w:t>
      </w:r>
      <w:r>
        <w:t xml:space="preserve">of national statistics, partly</w:t>
      </w:r>
      <w:r>
        <w:t xml:space="preserve"> </w:t>
      </w:r>
      <w:r>
        <w:rPr>
          <w:i/>
          <w:iCs/>
        </w:rPr>
        <w:t xml:space="preserve">using nightlights themselves</w:t>
      </w:r>
      <w:r>
        <w:t xml:space="preserve"> </w:t>
      </w:r>
      <w:r>
        <w:t xml:space="preserve">— so a VIIRS↔ODIAC correlation is partly benchmarking VIIRS against a VIIRS-informed product. The provenance block carries</w:t>
      </w:r>
      <w:r>
        <w:t xml:space="preserve"> </w:t>
      </w:r>
      <w:r>
        <w:rPr>
          <w:rStyle w:val="VerbatimChar"/>
        </w:rPr>
        <w:t xml:space="preserve">data_type="emissions_inventory_allocation"</w:t>
      </w:r>
      <w:r>
        <w:t xml:space="preserve"> </w:t>
      </w:r>
      <w:r>
        <w:t xml:space="preserve">for exactly this reason. ODIAC↔VIIRS agreement is necessary-but-not-sufficient evidence.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Temporal-aggregation mismatch.</w:t>
      </w:r>
      <w:r>
        <w:t xml:space="preserve"> </w:t>
      </w:r>
      <w:r>
        <w:t xml:space="preserve">ODIAC is annual and stops at 2023; the GHG pillar window is 2025. The comparison assumes the</w:t>
      </w:r>
      <w:r>
        <w:t xml:space="preserve"> </w:t>
      </w:r>
      <w:r>
        <w:rPr>
          <w:i/>
          <w:iCs/>
        </w:rPr>
        <w:t xml:space="preserve">spatial pattern</w:t>
      </w:r>
      <w:r>
        <w:t xml:space="preserve"> </w:t>
      </w:r>
      <w:r>
        <w:t xml:space="preserve">of emissions is roughly stationary over ~2.5 years, which is reasonable for fixed infrastructure but not guaranteed.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OCO measures column concentration, not surface concentration or emissions.</w:t>
      </w:r>
      <w:r>
        <w:t xml:space="preserve"> </w:t>
      </w:r>
      <w:r>
        <w:t xml:space="preserve">XCO₂ is a column-averaged mole fraction; it is not directly comparable to either ODIAC (emissions) or to a surface CH₄ reading.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Footprint-vs-AOI mismatch.</w:t>
      </w:r>
      <w:r>
        <w:t xml:space="preserve"> </w:t>
      </w:r>
      <w:r>
        <w:t xml:space="preserve">The XCO₂ comparison pools soundings over a ±0.25° (~25 km) box, far larger than the 5 km screening AOI, to obtain usable counts. At high latitudes (Greenland, Siberian) a 0.25° longitude box is narrower in km than at the equator. Both effects mean the XCO₂</w:t>
      </w:r>
      <w:r>
        <w:t xml:space="preserve"> </w:t>
      </w:r>
      <w:r>
        <w:t xml:space="preserve">“AOI”</w:t>
      </w:r>
      <w:r>
        <w:t xml:space="preserve"> </w:t>
      </w:r>
      <w:r>
        <w:t xml:space="preserve">is not the screening AOI.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Atmospheric transport decouples sources from concentration peaks</w:t>
      </w:r>
      <w:r>
        <w:t xml:space="preserve"> </w:t>
      </w:r>
      <w:r>
        <w:t xml:space="preserve">(§6.2) — do not read the Part B null as</w:t>
      </w:r>
      <w:r>
        <w:t xml:space="preserve"> </w:t>
      </w:r>
      <w:r>
        <w:t xml:space="preserve">“the proxy is wrong”</w:t>
      </w:r>
      <w:r>
        <w:t xml:space="preserve">; read it as</w:t>
      </w:r>
      <w:r>
        <w:t xml:space="preserve"> </w:t>
      </w:r>
      <w:r>
        <w:t xml:space="preserve">“column concentration is the wrong benchmark for local activity except at strong point sources.”</w:t>
      </w:r>
    </w:p>
    <w:p>
      <w:pPr>
        <w:pStyle w:val="FirstParagraph"/>
      </w:pPr>
      <w:r>
        <w:t xml:space="preserve">The honest framing:</w:t>
      </w:r>
      <w:r>
        <w:t xml:space="preserve"> </w:t>
      </w:r>
      <w:r>
        <w:rPr>
          <w:b/>
          <w:bCs/>
        </w:rPr>
        <w:t xml:space="preserve">ODIAC and OCO measure different things, and neither is ground truth.</w:t>
      </w:r>
      <w:r>
        <w:t xml:space="preserve"> </w:t>
      </w:r>
      <w:r>
        <w:t xml:space="preserve">Together — emissions allocation plus column concentration — they triangulate the proxy question more credibly than either could alone, and they agree with each other (and with the proxy) precisely where the physics says they should: strong fossil-CO₂ point sources.</w:t>
      </w:r>
    </w:p>
    <w:p>
      <w:r>
        <w:pict>
          <v:rect style="width:0;height:1.5pt" o:hralign="center" o:hrstd="t" o:hr="t"/>
        </w:pict>
      </w:r>
    </w:p>
    <w:bookmarkEnd w:id="74"/>
    <w:bookmarkStart w:id="75" w:name="implications-for-calibration"/>
    <w:p>
      <w:pPr>
        <w:pStyle w:val="Heading2"/>
      </w:pPr>
      <w:r>
        <w:t xml:space="preserve">§8. Implications for calibration</w:t>
      </w:r>
    </w:p>
    <w:p>
      <w:pPr>
        <w:pStyle w:val="FirstParagraph"/>
      </w:pPr>
      <w:r>
        <w:t xml:space="preserve">For the upcoming calibration sweep spec: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CH₄ anomaly z needs re-thresholding or re-scoping.</w:t>
      </w:r>
      <w:r>
        <w:t xml:space="preserve"> </w:t>
      </w:r>
      <w:r>
        <w:t xml:space="preserve">At a 5 km radius the z&gt;1.5 bar is unreachable for the diffuse/sub-pixel CH₄ sources it targets (1/25 firing rate). Options for the sweep to weigh: (a) lower the threshold and re-characterise the false-positive rate; (b) widen the CH₄ AOI to match the ~7 km TROPOMI footprint so site and background stop cancelling —</w:t>
      </w:r>
      <w:r>
        <w:t xml:space="preserve"> </w:t>
      </w:r>
      <w:r>
        <w:rPr>
          <w:b/>
          <w:bCs/>
        </w:rPr>
        <w:t xml:space="preserve">tested directly in §10 (Response B) and rejected: widening to 15 km did not restore firing (1/25 → 0/25)</w:t>
      </w:r>
      <w:r>
        <w:t xml:space="preserve">; (c) demote CH₄ z to a context indicator and stop treating non-firing as</w:t>
      </w:r>
      <w:r>
        <w:t xml:space="preserve"> </w:t>
      </w:r>
      <w:r>
        <w:t xml:space="preserve">“clean”</w:t>
      </w:r>
      <w:r>
        <w:t xml:space="preserve">, the way ODIAC was demoted. The current behaviour quietly reports CH₄-heavy landfills and well-fields as unremarkable. With (b) eliminated, the live options are (a) and (c).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VIIRS buckets appear defensible.</w:t>
      </w:r>
      <w:r>
        <w:t xml:space="preserve"> </w:t>
      </w:r>
      <w:r>
        <w:t xml:space="preserve">VIIRS tracks ODIAC (0.70) and tracks XCO₂ at coal sites (1.0). The sweep should still confirm the</w:t>
      </w:r>
      <w:r>
        <w:t xml:space="preserve"> </w:t>
      </w:r>
      <w:r>
        <w:rPr>
          <w:i/>
          <w:iCs/>
        </w:rPr>
        <w:t xml:space="preserve">bucket boundaries</w:t>
      </w:r>
      <w:r>
        <w:t xml:space="preserve"> </w:t>
      </w:r>
      <w:r>
        <w:t xml:space="preserve">against this continuous evidence, but the signal itself is sound.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Flag known-weak regimes explicitly in the M-UX-A1 parameter-transparency surface.</w:t>
      </w:r>
      <w:r>
        <w:t xml:space="preserve"> </w:t>
      </w:r>
      <w:r>
        <w:t xml:space="preserve">The score should declare, for landfill/waste and oil/gas sites, that the CH₄ channel is operating below its detection floor at this radius — i.e. surface</w:t>
      </w:r>
      <w:r>
        <w:t xml:space="preserve"> </w:t>
      </w:r>
      <w:r>
        <w:t xml:space="preserve">“CH₄ proxy known-weak for this source type”</w:t>
      </w:r>
      <w:r>
        <w:t xml:space="preserve"> </w:t>
      </w:r>
      <w:r>
        <w:t xml:space="preserve">rather than implying a confident low reading.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build an ODIAC- or XCO₂-severity score.</w:t>
      </w:r>
      <w:r>
        <w:t xml:space="preserve"> </w:t>
      </w:r>
      <w:r>
        <w:t xml:space="preserve">Both benchmarks have disqualifying limitations for scoring (ODIAC vintage + allocation circularity; XCO₂ transport-decoupling + coverage gaps). They are validation evidence, not score inputs.</w:t>
      </w:r>
    </w:p>
    <w:p>
      <w:r>
        <w:pict>
          <v:rect style="width:0;height:1.5pt" o:hralign="center" o:hrstd="t" o:hr="t"/>
        </w:pict>
      </w:r>
    </w:p>
    <w:bookmarkEnd w:id="75"/>
    <w:bookmarkStart w:id="76" w:name="Xb0b605c131bb656efa7a6e409876e5fc3b54e73"/>
    <w:p>
      <w:pPr>
        <w:pStyle w:val="Heading2"/>
      </w:pPr>
      <w:r>
        <w:t xml:space="preserve">§9. Open questions for the calibration-sweep spec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CH₄ radius vs threshold:</w:t>
      </w:r>
      <w:r>
        <w:t xml:space="preserve"> </w:t>
      </w:r>
      <w:r>
        <w:t xml:space="preserve">should the sweep widen the CH₄ AOI to the TROPOMI footprint, lower the z threshold, or reframe CH₄ z as context-only? (Evidence points away from</w:t>
      </w:r>
      <w:r>
        <w:t xml:space="preserve"> </w:t>
      </w:r>
      <w:r>
        <w:t xml:space="preserve">“keep z&gt;1.5 at 5 km”</w:t>
      </w:r>
      <w:r>
        <w:t xml:space="preserve">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Landfill detectability:</w:t>
      </w:r>
      <w:r>
        <w:t xml:space="preserve"> </w:t>
      </w:r>
      <w:r>
        <w:t xml:space="preserve">is there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satellite CH₄ configuration in the current stack that fires at these five landfills, or is landfill CH₄ simply below the achievable floor for column TROPOMI — implying the regime should be flagged known-weak rather than tuned?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VIIRS bucket boundaries:</w:t>
      </w:r>
      <w:r>
        <w:t xml:space="preserve"> </w:t>
      </w:r>
      <w:r>
        <w:t xml:space="preserve">what continuous VIIRS↔(ODIAC, XCO₂) evidence should set the bucket cuts, given VIIRS is the validated channel?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ODIAC circularity:</w:t>
      </w:r>
      <w:r>
        <w:t xml:space="preserve"> </w:t>
      </w:r>
      <w:r>
        <w:t xml:space="preserve">how much should a VIIRS↔ODIAC agreement count as independent validation, given ODIAC’s diffuse allocation uses nightlights? Does the sweep need a non-VIIRS-derived emissions benchmark (e.g. EDGAR, GRA²PES) to break the circularity?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Coal-only XCO₂ success — generalise or special-case?</w:t>
      </w:r>
      <w:r>
        <w:t xml:space="preserve"> </w:t>
      </w:r>
      <w:r>
        <w:t xml:space="preserve">Is the coal-regime XCO₂ agreement robust enough (beyond n=5) to claim concentration-side validation, or should the spec commission OCO-3 SAM-targeted extractions at more point sources before relying on it?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Wind conditioning for Part B:</w:t>
      </w:r>
      <w:r>
        <w:t xml:space="preserve"> </w:t>
      </w:r>
      <w:r>
        <w:t xml:space="preserve">M-WIND-A1 conditioned air-quality attributability on wind. Should an XCO₂ re-run filter to low-wind overpasses to test whether the coal signal sharpens and other regimes emerge?</w:t>
      </w:r>
    </w:p>
    <w:p>
      <w:pPr>
        <w:pStyle w:val="FirstParagraph"/>
      </w:pPr>
      <w:r>
        <w:t xml:space="preserve">These feed the calibration-sweep spec, the next milestone after this validation.</w:t>
      </w:r>
    </w:p>
    <w:p>
      <w:r>
        <w:pict>
          <v:rect style="width:0;height:1.5pt" o:hralign="center" o:hrstd="t" o:hr="t"/>
        </w:pict>
      </w:r>
    </w:p>
    <w:bookmarkEnd w:id="76"/>
    <w:bookmarkStart w:id="84" w:name="response-b-aoi-widening-5-km-15-km"/>
    <w:p>
      <w:pPr>
        <w:pStyle w:val="Heading2"/>
      </w:pPr>
      <w:r>
        <w:t xml:space="preserve">§10. Response B — AOI widening (5 km → 15 km)</w:t>
      </w:r>
    </w:p>
    <w:p>
      <w:pPr>
        <w:pStyle w:val="FirstParagraph"/>
      </w:pPr>
      <w:r>
        <w:rPr>
          <w:i/>
          <w:iCs/>
        </w:rPr>
        <w:t xml:space="preserve">Follow-up test, 30 May 2026. Sibling extraction: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analysis/ghg_odiac_validation_widened_aoi.csv</w:t>
      </w:r>
      <w:r>
        <w:rPr>
          <w:i/>
          <w:iCs/>
        </w:rPr>
        <w:t xml:space="preserve">; comparison: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analysis/response_b_compare.py</w:t>
      </w:r>
      <w:r>
        <w:rPr>
          <w:i/>
          <w:iCs/>
        </w:rPr>
        <w:t xml:space="preserve"> </w:t>
      </w:r>
      <w:r>
        <w:rPr>
          <w:i/>
          <w:iCs/>
        </w:rPr>
        <w:t xml:space="preserve">→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analysis/response_b_comparison.md</w:t>
      </w:r>
      <w:r>
        <w:rPr>
          <w:i/>
          <w:iCs/>
        </w:rPr>
        <w:t xml:space="preserve">.</w:t>
      </w:r>
    </w:p>
    <w:bookmarkStart w:id="77" w:name="test-and-rationale"/>
    <w:p>
      <w:pPr>
        <w:pStyle w:val="Heading3"/>
      </w:pPr>
      <w:r>
        <w:t xml:space="preserve">10.1 Test and rationale</w:t>
      </w:r>
    </w:p>
    <w:p>
      <w:pPr>
        <w:pStyle w:val="FirstParagraph"/>
      </w:pPr>
      <w:r>
        <w:t xml:space="preserve">§1/§6.1 diagnosed the CH₄ proxy’s 1/25 firing rate as</w:t>
      </w:r>
      <w:r>
        <w:t xml:space="preserve"> </w:t>
      </w:r>
      <w:r>
        <w:rPr>
          <w:b/>
          <w:bCs/>
        </w:rPr>
        <w:t xml:space="preserve">site-minus-background self-cancellation</w:t>
      </w:r>
      <w:r>
        <w:t xml:space="preserve">: at the 5 km screening radius, the AOI sits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Sentinel-5P TROPOMI’s ~7 km native CH₄ footprint, so the site disc and the background ring sample largely the same pixels and the</w:t>
      </w:r>
      <w:r>
        <w:t xml:space="preserve"> </w:t>
      </w:r>
      <w:r>
        <w:rPr>
          <w:rStyle w:val="VerbatimChar"/>
        </w:rPr>
        <w:t xml:space="preserve">(site − background)</w:t>
      </w:r>
      <w:r>
        <w:t xml:space="preserve"> </w:t>
      </w:r>
      <w:r>
        <w:t xml:space="preserve">numerator collapses. Response B tests the direct remedy:</w:t>
      </w:r>
      <w:r>
        <w:t xml:space="preserve"> </w:t>
      </w:r>
      <w:r>
        <w:rPr>
          <w:b/>
          <w:bCs/>
        </w:rPr>
        <w:t xml:space="preserve">re-run the CH₄ extraction at a 15 km AOI</w:t>
      </w:r>
      <w:r>
        <w:t xml:space="preserve"> </w:t>
      </w:r>
      <w:r>
        <w:t xml:space="preserve">— clearly exceeding the 7 km footprint, so the site disc spans multiple distinct CH₄ pixels and separates from the background ring — holding everything else constant (same 25 locations, same 2025-06→2025-12 window, same band, same per-day reducer, same engine path). At 15 km the background ring scales to 15–75 km (</w:t>
      </w:r>
      <w:r>
        <w:rPr>
          <w:rStyle w:val="VerbatimChar"/>
        </w:rPr>
        <w:t xml:space="preserve">BACKGROUND_RING_RADIUS_MULTIPLE=5</w:t>
      </w:r>
      <w:r>
        <w:t xml:space="preserve">, uncapped below the 200 km ceiling). Step-A reconnaissance confirmed the engine runs cleanly at 15 km with no radius-dependent breakage; the ring/site geometry scales geodesically and the pixel-size guard passes trivially.</w:t>
      </w:r>
    </w:p>
    <w:bookmarkEnd w:id="77"/>
    <w:bookmarkStart w:id="81" w:name="findings"/>
    <w:p>
      <w:pPr>
        <w:pStyle w:val="Heading3"/>
      </w:pPr>
      <w:r>
        <w:t xml:space="preserve">10.2 Findings</w:t>
      </w:r>
    </w:p>
    <w:p>
      <w:pPr>
        <w:pStyle w:val="CaptionedFigure"/>
      </w:pPr>
      <w:r>
        <w:drawing>
          <wp:inline>
            <wp:extent cx="5334000" cy="3809999"/>
            <wp:effectExtent b="0" l="0" r="0" t="0"/>
            <wp:docPr descr="Plot 8 — CH4 anomaly z (15 km AOI) vs ODIAC" title="" id="79" name="Picture"/>
            <a:graphic>
              <a:graphicData uri="http://schemas.openxmlformats.org/drawingml/2006/picture">
                <pic:pic>
                  <pic:nvPicPr>
                    <pic:cNvPr descr="../analysis/plots/plot8_ch4z15_vs_odiac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Plot 8 — CH4 anomaly z (15 km AOI) vs ODIAC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5 km</w:t>
            </w:r>
          </w:p>
        </w:tc>
        <w:tc>
          <w:tcPr/>
          <w:p>
            <w:pPr>
              <w:pStyle w:val="Compact"/>
            </w:pPr>
            <w:r>
              <w:t xml:space="preserve">15 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Sites firing (z &gt; 1.5)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1/25</w:t>
            </w:r>
            <w:r>
              <w:t xml:space="preserve"> </w:t>
            </w:r>
            <w:r>
              <w:t xml:space="preserve">(Mpumalanga)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0/25</w:t>
            </w:r>
            <w:r>
              <w:t xml:space="preserve"> </w:t>
            </w: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z across all 25</w:t>
            </w:r>
          </w:p>
        </w:tc>
        <w:tc>
          <w:tcPr/>
          <w:p>
            <w:pPr>
              <w:pStyle w:val="Compact"/>
            </w:pPr>
            <w:r>
              <w:t xml:space="preserve">1.76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1.46</w:t>
            </w:r>
            <w:r>
              <w:t xml:space="preserve"> </w:t>
            </w:r>
            <w:r>
              <w:t xml:space="preserve">(Bordo Poniente)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|z|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CH₄ vs log₁₀(ODIAC) Spearman</w:t>
            </w:r>
          </w:p>
        </w:tc>
        <w:tc>
          <w:tcPr/>
          <w:p>
            <w:pPr>
              <w:pStyle w:val="Compact"/>
            </w:pPr>
            <w:r>
              <w:t xml:space="preserve">−0.20</w:t>
            </w:r>
          </w:p>
        </w:tc>
        <w:tc>
          <w:tcPr/>
          <w:p>
            <w:pPr>
              <w:pStyle w:val="Compact"/>
            </w:pPr>
            <w:r>
              <w:t xml:space="preserve">−0.02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Sites moved toward firing (Δz &gt; 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14 / 23</w:t>
            </w:r>
          </w:p>
        </w:tc>
      </w:tr>
    </w:tbl>
    <w:p>
      <w:pPr>
        <w:pStyle w:val="BodyText"/>
      </w:pPr>
      <w:r>
        <w:t xml:space="preserve">Per regime at 15 km,</w:t>
      </w:r>
      <w:r>
        <w:t xml:space="preserve"> </w:t>
      </w:r>
      <w:r>
        <w:rPr>
          <w:b/>
          <w:bCs/>
        </w:rPr>
        <w:t xml:space="preserve">no site in any regime fired</w:t>
      </w:r>
      <w:r>
        <w:t xml:space="preserve"> </w:t>
      </w:r>
      <w:r>
        <w:t xml:space="preserve">— including the two target regimes: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Oil/gas:</w:t>
      </w:r>
      <w:r>
        <w:t xml:space="preserve"> </w:t>
      </w:r>
      <w:r>
        <w:t xml:space="preserve">Permian −0.79→+0.15, Bakken +0.52→−0.05, Hassi Messaoud −4.03→−2.75, Tengiz +0.70→+0.46, Comodoro −2.52→−4.09. Range tops out at +0.46. None fire.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Landfill:</w:t>
      </w:r>
      <w:r>
        <w:t xml:space="preserve"> </w:t>
      </w:r>
      <w:r>
        <w:t xml:space="preserve">Sudokwon +0.21→+0.75, Bordo Poniente +0.83→</w:t>
      </w:r>
      <w:r>
        <w:rPr>
          <w:b/>
          <w:bCs/>
        </w:rPr>
        <w:t xml:space="preserve">+1.46</w:t>
      </w:r>
      <w:r>
        <w:t xml:space="preserve">, Apex +1.01→+0.52, Puente Hills +0.15→+0.36. Bordo Poniente gets closest of any site in the set, but still short of 1.5.</w:t>
      </w:r>
    </w:p>
    <w:bookmarkEnd w:id="81"/>
    <w:bookmarkStart w:id="82" w:name="X9854dab615e414ae46974146dd5618e47f0731a"/>
    <w:p>
      <w:pPr>
        <w:pStyle w:val="Heading3"/>
      </w:pPr>
      <w:r>
        <w:t xml:space="preserve">10.3 Verdict —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(does not restore the CH₄ proxy signal)</w:t>
      </w:r>
    </w:p>
    <w:p>
      <w:pPr>
        <w:pStyle w:val="FirstParagraph"/>
      </w:pPr>
      <w:r>
        <w:t xml:space="preserve">Widening the AOI to 15 km</w:t>
      </w:r>
      <w:r>
        <w:t xml:space="preserve"> </w:t>
      </w:r>
      <w:r>
        <w:rPr>
          <w:b/>
          <w:bCs/>
        </w:rPr>
        <w:t xml:space="preserve">did not restore firing</w:t>
      </w:r>
      <w:r>
        <w:t xml:space="preserve"> </w:t>
      </w:r>
      <w:r>
        <w:t xml:space="preserve">— the firing rate went</w:t>
      </w:r>
      <w:r>
        <w:t xml:space="preserve"> </w:t>
      </w:r>
      <w:r>
        <w:rPr>
          <w:i/>
          <w:iCs/>
        </w:rPr>
        <w:t xml:space="preserve">down</w:t>
      </w:r>
      <w:r>
        <w:t xml:space="preserve">, from 1/25 to 0/25, and the maximum achievable z</w:t>
      </w:r>
      <w:r>
        <w:t xml:space="preserve"> </w:t>
      </w:r>
      <w:r>
        <w:rPr>
          <w:i/>
          <w:iCs/>
        </w:rPr>
        <w:t xml:space="preserve">fell</w:t>
      </w:r>
      <w:r>
        <w:t xml:space="preserve"> </w:t>
      </w:r>
      <w:r>
        <w:t xml:space="preserve">from 1.76 to 1.46. The CH₄↔ODIAC correlation stayed at ~0 (−0.20 → −0.02). The hypothesised mechanism is real but the remedy is self-defeating: separating the site from the background does remove the pathological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z artifacts (14 of 23 sites moved toward zero/positive; the deeply negative oil/gas readings lifted — Permian, Hassi Messaoud, Comodoro’s neighbours), so the widened distribution is</w:t>
      </w:r>
      <w:r>
        <w:t xml:space="preserve"> </w:t>
      </w:r>
      <w:r>
        <w:rPr>
          <w:i/>
          <w:iCs/>
        </w:rPr>
        <w:t xml:space="preserve">healthier</w:t>
      </w:r>
      <w:r>
        <w:t xml:space="preserve"> </w:t>
      </w:r>
      <w:r>
        <w:t xml:space="preserve">and centred nearer zero. But a 15 km disc averages the genuinely</w:t>
      </w:r>
      <w:r>
        <w:t xml:space="preserve"> </w:t>
      </w:r>
      <w:r>
        <w:rPr>
          <w:b/>
          <w:bCs/>
        </w:rPr>
        <w:t xml:space="preserve">sub-pixel</w:t>
      </w:r>
      <w:r>
        <w:t xml:space="preserve"> </w:t>
      </w:r>
      <w:r>
        <w:t xml:space="preserve">point-source plume over ~16× more area, diluting the very enhancement the detector needs faster than it gains separation from the background. Net effect: the z-distribution</w:t>
      </w:r>
      <w:r>
        <w:t xml:space="preserve"> </w:t>
      </w:r>
      <w:r>
        <w:rPr>
          <w:b/>
          <w:bCs/>
        </w:rPr>
        <w:t xml:space="preserve">regresses toward zero</w:t>
      </w:r>
      <w:r>
        <w:t xml:space="preserve">, not toward the firing band.</w:t>
      </w:r>
    </w:p>
    <w:p>
      <w:pPr>
        <w:pStyle w:val="BodyText"/>
      </w:pPr>
      <w:r>
        <w:t xml:space="preserve">A qualified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observation sits underneath the No: widening is directionally healthier (it kills the false-negative-looking deep-negative artifacts, and the closest-to-firing site is now correctly a landfill), but</w:t>
      </w:r>
      <w:r>
        <w:t xml:space="preserve"> </w:t>
      </w:r>
      <w:r>
        <w:t xml:space="preserve">“healthier distribution”</w:t>
      </w:r>
      <w:r>
        <w:t xml:space="preserve"> </w:t>
      </w:r>
      <w:r>
        <w:t xml:space="preserve">is not</w:t>
      </w:r>
      <w:r>
        <w:t xml:space="preserve"> </w:t>
      </w:r>
      <w:r>
        <w:t xml:space="preserve">“restored signal”</w:t>
      </w:r>
      <w:r>
        <w:t xml:space="preserve">, and zero sites firing is the operative result. The honest read is that</w:t>
      </w:r>
      <w:r>
        <w:t xml:space="preserve"> </w:t>
      </w:r>
      <w:r>
        <w:rPr>
          <w:b/>
          <w:bCs/>
        </w:rPr>
        <w:t xml:space="preserve">column CH₄ from TROPOMI cannot resolve these diffuse/sub-pixel sources at any AOI radius in this stack</w:t>
      </w:r>
      <w:r>
        <w:t xml:space="preserve"> </w:t>
      </w:r>
      <w:r>
        <w:t xml:space="preserve">— widening trades one failure mode (self-cancellation) for another (plume dilution).</w:t>
      </w:r>
    </w:p>
    <w:bookmarkEnd w:id="82"/>
    <w:bookmarkStart w:id="83" w:name="implications"/>
    <w:p>
      <w:pPr>
        <w:pStyle w:val="Heading3"/>
      </w:pPr>
      <w:r>
        <w:t xml:space="preserve">10.4 Implications</w:t>
      </w:r>
    </w:p>
    <w:p>
      <w:pPr>
        <w:pStyle w:val="FirstParagraph"/>
      </w:pPr>
      <w:r>
        <w:t xml:space="preserve">Response B</w:t>
      </w:r>
      <w:r>
        <w:t xml:space="preserve"> </w:t>
      </w:r>
      <w:r>
        <w:rPr>
          <w:b/>
          <w:bCs/>
        </w:rPr>
        <w:t xml:space="preserve">eliminates option (b)</w:t>
      </w:r>
      <w:r>
        <w:t xml:space="preserve"> </w:t>
      </w:r>
      <w:r>
        <w:t xml:space="preserve">from §8.1 (widen the AOI). The CH₄ channel cannot be repaired by geometry alone. The next step is</w:t>
      </w:r>
      <w:r>
        <w:t xml:space="preserve"> </w:t>
      </w:r>
      <w:r>
        <w:rPr>
          <w:b/>
          <w:bCs/>
        </w:rPr>
        <w:t xml:space="preserve">Response A — reframe CH₄ anomaly z as a context-only indicator</w:t>
      </w:r>
      <w:r>
        <w:t xml:space="preserve"> </w:t>
      </w:r>
      <w:r>
        <w:t xml:space="preserve">(not a firing detector), and surface</w:t>
      </w:r>
      <w:r>
        <w:t xml:space="preserve"> </w:t>
      </w:r>
      <w:r>
        <w:t xml:space="preserve">“CH₄ proxy known-weak for this source type”</w:t>
      </w:r>
      <w:r>
        <w:t xml:space="preserve"> </w:t>
      </w:r>
      <w:r>
        <w:t xml:space="preserve">in the M-UX-A1 transparency layer (§8.3) rather than reporting CH₄-heavy landfills and well-fields as unremarkable. Option (a) (lower the threshold) remains available but is weakened by Response B: with the max achievable z at 1.46 and the distribution centred near zero, any threshold low enough to fire at landfills would also fire across rural and urban noise — a poor separability trade the calibration sweep would have to characterise explicitly.</w:t>
      </w:r>
    </w:p>
    <w:p>
      <w:pPr>
        <w:pStyle w:val="BodyText"/>
      </w:pPr>
      <w:r>
        <w:t xml:space="preserve">This test changed no production code, thresholds, or the production AOI radius; CH₄ is not yet reframed as context-only (that is Response A, now the recommended next step).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reproducibility"/>
    <w:p>
      <w:pPr>
        <w:pStyle w:val="Heading2"/>
      </w:pPr>
      <w:r>
        <w:t xml:space="preserve">§11. Reproducibility</w:t>
      </w:r>
    </w:p>
    <w:p>
      <w:pPr>
        <w:pStyle w:val="SourceCode"/>
      </w:pPr>
      <w:r>
        <w:rPr>
          <w:rStyle w:val="VerbatimChar"/>
        </w:rPr>
        <w:t xml:space="preserve"># 1. Activity extraction (Earth Engine; writes the CSV)</w:t>
      </w:r>
      <w:r>
        <w:br/>
      </w:r>
      <w:r>
        <w:rPr>
          <w:rStyle w:val="VerbatimChar"/>
        </w:rPr>
        <w:t xml:space="preserve">python analysis/extract_part_a.py</w:t>
      </w:r>
      <w:r>
        <w:br/>
      </w:r>
      <w:r>
        <w:rPr>
          <w:rStyle w:val="VerbatimChar"/>
        </w:rPr>
        <w:t xml:space="preserve"># 2. Concentration extraction (earthaccess/GES DISC; adds XCO2 columns)</w:t>
      </w:r>
      <w:r>
        <w:br/>
      </w:r>
      <w:r>
        <w:rPr>
          <w:rStyle w:val="VerbatimChar"/>
        </w:rPr>
        <w:t xml:space="preserve">#    Requires a NASA Earthdata login (~/.netrc) with the GES DISC app authorised.</w:t>
      </w:r>
      <w:r>
        <w:br/>
      </w:r>
      <w:r>
        <w:rPr>
          <w:rStyle w:val="VerbatimChar"/>
        </w:rPr>
        <w:t xml:space="preserve">python analysis/extract_part_b.py</w:t>
      </w:r>
      <w:r>
        <w:br/>
      </w:r>
      <w:r>
        <w:rPr>
          <w:rStyle w:val="VerbatimChar"/>
        </w:rPr>
        <w:t xml:space="preserve"># 3. Analysis, figures, correlation tables</w:t>
      </w:r>
      <w:r>
        <w:br/>
      </w:r>
      <w:r>
        <w:rPr>
          <w:rStyle w:val="VerbatimChar"/>
        </w:rPr>
        <w:t xml:space="preserve">python analysis/analysis_plots.py</w:t>
      </w:r>
      <w:r>
        <w:br/>
      </w:r>
      <w:r>
        <w:rPr>
          <w:rStyle w:val="VerbatimChar"/>
        </w:rPr>
        <w:t xml:space="preserve"># 4. (Re)build + execute the notebook</w:t>
      </w:r>
      <w:r>
        <w:br/>
      </w:r>
      <w:r>
        <w:rPr>
          <w:rStyle w:val="VerbatimChar"/>
        </w:rPr>
        <w:t xml:space="preserve">python analysis/build_notebook.py</w:t>
      </w:r>
      <w:r>
        <w:br/>
      </w:r>
      <w:r>
        <w:rPr>
          <w:rStyle w:val="VerbatimChar"/>
        </w:rPr>
        <w:t xml:space="preserve">jupyter nbconvert --to notebook --execute --inplace analysis/ghg_odiac_validation.ipynb</w:t>
      </w:r>
      <w:r>
        <w:br/>
      </w:r>
      <w:r>
        <w:rPr>
          <w:rStyle w:val="VerbatimChar"/>
        </w:rPr>
        <w:t xml:space="preserve"># 5. Response B (§10) — CH4 re-extraction at 15 km AOI + comparison</w:t>
      </w:r>
      <w:r>
        <w:br/>
      </w:r>
      <w:r>
        <w:rPr>
          <w:rStyle w:val="VerbatimChar"/>
        </w:rPr>
        <w:t xml:space="preserve">python analysis/extract_ch4_widened.py     # → ghg_odiac_validation_widened_aoi.csv</w:t>
      </w:r>
      <w:r>
        <w:br/>
      </w:r>
      <w:r>
        <w:rPr>
          <w:rStyle w:val="VerbatimChar"/>
        </w:rPr>
        <w:t xml:space="preserve">python analysis/response_b_compare.py       # → plot8 + response_b_comparison.md</w:t>
      </w:r>
    </w:p>
    <w:p>
      <w:pPr>
        <w:pStyle w:val="FirstParagraph"/>
      </w:pPr>
      <w:r>
        <w:t xml:space="preserve">Figures embed from</w:t>
      </w:r>
      <w:r>
        <w:t xml:space="preserve"> </w:t>
      </w:r>
      <w:r>
        <w:rPr>
          <w:rStyle w:val="VerbatimChar"/>
        </w:rPr>
        <w:t xml:space="preserve">analysis/plots/*.png</w:t>
      </w:r>
      <w:r>
        <w:t xml:space="preserve"> </w:t>
      </w:r>
      <w:r>
        <w:t xml:space="preserve">(referenced relatively as</w:t>
      </w:r>
      <w:r>
        <w:t xml:space="preserve"> </w:t>
      </w:r>
      <w:r>
        <w:rPr>
          <w:rStyle w:val="VerbatimChar"/>
        </w:rPr>
        <w:t xml:space="preserve">../analysis/plots/…</w:t>
      </w:r>
      <w:r>
        <w:t xml:space="preserve"> </w:t>
      </w:r>
      <w:r>
        <w:t xml:space="preserve">from this report); regenerate them with step 3 before re-exporting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 The committed</w:t>
      </w:r>
      <w:r>
        <w:t xml:space="preserve"> </w:t>
      </w:r>
      <w:r>
        <w:rPr>
          <w:rStyle w:val="VerbatimChar"/>
        </w:rPr>
        <w:t xml:space="preserve">analysis/ghg_odiac_validation.csv</w:t>
      </w:r>
      <w:r>
        <w:t xml:space="preserve"> </w:t>
      </w:r>
      <w:r>
        <w:t xml:space="preserve">is the single data table behind every number above.</w:t>
      </w:r>
    </w:p>
    <w:p>
      <w:pPr>
        <w:pStyle w:val="BodyText"/>
      </w:pPr>
      <w:r>
        <w:rPr>
          <w:i/>
          <w:iCs/>
        </w:rPr>
        <w:t xml:space="preserve">OCO-2/OCO-3 data: NASA ACOS L2 Lite FP, distributed by NASA GES DISC. ODIAC: NIES Japan. Sentinel-5P CH₄ and VIIRS via Google Earth Engine.</w:t>
      </w:r>
    </w:p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3" Target="numbering.xml" /><Relationship Type="http://schemas.openxmlformats.org/officeDocument/2006/relationships/styles" Id="rId32" Target="styles.xml" /><Relationship Type="http://schemas.openxmlformats.org/officeDocument/2006/relationships/settings" Id="rId31" Target="settings.xml" /><Relationship Type="http://schemas.openxmlformats.org/officeDocument/2006/relationships/webSettings" Id="rId30" Target="webSettings.xml" /><Relationship Type="http://schemas.openxmlformats.org/officeDocument/2006/relationships/fontTable" Id="rId29" Target="fontTable.xml" /><Relationship Type="http://schemas.openxmlformats.org/officeDocument/2006/relationships/theme" Id="rId28" Target="theme/theme1.xml" /><Relationship Type="http://schemas.openxmlformats.org/officeDocument/2006/relationships/footnotes" Id="rId27" Target="footnotes.xml" /><Relationship Type="http://schemas.openxmlformats.org/officeDocument/2006/relationships/comments" Id="rId26" Target="comments.xml" /><Relationship Id="rId22" Target="media/rId22.png" Type="http://schemas.openxmlformats.org/officeDocument/2006/relationships/image" /><Relationship Id="rId17" Target="media/rId17.png" Type="http://schemas.openxmlformats.org/officeDocument/2006/relationships/image" /><Relationship Id="rId25" Target="media/rId25.png" Type="http://schemas.openxmlformats.org/officeDocument/2006/relationships/image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2026-05-30T14:44:49Z</dcterms:created>
  <dcterms:modified xsi:type="dcterms:W3CDTF">2026-05-30T14:44:49Z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