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Chapter 7 — Metric and Indicator Design</w:t>
      </w:r>
    </w:p>
    <w:p>
      <w:r>
        <w:rPr>
          <w:i/>
          <w:color w:val="555555"/>
          <w:sz w:val="24"/>
        </w:rPr>
        <w:t>End-to-end worked example: two contrasting supplier screenings</w:t>
      </w:r>
    </w:p>
    <w:p>
      <w:r>
        <w:rPr>
          <w:b w:val="0"/>
          <w:i w:val="0"/>
          <w:sz w:val="20"/>
        </w:rPr>
        <w:t>Worked sites — both run as 90-day screenings (22 Feb – 23 May 2026), 10 km site buffer, 19 indicators across all three pillars:</w:t>
      </w:r>
    </w:p>
    <w:p>
      <w:pPr>
        <w:pStyle w:val="ListBullet"/>
      </w:pPr>
      <w:r>
        <w:rPr>
          <w:b/>
        </w:rPr>
        <w:t xml:space="preserve">Site A — Patagonia. </w:t>
      </w:r>
      <w:r>
        <w:t>Comodoro Rivadavia — San Jorge Oil &amp; Gas Basin, Argentina (−45.86, −67.50). An onshore oil-and-gas hub on the Patagonian coast.</w:t>
      </w:r>
    </w:p>
    <w:p>
      <w:pPr>
        <w:pStyle w:val="ListBullet"/>
      </w:pPr>
      <w:r>
        <w:rPr>
          <w:b/>
        </w:rPr>
        <w:t xml:space="preserve">Site B — Norilsk. </w:t>
      </w:r>
      <w:r>
        <w:t>Norilsk — Nornickel Polar Smelter Complex, Russia (69.35, 88.19). A nickel/copper smelting complex above the Arctic Circle.</w:t>
      </w:r>
    </w:p>
    <w:p>
      <w:r>
        <w:rPr>
          <w:b w:val="0"/>
          <w:i w:val="0"/>
          <w:sz w:val="20"/>
        </w:rPr>
        <w:t>The two were chosen because they emit comparably hard on the air and GHG pillars yet diverge sharply on the Nature pillar and on attributability — which is exactly what makes them a complete tour of the design. Every figure below is taken verbatim from the saved-analysis payloads; the engine conventions are cited to Indicators_Computation_v4.md (“IC”).</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b/>
                <w:sz w:val="18"/>
              </w:rPr>
            </w:r>
          </w:p>
        </w:tc>
        <w:tc>
          <w:tcPr>
            <w:tcW w:type="dxa" w:w="2304"/>
          </w:tcPr>
          <w:p>
            <w:r/>
            <w:r>
              <w:rPr>
                <w:b/>
                <w:sz w:val="18"/>
              </w:rPr>
              <w:t>Patagonia (A)</w:t>
            </w:r>
          </w:p>
        </w:tc>
        <w:tc>
          <w:tcPr>
            <w:tcW w:type="dxa" w:w="2304"/>
          </w:tcPr>
          <w:p>
            <w:r/>
            <w:r>
              <w:rPr>
                <w:b/>
                <w:sz w:val="18"/>
              </w:rPr>
              <w:t>Norilsk (B)</w:t>
            </w:r>
          </w:p>
        </w:tc>
      </w:tr>
      <w:tr>
        <w:tc>
          <w:tcPr>
            <w:tcW w:type="dxa" w:w="3744"/>
          </w:tcPr>
          <w:p>
            <w:r/>
            <w:r>
              <w:rPr>
                <w:sz w:val="18"/>
              </w:rPr>
              <w:t>Composite overall screening</w:t>
            </w:r>
          </w:p>
        </w:tc>
        <w:tc>
          <w:tcPr>
            <w:tcW w:type="dxa" w:w="2304"/>
          </w:tcPr>
          <w:p>
            <w:r/>
            <w:r>
              <w:rPr>
                <w:sz w:val="18"/>
              </w:rPr>
              <w:t>0.428</w:t>
            </w:r>
          </w:p>
        </w:tc>
        <w:tc>
          <w:tcPr>
            <w:tcW w:type="dxa" w:w="2304"/>
          </w:tcPr>
          <w:p>
            <w:r/>
            <w:r>
              <w:rPr>
                <w:sz w:val="18"/>
              </w:rPr>
              <w:t>0.314</w:t>
            </w:r>
          </w:p>
        </w:tc>
      </w:tr>
      <w:tr>
        <w:tc>
          <w:tcPr>
            <w:tcW w:type="dxa" w:w="3744"/>
          </w:tcPr>
          <w:p>
            <w:r/>
            <w:r>
              <w:rPr>
                <w:sz w:val="18"/>
              </w:rPr>
              <w:t>Composite confidence</w:t>
            </w:r>
          </w:p>
        </w:tc>
        <w:tc>
          <w:tcPr>
            <w:tcW w:type="dxa" w:w="2304"/>
          </w:tcPr>
          <w:p>
            <w:r/>
            <w:r>
              <w:rPr>
                <w:sz w:val="18"/>
              </w:rPr>
              <w:t>0.687</w:t>
            </w:r>
          </w:p>
        </w:tc>
        <w:tc>
          <w:tcPr>
            <w:tcW w:type="dxa" w:w="2304"/>
          </w:tcPr>
          <w:p>
            <w:r/>
            <w:r>
              <w:rPr>
                <w:sz w:val="18"/>
              </w:rPr>
              <w:t>0.665</w:t>
            </w:r>
          </w:p>
        </w:tc>
      </w:tr>
      <w:tr>
        <w:tc>
          <w:tcPr>
            <w:tcW w:type="dxa" w:w="3744"/>
          </w:tcPr>
          <w:p>
            <w:r/>
            <w:r>
              <w:rPr>
                <w:sz w:val="18"/>
              </w:rPr>
              <w:t>Air follow-up priority</w:t>
            </w:r>
          </w:p>
        </w:tc>
        <w:tc>
          <w:tcPr>
            <w:tcW w:type="dxa" w:w="2304"/>
          </w:tcPr>
          <w:p>
            <w:r/>
            <w:r>
              <w:rPr>
                <w:sz w:val="18"/>
              </w:rPr>
              <w:t>0.192</w:t>
            </w:r>
          </w:p>
        </w:tc>
        <w:tc>
          <w:tcPr>
            <w:tcW w:type="dxa" w:w="2304"/>
          </w:tcPr>
          <w:p>
            <w:r/>
            <w:r>
              <w:rPr>
                <w:sz w:val="18"/>
              </w:rPr>
              <w:t>0.282</w:t>
            </w:r>
          </w:p>
        </w:tc>
      </w:tr>
      <w:tr>
        <w:tc>
          <w:tcPr>
            <w:tcW w:type="dxa" w:w="3744"/>
          </w:tcPr>
          <w:p>
            <w:r/>
            <w:r>
              <w:rPr>
                <w:sz w:val="18"/>
              </w:rPr>
              <w:t>GHG follow-up priority</w:t>
            </w:r>
          </w:p>
        </w:tc>
        <w:tc>
          <w:tcPr>
            <w:tcW w:type="dxa" w:w="2304"/>
          </w:tcPr>
          <w:p>
            <w:r/>
            <w:r>
              <w:rPr>
                <w:sz w:val="18"/>
              </w:rPr>
              <w:t>0.480</w:t>
            </w:r>
          </w:p>
        </w:tc>
        <w:tc>
          <w:tcPr>
            <w:tcW w:type="dxa" w:w="2304"/>
          </w:tcPr>
          <w:p>
            <w:r/>
            <w:r>
              <w:rPr>
                <w:sz w:val="18"/>
              </w:rPr>
              <w:t>0.446</w:t>
            </w:r>
          </w:p>
        </w:tc>
      </w:tr>
      <w:tr>
        <w:tc>
          <w:tcPr>
            <w:tcW w:type="dxa" w:w="3744"/>
          </w:tcPr>
          <w:p>
            <w:r/>
            <w:r>
              <w:rPr>
                <w:sz w:val="18"/>
              </w:rPr>
              <w:t>Nature follow-up priority</w:t>
            </w:r>
          </w:p>
        </w:tc>
        <w:tc>
          <w:tcPr>
            <w:tcW w:type="dxa" w:w="2304"/>
          </w:tcPr>
          <w:p>
            <w:r/>
            <w:r>
              <w:rPr>
                <w:sz w:val="18"/>
              </w:rPr>
              <w:t>0.612</w:t>
            </w:r>
          </w:p>
        </w:tc>
        <w:tc>
          <w:tcPr>
            <w:tcW w:type="dxa" w:w="2304"/>
          </w:tcPr>
          <w:p>
            <w:r/>
            <w:r>
              <w:rPr>
                <w:sz w:val="18"/>
              </w:rPr>
              <w:t>0.213</w:t>
            </w:r>
          </w:p>
        </w:tc>
      </w:tr>
    </w:tbl>
    <w:p>
      <w:r>
        <w:rPr>
          <w:i/>
          <w:color w:val="555555"/>
          <w:sz w:val="17"/>
        </w:rPr>
        <w:t>Headline outputs. The two sites land close on Air and GHG but diverge on Nature — the driver of the composite gap.</w:t>
      </w:r>
    </w:p>
    <w:p>
      <w:pPr>
        <w:pStyle w:val="Heading1"/>
      </w:pPr>
      <w:r>
        <w:rPr>
          <w:color w:val="1F3A5F"/>
        </w:rPr>
        <w:t>7.0  Metric and Indicator Design</w:t>
      </w:r>
    </w:p>
    <w:p>
      <w:r>
        <w:rPr>
          <w:b w:val="0"/>
          <w:i w:val="0"/>
        </w:rPr>
        <w:t>This chapter explains how a raw satellite observation becomes a 0–1 screening score, how the three pillars are combined, and how the engine reports its own confidence and the attributability of what it finds. Each section states the rule, then shows it firing on Patagonia and Norilsk.</w:t>
      </w:r>
    </w:p>
    <w:p>
      <w:pPr>
        <w:pStyle w:val="Heading1"/>
      </w:pPr>
      <w:r>
        <w:rPr>
          <w:color w:val="1F3A5F"/>
        </w:rPr>
        <w:t>7.1  Shared conventions (raw vs score, anomaly core, normalisation)</w:t>
      </w:r>
    </w:p>
    <w:p>
      <w:r>
        <w:rPr>
          <w:b w:val="0"/>
          <w:i w:val="0"/>
        </w:rPr>
        <w:t>Every indicator emits two things (IC §0.1): a raw value in physical units — what the dashboard shows and what ESG standards cite — and a 0–1 score used inside the composite. Composite formulas only ever touch scores; mixing raw units would scramble the arithmetic.</w:t>
      </w:r>
    </w:p>
    <w:p>
      <w:r>
        <w:rPr>
          <w:b w:val="0"/>
          <w:i w:val="0"/>
        </w:rPr>
        <w:t>Most pollutant signals run the same six-step repeatable core (IC §0.2): (1) site value = mean over the site buffer; (2) background = median over the 5–25 km ring; (3) absolute anomaly = site − background; (4) z = anomaly / σ_background; (5) hotspot frequency HF = fraction of dates with z ≥ 2; (6) confidence. The raw value is then normalised to a score (IC §0.4): score = clamp((site − bg) / (k·σ_bg), 0, 1) with k = 3, so a 3-σ exceedance saturates at 1.0. NDVI inverts the numerator because lower is worse.</w:t>
      </w:r>
    </w:p>
    <w:p>
      <w:r>
        <w:rPr>
          <w:b/>
          <w:i w:val="0"/>
        </w:rPr>
        <w:t>Worked example — Patagonia AOD (aerosol optical depth) walks the whole chain:</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tcPr>
          <w:p>
            <w:r/>
            <w:r>
              <w:rPr>
                <w:b/>
                <w:sz w:val="18"/>
              </w:rPr>
              <w:t>Step</w:t>
            </w:r>
          </w:p>
        </w:tc>
        <w:tc>
          <w:tcPr>
            <w:tcW w:type="dxa" w:w="3888"/>
          </w:tcPr>
          <w:p>
            <w:r/>
            <w:r>
              <w:rPr>
                <w:b/>
                <w:sz w:val="18"/>
              </w:rPr>
              <w:t>Quantity</w:t>
            </w:r>
          </w:p>
        </w:tc>
        <w:tc>
          <w:tcPr>
            <w:tcW w:type="dxa" w:w="2304"/>
          </w:tcPr>
          <w:p>
            <w:r/>
            <w:r>
              <w:rPr>
                <w:b/>
                <w:sz w:val="18"/>
              </w:rPr>
              <w:t>Value</w:t>
            </w:r>
          </w:p>
        </w:tc>
      </w:tr>
      <w:tr>
        <w:tc>
          <w:tcPr>
            <w:tcW w:type="dxa" w:w="1008"/>
          </w:tcPr>
          <w:p>
            <w:r/>
            <w:r>
              <w:rPr>
                <w:sz w:val="18"/>
              </w:rPr>
              <w:t>1</w:t>
            </w:r>
          </w:p>
        </w:tc>
        <w:tc>
          <w:tcPr>
            <w:tcW w:type="dxa" w:w="3888"/>
          </w:tcPr>
          <w:p>
            <w:r/>
            <w:r>
              <w:rPr>
                <w:sz w:val="18"/>
              </w:rPr>
              <w:t>Site value (P_site)</w:t>
            </w:r>
          </w:p>
        </w:tc>
        <w:tc>
          <w:tcPr>
            <w:tcW w:type="dxa" w:w="2304"/>
          </w:tcPr>
          <w:p>
            <w:r/>
            <w:r>
              <w:rPr>
                <w:sz w:val="18"/>
              </w:rPr>
              <w:t>48.720</w:t>
            </w:r>
          </w:p>
        </w:tc>
      </w:tr>
      <w:tr>
        <w:tc>
          <w:tcPr>
            <w:tcW w:type="dxa" w:w="1008"/>
          </w:tcPr>
          <w:p>
            <w:r/>
            <w:r>
              <w:rPr>
                <w:sz w:val="18"/>
              </w:rPr>
              <w:t>2</w:t>
            </w:r>
          </w:p>
        </w:tc>
        <w:tc>
          <w:tcPr>
            <w:tcW w:type="dxa" w:w="3888"/>
          </w:tcPr>
          <w:p>
            <w:r/>
            <w:r>
              <w:rPr>
                <w:sz w:val="18"/>
              </w:rPr>
              <w:t>Background median (P_bg)</w:t>
            </w:r>
          </w:p>
        </w:tc>
        <w:tc>
          <w:tcPr>
            <w:tcW w:type="dxa" w:w="2304"/>
          </w:tcPr>
          <w:p>
            <w:r/>
            <w:r>
              <w:rPr>
                <w:sz w:val="18"/>
              </w:rPr>
              <w:t>31.739</w:t>
            </w:r>
          </w:p>
        </w:tc>
      </w:tr>
      <w:tr>
        <w:tc>
          <w:tcPr>
            <w:tcW w:type="dxa" w:w="1008"/>
          </w:tcPr>
          <w:p>
            <w:r/>
            <w:r>
              <w:rPr>
                <w:sz w:val="18"/>
              </w:rPr>
              <w:t>3</w:t>
            </w:r>
          </w:p>
        </w:tc>
        <w:tc>
          <w:tcPr>
            <w:tcW w:type="dxa" w:w="3888"/>
          </w:tcPr>
          <w:p>
            <w:r/>
            <w:r>
              <w:rPr>
                <w:sz w:val="18"/>
              </w:rPr>
              <w:t>Absolute anomaly</w:t>
            </w:r>
          </w:p>
        </w:tc>
        <w:tc>
          <w:tcPr>
            <w:tcW w:type="dxa" w:w="2304"/>
          </w:tcPr>
          <w:p>
            <w:r/>
            <w:r>
              <w:rPr>
                <w:sz w:val="18"/>
              </w:rPr>
              <w:t>16.981</w:t>
            </w:r>
          </w:p>
        </w:tc>
      </w:tr>
      <w:tr>
        <w:tc>
          <w:tcPr>
            <w:tcW w:type="dxa" w:w="1008"/>
          </w:tcPr>
          <w:p>
            <w:r/>
            <w:r>
              <w:rPr>
                <w:sz w:val="18"/>
              </w:rPr>
              <w:t>4</w:t>
            </w:r>
          </w:p>
        </w:tc>
        <w:tc>
          <w:tcPr>
            <w:tcW w:type="dxa" w:w="3888"/>
          </w:tcPr>
          <w:p>
            <w:r/>
            <w:r>
              <w:rPr>
                <w:sz w:val="18"/>
              </w:rPr>
              <w:t>Normalised z</w:t>
            </w:r>
          </w:p>
        </w:tc>
        <w:tc>
          <w:tcPr>
            <w:tcW w:type="dxa" w:w="2304"/>
          </w:tcPr>
          <w:p>
            <w:r/>
            <w:r>
              <w:rPr>
                <w:sz w:val="18"/>
              </w:rPr>
              <w:t>0.402</w:t>
            </w:r>
          </w:p>
        </w:tc>
      </w:tr>
      <w:tr>
        <w:tc>
          <w:tcPr>
            <w:tcW w:type="dxa" w:w="1008"/>
          </w:tcPr>
          <w:p>
            <w:r/>
            <w:r>
              <w:rPr>
                <w:sz w:val="18"/>
              </w:rPr>
              <w:t>5</w:t>
            </w:r>
          </w:p>
        </w:tc>
        <w:tc>
          <w:tcPr>
            <w:tcW w:type="dxa" w:w="3888"/>
          </w:tcPr>
          <w:p>
            <w:r/>
            <w:r>
              <w:rPr>
                <w:sz w:val="18"/>
              </w:rPr>
              <w:t>Hotspot frequency (HF)</w:t>
            </w:r>
          </w:p>
        </w:tc>
        <w:tc>
          <w:tcPr>
            <w:tcW w:type="dxa" w:w="2304"/>
          </w:tcPr>
          <w:p>
            <w:r/>
            <w:r>
              <w:rPr>
                <w:sz w:val="18"/>
              </w:rPr>
              <w:t>0.169</w:t>
            </w:r>
          </w:p>
        </w:tc>
      </w:tr>
      <w:tr>
        <w:tc>
          <w:tcPr>
            <w:tcW w:type="dxa" w:w="1008"/>
          </w:tcPr>
          <w:p>
            <w:r/>
            <w:r>
              <w:rPr>
                <w:sz w:val="18"/>
              </w:rPr>
              <w:t>—</w:t>
            </w:r>
          </w:p>
        </w:tc>
        <w:tc>
          <w:tcPr>
            <w:tcW w:type="dxa" w:w="3888"/>
          </w:tcPr>
          <w:p>
            <w:r/>
            <w:r>
              <w:rPr>
                <w:sz w:val="18"/>
              </w:rPr>
              <w:t>Normalised 0–1 score</w:t>
            </w:r>
          </w:p>
        </w:tc>
        <w:tc>
          <w:tcPr>
            <w:tcW w:type="dxa" w:w="2304"/>
          </w:tcPr>
          <w:p>
            <w:r/>
            <w:r>
              <w:rPr>
                <w:sz w:val="18"/>
              </w:rPr>
              <w:t>0.134</w:t>
            </w:r>
          </w:p>
        </w:tc>
      </w:tr>
    </w:tbl>
    <w:p>
      <w:r>
        <w:rPr>
          <w:i/>
          <w:color w:val="555555"/>
          <w:sz w:val="17"/>
        </w:rPr>
        <w:t>Patagonia AOD: site 48.7 vs background 31.7 → z = 0.40 → score 0.13. The site is above its region but well short of the 3-σ cap, so the score is modest. This is the grammar every Air indicator and the CAMS PM terms share.</w:t>
      </w:r>
    </w:p>
    <w:p>
      <w:r>
        <w:rPr>
          <w:b w:val="0"/>
          <w:i w:val="0"/>
        </w:rPr>
        <w:t>Key reading rule (IC §0.7, §0.9): a score is a site-vs-region anomaly, not an absolute reading. A clean-region site that stands out locally can score higher than a dirty-region site that blends in. The raw Site value is surfaced separately for absolute/regulatory interpretation.</w:t>
      </w:r>
    </w:p>
    <w:p>
      <w:pPr>
        <w:pStyle w:val="Heading1"/>
      </w:pPr>
      <w:r>
        <w:rPr>
          <w:color w:val="1F3A5F"/>
        </w:rPr>
        <w:t>7.2  Air pillar — anomaly grammar</w:t>
      </w:r>
    </w:p>
    <w:p>
      <w:r>
        <w:rPr>
          <w:b w:val="0"/>
          <w:i w:val="0"/>
        </w:rPr>
        <w:t>All eight Air indicators run the §0.2 z-score core. The pillar score is an anomaly detector: it asks whether the supplier stands out against its own regional ring.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024"/>
          </w:tcPr>
          <w:p>
            <w:r/>
            <w:r>
              <w:rPr>
                <w:b/>
                <w:sz w:val="18"/>
              </w:rPr>
              <w:t>Air indicator</w:t>
            </w:r>
          </w:p>
        </w:tc>
        <w:tc>
          <w:tcPr>
            <w:tcW w:type="dxa" w:w="1584"/>
          </w:tcPr>
          <w:p>
            <w:r/>
            <w:r>
              <w:rPr>
                <w:b/>
                <w:sz w:val="18"/>
              </w:rPr>
              <w:t>Patagonia z</w:t>
            </w:r>
          </w:p>
        </w:tc>
        <w:tc>
          <w:tcPr>
            <w:tcW w:type="dxa" w:w="1440"/>
          </w:tcPr>
          <w:p>
            <w:r/>
            <w:r>
              <w:rPr>
                <w:b/>
                <w:sz w:val="18"/>
              </w:rPr>
              <w:t>Pat. score</w:t>
            </w:r>
          </w:p>
        </w:tc>
        <w:tc>
          <w:tcPr>
            <w:tcW w:type="dxa" w:w="1584"/>
          </w:tcPr>
          <w:p>
            <w:r/>
            <w:r>
              <w:rPr>
                <w:b/>
                <w:sz w:val="18"/>
              </w:rPr>
              <w:t>Norilsk z</w:t>
            </w:r>
          </w:p>
        </w:tc>
        <w:tc>
          <w:tcPr>
            <w:tcW w:type="dxa" w:w="1440"/>
          </w:tcPr>
          <w:p>
            <w:r/>
            <w:r>
              <w:rPr>
                <w:b/>
                <w:sz w:val="18"/>
              </w:rPr>
              <w:t>Nor. score</w:t>
            </w:r>
          </w:p>
        </w:tc>
      </w:tr>
      <w:tr>
        <w:tc>
          <w:tcPr>
            <w:tcW w:type="dxa" w:w="3024"/>
          </w:tcPr>
          <w:p>
            <w:r/>
            <w:r>
              <w:rPr>
                <w:sz w:val="18"/>
              </w:rPr>
              <w:t>HCHO (formaldehyde)</w:t>
            </w:r>
          </w:p>
        </w:tc>
        <w:tc>
          <w:tcPr>
            <w:tcW w:type="dxa" w:w="1584"/>
          </w:tcPr>
          <w:p>
            <w:r/>
            <w:r>
              <w:rPr>
                <w:sz w:val="18"/>
              </w:rPr>
              <w:t>0.016</w:t>
            </w:r>
          </w:p>
        </w:tc>
        <w:tc>
          <w:tcPr>
            <w:tcW w:type="dxa" w:w="1440"/>
          </w:tcPr>
          <w:p>
            <w:r/>
            <w:r>
              <w:rPr>
                <w:sz w:val="18"/>
              </w:rPr>
              <w:t>0.005</w:t>
            </w:r>
          </w:p>
        </w:tc>
        <w:tc>
          <w:tcPr>
            <w:tcW w:type="dxa" w:w="1584"/>
          </w:tcPr>
          <w:p>
            <w:r/>
            <w:r>
              <w:rPr>
                <w:sz w:val="18"/>
              </w:rPr>
              <w:t>1.748</w:t>
            </w:r>
          </w:p>
        </w:tc>
        <w:tc>
          <w:tcPr>
            <w:tcW w:type="dxa" w:w="1440"/>
          </w:tcPr>
          <w:p>
            <w:r/>
            <w:r>
              <w:rPr>
                <w:sz w:val="18"/>
              </w:rPr>
              <w:t>0.583</w:t>
            </w:r>
          </w:p>
        </w:tc>
      </w:tr>
      <w:tr>
        <w:tc>
          <w:tcPr>
            <w:tcW w:type="dxa" w:w="3024"/>
          </w:tcPr>
          <w:p>
            <w:r/>
            <w:r>
              <w:rPr>
                <w:sz w:val="18"/>
              </w:rPr>
              <w:t>AOD (aerosol)</w:t>
            </w:r>
          </w:p>
        </w:tc>
        <w:tc>
          <w:tcPr>
            <w:tcW w:type="dxa" w:w="1584"/>
          </w:tcPr>
          <w:p>
            <w:r/>
            <w:r>
              <w:rPr>
                <w:sz w:val="18"/>
              </w:rPr>
              <w:t>0.402</w:t>
            </w:r>
          </w:p>
        </w:tc>
        <w:tc>
          <w:tcPr>
            <w:tcW w:type="dxa" w:w="1440"/>
          </w:tcPr>
          <w:p>
            <w:r/>
            <w:r>
              <w:rPr>
                <w:sz w:val="18"/>
              </w:rPr>
              <w:t>0.134</w:t>
            </w:r>
          </w:p>
        </w:tc>
        <w:tc>
          <w:tcPr>
            <w:tcW w:type="dxa" w:w="1584"/>
          </w:tcPr>
          <w:p>
            <w:r/>
            <w:r>
              <w:rPr>
                <w:sz w:val="18"/>
              </w:rPr>
              <w:t>0.976</w:t>
            </w:r>
          </w:p>
        </w:tc>
        <w:tc>
          <w:tcPr>
            <w:tcW w:type="dxa" w:w="1440"/>
          </w:tcPr>
          <w:p>
            <w:r/>
            <w:r>
              <w:rPr>
                <w:sz w:val="18"/>
              </w:rPr>
              <w:t>0.325</w:t>
            </w:r>
          </w:p>
        </w:tc>
      </w:tr>
      <w:tr>
        <w:tc>
          <w:tcPr>
            <w:tcW w:type="dxa" w:w="3024"/>
          </w:tcPr>
          <w:p>
            <w:r/>
            <w:r>
              <w:rPr>
                <w:sz w:val="18"/>
              </w:rPr>
              <w:t>NO₂</w:t>
            </w:r>
          </w:p>
        </w:tc>
        <w:tc>
          <w:tcPr>
            <w:tcW w:type="dxa" w:w="1584"/>
          </w:tcPr>
          <w:p>
            <w:r/>
            <w:r>
              <w:rPr>
                <w:sz w:val="18"/>
              </w:rPr>
              <w:t>0.439</w:t>
            </w:r>
          </w:p>
        </w:tc>
        <w:tc>
          <w:tcPr>
            <w:tcW w:type="dxa" w:w="1440"/>
          </w:tcPr>
          <w:p>
            <w:r/>
            <w:r>
              <w:rPr>
                <w:sz w:val="18"/>
              </w:rPr>
              <w:t>0.146</w:t>
            </w:r>
          </w:p>
        </w:tc>
        <w:tc>
          <w:tcPr>
            <w:tcW w:type="dxa" w:w="1584"/>
          </w:tcPr>
          <w:p>
            <w:r/>
            <w:r>
              <w:rPr>
                <w:sz w:val="18"/>
              </w:rPr>
              <w:t>0.451</w:t>
            </w:r>
          </w:p>
        </w:tc>
        <w:tc>
          <w:tcPr>
            <w:tcW w:type="dxa" w:w="1440"/>
          </w:tcPr>
          <w:p>
            <w:r/>
            <w:r>
              <w:rPr>
                <w:sz w:val="18"/>
              </w:rPr>
              <w:t>0.150</w:t>
            </w:r>
          </w:p>
        </w:tc>
      </w:tr>
      <w:tr>
        <w:tc>
          <w:tcPr>
            <w:tcW w:type="dxa" w:w="3024"/>
          </w:tcPr>
          <w:p>
            <w:r/>
            <w:r>
              <w:rPr>
                <w:sz w:val="18"/>
              </w:rPr>
              <w:t>CO</w:t>
            </w:r>
          </w:p>
        </w:tc>
        <w:tc>
          <w:tcPr>
            <w:tcW w:type="dxa" w:w="1584"/>
          </w:tcPr>
          <w:p>
            <w:r/>
            <w:r>
              <w:rPr>
                <w:sz w:val="18"/>
              </w:rPr>
              <w:t>0.473</w:t>
            </w:r>
          </w:p>
        </w:tc>
        <w:tc>
          <w:tcPr>
            <w:tcW w:type="dxa" w:w="1440"/>
          </w:tcPr>
          <w:p>
            <w:r/>
            <w:r>
              <w:rPr>
                <w:sz w:val="18"/>
              </w:rPr>
              <w:t>0.158</w:t>
            </w:r>
          </w:p>
        </w:tc>
        <w:tc>
          <w:tcPr>
            <w:tcW w:type="dxa" w:w="1584"/>
          </w:tcPr>
          <w:p>
            <w:r/>
            <w:r>
              <w:rPr>
                <w:sz w:val="18"/>
              </w:rPr>
              <w:t>0.345</w:t>
            </w:r>
          </w:p>
        </w:tc>
        <w:tc>
          <w:tcPr>
            <w:tcW w:type="dxa" w:w="1440"/>
          </w:tcPr>
          <w:p>
            <w:r/>
            <w:r>
              <w:rPr>
                <w:sz w:val="18"/>
              </w:rPr>
              <w:t>0.115</w:t>
            </w:r>
          </w:p>
        </w:tc>
      </w:tr>
      <w:tr>
        <w:tc>
          <w:tcPr>
            <w:tcW w:type="dxa" w:w="3024"/>
          </w:tcPr>
          <w:p>
            <w:r/>
            <w:r>
              <w:rPr>
                <w:sz w:val="18"/>
              </w:rPr>
              <w:t>SO₂</w:t>
            </w:r>
          </w:p>
        </w:tc>
        <w:tc>
          <w:tcPr>
            <w:tcW w:type="dxa" w:w="1584"/>
          </w:tcPr>
          <w:p>
            <w:r/>
            <w:r>
              <w:rPr>
                <w:sz w:val="18"/>
              </w:rPr>
              <w:t>0.162</w:t>
            </w:r>
          </w:p>
        </w:tc>
        <w:tc>
          <w:tcPr>
            <w:tcW w:type="dxa" w:w="1440"/>
          </w:tcPr>
          <w:p>
            <w:r/>
            <w:r>
              <w:rPr>
                <w:sz w:val="18"/>
              </w:rPr>
              <w:t>0.054</w:t>
            </w:r>
          </w:p>
        </w:tc>
        <w:tc>
          <w:tcPr>
            <w:tcW w:type="dxa" w:w="1584"/>
          </w:tcPr>
          <w:p>
            <w:r/>
            <w:r>
              <w:rPr>
                <w:sz w:val="18"/>
              </w:rPr>
              <w:t>—</w:t>
            </w:r>
          </w:p>
        </w:tc>
        <w:tc>
          <w:tcPr>
            <w:tcW w:type="dxa" w:w="1440"/>
          </w:tcPr>
          <w:p>
            <w:r/>
            <w:r>
              <w:rPr>
                <w:sz w:val="18"/>
              </w:rPr>
              <w:t>—</w:t>
            </w:r>
          </w:p>
        </w:tc>
      </w:tr>
      <w:tr>
        <w:tc>
          <w:tcPr>
            <w:tcW w:type="dxa" w:w="3024"/>
          </w:tcPr>
          <w:p>
            <w:r/>
            <w:r>
              <w:rPr>
                <w:sz w:val="18"/>
              </w:rPr>
              <w:t>O₃</w:t>
            </w:r>
          </w:p>
        </w:tc>
        <w:tc>
          <w:tcPr>
            <w:tcW w:type="dxa" w:w="1584"/>
          </w:tcPr>
          <w:p>
            <w:r/>
            <w:r>
              <w:rPr>
                <w:sz w:val="18"/>
              </w:rPr>
              <w:t>0.044</w:t>
            </w:r>
          </w:p>
        </w:tc>
        <w:tc>
          <w:tcPr>
            <w:tcW w:type="dxa" w:w="1440"/>
          </w:tcPr>
          <w:p>
            <w:r/>
            <w:r>
              <w:rPr>
                <w:sz w:val="18"/>
              </w:rPr>
              <w:t>0.015</w:t>
            </w:r>
          </w:p>
        </w:tc>
        <w:tc>
          <w:tcPr>
            <w:tcW w:type="dxa" w:w="1584"/>
          </w:tcPr>
          <w:p>
            <w:r/>
            <w:r>
              <w:rPr>
                <w:sz w:val="18"/>
              </w:rPr>
              <w:t>0.052</w:t>
            </w:r>
          </w:p>
        </w:tc>
        <w:tc>
          <w:tcPr>
            <w:tcW w:type="dxa" w:w="1440"/>
          </w:tcPr>
          <w:p>
            <w:r/>
            <w:r>
              <w:rPr>
                <w:sz w:val="18"/>
              </w:rPr>
              <w:t>0.017</w:t>
            </w:r>
          </w:p>
        </w:tc>
      </w:tr>
      <w:tr>
        <w:tc>
          <w:tcPr>
            <w:tcW w:type="dxa" w:w="3024"/>
          </w:tcPr>
          <w:p>
            <w:r/>
            <w:r>
              <w:rPr>
                <w:sz w:val="18"/>
              </w:rPr>
              <w:t>AAI</w:t>
            </w:r>
          </w:p>
        </w:tc>
        <w:tc>
          <w:tcPr>
            <w:tcW w:type="dxa" w:w="1584"/>
          </w:tcPr>
          <w:p>
            <w:r/>
            <w:r>
              <w:rPr>
                <w:sz w:val="18"/>
              </w:rPr>
              <w:t>-0.110</w:t>
            </w:r>
          </w:p>
        </w:tc>
        <w:tc>
          <w:tcPr>
            <w:tcW w:type="dxa" w:w="1440"/>
          </w:tcPr>
          <w:p>
            <w:r/>
            <w:r>
              <w:rPr>
                <w:sz w:val="18"/>
              </w:rPr>
              <w:t>0.000</w:t>
            </w:r>
          </w:p>
        </w:tc>
        <w:tc>
          <w:tcPr>
            <w:tcW w:type="dxa" w:w="1584"/>
          </w:tcPr>
          <w:p>
            <w:r/>
            <w:r>
              <w:rPr>
                <w:sz w:val="18"/>
              </w:rPr>
              <w:t>-0.516</w:t>
            </w:r>
          </w:p>
        </w:tc>
        <w:tc>
          <w:tcPr>
            <w:tcW w:type="dxa" w:w="1440"/>
          </w:tcPr>
          <w:p>
            <w:r/>
            <w:r>
              <w:rPr>
                <w:sz w:val="18"/>
              </w:rPr>
              <w:t>0.000</w:t>
            </w:r>
          </w:p>
        </w:tc>
      </w:tr>
    </w:tbl>
    <w:p>
      <w:r>
        <w:rPr>
          <w:i/>
          <w:color w:val="555555"/>
          <w:sz w:val="17"/>
        </w:rPr>
        <w:t>Per-indicator z and score. Norilsk's HCHO (z 1.75 → 0.58) and AOD (z 0.98 → 0.33) are the strongest Air signals across both sites — consistent with smelter plumes. Patagonia is more evenly modest, led by CO (z 0.47) and NO₂ (z 0.44).</w:t>
      </w:r>
    </w:p>
    <w:p>
      <w:r>
        <w:rPr>
          <w:b w:val="0"/>
          <w:i w:val="0"/>
        </w:rPr>
        <w:t>Note SO₂: Patagonia returns a real value (z 0.16, score 0.054); Norilsk returns None — the SO₂ retrieval dropped out and was handled by graceful degradation (§7.8), not substituted with a default. Both sites also lose PM₁₀/PM₂.₅ to the buffer rule (§7.8). The surviving indicators are averaged into the pillar follow-up priority: Patagonia 0.192 vs Norilsk 0.282.</w:t>
      </w:r>
    </w:p>
    <w:p>
      <w:pPr>
        <w:pStyle w:val="Heading1"/>
      </w:pPr>
      <w:r>
        <w:rPr>
          <w:color w:val="1F3A5F"/>
        </w:rPr>
        <w:t>7.3  GHG pillar — absolute-anchored activity grammar</w:t>
      </w:r>
    </w:p>
    <w:p>
      <w:r>
        <w:rPr>
          <w:b w:val="0"/>
          <w:i w:val="0"/>
        </w:rPr>
        <w:t>GHG deliberately does NOT use the z-score anomaly grammar (IC §2.2a, CLAUDE.md §7). It asks a different physical question — how much sustained industrial activity is here — and answers it from two absolute-anchored, satellite-only terms. The scored GHG core is:</w:t>
      </w:r>
    </w:p>
    <w:p>
      <w:r>
        <w:rPr>
          <w:rFonts w:ascii="Consolas" w:hAnsi="Consolas"/>
          <w:b/>
          <w:sz w:val="20"/>
        </w:rPr>
        <w:t>Core_GHG_Audit_Support = 0.60 · Combustion_proxy  +  0.40 · VIIRS_flaring</w:t>
      </w:r>
    </w:p>
    <w:p>
      <w:pPr>
        <w:pStyle w:val="ListBullet"/>
      </w:pPr>
      <w:r>
        <w:rPr>
          <w:b/>
        </w:rPr>
        <w:t xml:space="preserve">Combustion proxy (weight 0.60). </w:t>
      </w:r>
      <w:r>
        <w:t>the NO₂/CO scores borrowed from the Air pillar — the stronger intensity ranker (Spearman ρ 0.85 to expected tier), and it catches dim-NTL combustion VIIRS misses.</w:t>
      </w:r>
    </w:p>
    <w:p>
      <w:pPr>
        <w:pStyle w:val="ListBullet"/>
      </w:pPr>
      <w:r>
        <w:rPr>
          <w:b/>
        </w:rPr>
        <w:t xml:space="preserve">VIIRS flaring (weight 0.40). </w:t>
      </w:r>
      <w:r>
        <w:t>an absolute-anchored intense-source detector — the fraction of site pixels whose window-mean radiance exceeds ≈100 nW/cm²/sr. Directional, complementary, not a precise ranker. (Carried in the payload as ghg.activity_score.)</w:t>
      </w:r>
    </w:p>
    <w:p>
      <w:r>
        <w:rPr>
          <w:b w:val="0"/>
          <w:i w:val="0"/>
        </w:rPr>
        <w:t>Crucially, ODIAC CO₂ is NOT in this core. Under the M-GHG-REDESIGN-A1 / M-VIIRS-REDESIGN-A1 demotion (and per Sections 6.4 / 6.6), ODIAC CO₂ and Sentinel-5P CH₄ are reference / context: they are computed and surfaced for absolute-level and disclosure reading, but they do NOT enter Core_GHG_Audit_Support, the GHG follow-up priority, or the composite. The figures below are split to make that boundary explicit.</w:t>
      </w:r>
    </w:p>
    <w:p>
      <w:r>
        <w:rPr>
          <w:b/>
          <w:i w:val="0"/>
        </w:rPr>
        <w:t>Scored terms — these, and only these, drive the GHG result: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0"/>
          </w:tcPr>
          <w:p>
            <w:r/>
            <w:r>
              <w:rPr>
                <w:b/>
                <w:sz w:val="18"/>
              </w:rPr>
              <w:t>Scored GHG term</w:t>
            </w:r>
          </w:p>
        </w:tc>
        <w:tc>
          <w:tcPr>
            <w:tcW w:type="dxa" w:w="1152"/>
          </w:tcPr>
          <w:p>
            <w:r/>
            <w:r>
              <w:rPr>
                <w:b/>
                <w:sz w:val="18"/>
              </w:rPr>
              <w:t>Weight</w:t>
            </w:r>
          </w:p>
        </w:tc>
        <w:tc>
          <w:tcPr>
            <w:tcW w:type="dxa" w:w="1872"/>
          </w:tcPr>
          <w:p>
            <w:r/>
            <w:r>
              <w:rPr>
                <w:b/>
                <w:sz w:val="18"/>
              </w:rPr>
              <w:t>Patagonia</w:t>
            </w:r>
          </w:p>
        </w:tc>
        <w:tc>
          <w:tcPr>
            <w:tcW w:type="dxa" w:w="1872"/>
          </w:tcPr>
          <w:p>
            <w:r/>
            <w:r>
              <w:rPr>
                <w:b/>
                <w:sz w:val="18"/>
              </w:rPr>
              <w:t>Norilsk</w:t>
            </w:r>
          </w:p>
        </w:tc>
      </w:tr>
      <w:tr>
        <w:tc>
          <w:tcPr>
            <w:tcW w:type="dxa" w:w="4320"/>
          </w:tcPr>
          <w:p>
            <w:r/>
            <w:r>
              <w:rPr>
                <w:sz w:val="18"/>
              </w:rPr>
              <w:t>Combustion proxy (Air NO₂/CO borrow)</w:t>
            </w:r>
          </w:p>
        </w:tc>
        <w:tc>
          <w:tcPr>
            <w:tcW w:type="dxa" w:w="1152"/>
          </w:tcPr>
          <w:p>
            <w:r/>
            <w:r>
              <w:rPr>
                <w:sz w:val="18"/>
              </w:rPr>
              <w:t>0.60</w:t>
            </w:r>
          </w:p>
        </w:tc>
        <w:tc>
          <w:tcPr>
            <w:tcW w:type="dxa" w:w="1872"/>
          </w:tcPr>
          <w:p>
            <w:r/>
            <w:r>
              <w:rPr>
                <w:sz w:val="18"/>
              </w:rPr>
              <w:t>0.151</w:t>
            </w:r>
          </w:p>
        </w:tc>
        <w:tc>
          <w:tcPr>
            <w:tcW w:type="dxa" w:w="1872"/>
          </w:tcPr>
          <w:p>
            <w:r/>
            <w:r>
              <w:rPr>
                <w:sz w:val="18"/>
              </w:rPr>
              <w:t>0.136</w:t>
            </w:r>
          </w:p>
        </w:tc>
      </w:tr>
      <w:tr>
        <w:tc>
          <w:tcPr>
            <w:tcW w:type="dxa" w:w="4320"/>
          </w:tcPr>
          <w:p>
            <w:r/>
            <w:r>
              <w:rPr>
                <w:sz w:val="18"/>
              </w:rPr>
              <w:t>VIIRS flaring (ghg.activity_score)</w:t>
            </w:r>
          </w:p>
        </w:tc>
        <w:tc>
          <w:tcPr>
            <w:tcW w:type="dxa" w:w="1152"/>
          </w:tcPr>
          <w:p>
            <w:r/>
            <w:r>
              <w:rPr>
                <w:sz w:val="18"/>
              </w:rPr>
              <w:t>0.40</w:t>
            </w:r>
          </w:p>
        </w:tc>
        <w:tc>
          <w:tcPr>
            <w:tcW w:type="dxa" w:w="1872"/>
          </w:tcPr>
          <w:p>
            <w:r/>
            <w:r>
              <w:rPr>
                <w:sz w:val="18"/>
              </w:rPr>
              <w:t>0.519</w:t>
            </w:r>
          </w:p>
        </w:tc>
        <w:tc>
          <w:tcPr>
            <w:tcW w:type="dxa" w:w="1872"/>
          </w:tcPr>
          <w:p>
            <w:r/>
            <w:r>
              <w:rPr>
                <w:sz w:val="18"/>
              </w:rPr>
              <w:t>0.427</w:t>
            </w:r>
          </w:p>
        </w:tc>
      </w:tr>
      <w:tr>
        <w:tc>
          <w:tcPr>
            <w:tcW w:type="dxa" w:w="4320"/>
          </w:tcPr>
          <w:p>
            <w:r/>
            <w:r>
              <w:rPr>
                <w:sz w:val="18"/>
              </w:rPr>
              <w:t>= Core_GHG_Audit_Support</w:t>
            </w:r>
          </w:p>
        </w:tc>
        <w:tc>
          <w:tcPr>
            <w:tcW w:type="dxa" w:w="1152"/>
          </w:tcPr>
          <w:p>
            <w:r/>
            <w:r>
              <w:rPr>
                <w:sz w:val="18"/>
              </w:rPr>
            </w:r>
          </w:p>
        </w:tc>
        <w:tc>
          <w:tcPr>
            <w:tcW w:type="dxa" w:w="1872"/>
          </w:tcPr>
          <w:p>
            <w:r/>
            <w:r>
              <w:rPr>
                <w:sz w:val="18"/>
              </w:rPr>
              <w:t>0.298</w:t>
            </w:r>
          </w:p>
        </w:tc>
        <w:tc>
          <w:tcPr>
            <w:tcW w:type="dxa" w:w="1872"/>
          </w:tcPr>
          <w:p>
            <w:r/>
            <w:r>
              <w:rPr>
                <w:sz w:val="18"/>
              </w:rPr>
              <w:t>0.252</w:t>
            </w:r>
          </w:p>
        </w:tc>
      </w:tr>
    </w:tbl>
    <w:p>
      <w:r>
        <w:rPr>
          <w:b w:val="0"/>
          <w:i w:val="0"/>
          <w:sz w:val="19"/>
        </w:rPr>
        <w:t>Patagonia: 0.60·0.151 + 0.40·0.519 = 0.298</w:t>
      </w:r>
    </w:p>
    <w:p>
      <w:r>
        <w:rPr>
          <w:b w:val="0"/>
          <w:i w:val="0"/>
          <w:sz w:val="19"/>
        </w:rPr>
        <w:t>Norilsk:   0.60·0.136 + 0.40·0.427 = 0.252</w:t>
      </w:r>
    </w:p>
    <w:p>
      <w:r>
        <w:rPr>
          <w:i/>
          <w:color w:val="555555"/>
          <w:sz w:val="17"/>
        </w:rPr>
        <w:t>The scored core contains no CO₂ term. Patagonia's VIIRS flaring (0.52) edges Norilsk's (0.43) — oil-and-gas flaring lights more pixels above the absolute threshold than a smelter does — so Patagonia's core is marginally higher.</w:t>
      </w:r>
    </w:p>
    <w:p>
      <w:r>
        <w:rPr>
          <w:b/>
          <w:i w:val="0"/>
        </w:rPr>
        <w:t>Reference / context — displayed, NOT scored into the core: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744"/>
          </w:tcPr>
          <w:p>
            <w:r/>
            <w:r>
              <w:rPr>
                <w:b/>
                <w:sz w:val="18"/>
              </w:rPr>
              <w:t>Reference quantity</w:t>
            </w:r>
          </w:p>
        </w:tc>
        <w:tc>
          <w:tcPr>
            <w:tcW w:type="dxa" w:w="1872"/>
          </w:tcPr>
          <w:p>
            <w:r/>
            <w:r>
              <w:rPr>
                <w:b/>
                <w:sz w:val="18"/>
              </w:rPr>
              <w:t>Patagonia</w:t>
            </w:r>
          </w:p>
        </w:tc>
        <w:tc>
          <w:tcPr>
            <w:tcW w:type="dxa" w:w="1872"/>
          </w:tcPr>
          <w:p>
            <w:r/>
            <w:r>
              <w:rPr>
                <w:b/>
                <w:sz w:val="18"/>
              </w:rPr>
              <w:t>Norilsk</w:t>
            </w:r>
          </w:p>
        </w:tc>
        <w:tc>
          <w:tcPr>
            <w:tcW w:type="dxa" w:w="2016"/>
          </w:tcPr>
          <w:p>
            <w:r/>
            <w:r>
              <w:rPr>
                <w:b/>
                <w:sz w:val="18"/>
              </w:rPr>
              <w:t>Role</w:t>
            </w:r>
          </w:p>
        </w:tc>
      </w:tr>
      <w:tr>
        <w:tc>
          <w:tcPr>
            <w:tcW w:type="dxa" w:w="3744"/>
          </w:tcPr>
          <w:p>
            <w:r/>
            <w:r>
              <w:rPr>
                <w:sz w:val="18"/>
              </w:rPr>
              <w:t>CO₂ mean (raw, t CO₂)</w:t>
            </w:r>
          </w:p>
        </w:tc>
        <w:tc>
          <w:tcPr>
            <w:tcW w:type="dxa" w:w="1872"/>
          </w:tcPr>
          <w:p>
            <w:r/>
            <w:r>
              <w:rPr>
                <w:sz w:val="18"/>
              </w:rPr>
              <w:t>3010.320</w:t>
            </w:r>
          </w:p>
        </w:tc>
        <w:tc>
          <w:tcPr>
            <w:tcW w:type="dxa" w:w="1872"/>
          </w:tcPr>
          <w:p>
            <w:r/>
            <w:r>
              <w:rPr>
                <w:sz w:val="18"/>
              </w:rPr>
              <w:t>1542.143</w:t>
            </w:r>
          </w:p>
        </w:tc>
        <w:tc>
          <w:tcPr>
            <w:tcW w:type="dxa" w:w="2016"/>
          </w:tcPr>
          <w:p>
            <w:r/>
            <w:r>
              <w:rPr>
                <w:sz w:val="18"/>
              </w:rPr>
              <w:t>absolute level</w:t>
            </w:r>
          </w:p>
        </w:tc>
      </w:tr>
      <w:tr>
        <w:tc>
          <w:tcPr>
            <w:tcW w:type="dxa" w:w="3744"/>
          </w:tcPr>
          <w:p>
            <w:r/>
            <w:r>
              <w:rPr>
                <w:sz w:val="18"/>
              </w:rPr>
              <w:t>CO₂ relative intensity (cap 10)</w:t>
            </w:r>
          </w:p>
        </w:tc>
        <w:tc>
          <w:tcPr>
            <w:tcW w:type="dxa" w:w="1872"/>
          </w:tcPr>
          <w:p>
            <w:r/>
            <w:r>
              <w:rPr>
                <w:sz w:val="18"/>
              </w:rPr>
              <w:t>10.000</w:t>
            </w:r>
          </w:p>
        </w:tc>
        <w:tc>
          <w:tcPr>
            <w:tcW w:type="dxa" w:w="1872"/>
          </w:tcPr>
          <w:p>
            <w:r/>
            <w:r>
              <w:rPr>
                <w:sz w:val="18"/>
              </w:rPr>
              <w:t>10.000</w:t>
            </w:r>
          </w:p>
        </w:tc>
        <w:tc>
          <w:tcPr>
            <w:tcW w:type="dxa" w:w="2016"/>
          </w:tcPr>
          <w:p>
            <w:r/>
            <w:r>
              <w:rPr>
                <w:sz w:val="18"/>
              </w:rPr>
              <w:t>context</w:t>
            </w:r>
          </w:p>
        </w:tc>
      </w:tr>
      <w:tr>
        <w:tc>
          <w:tcPr>
            <w:tcW w:type="dxa" w:w="3744"/>
          </w:tcPr>
          <w:p>
            <w:r/>
            <w:r>
              <w:rPr>
                <w:sz w:val="18"/>
              </w:rPr>
              <w:t>CO₂ score (context only)</w:t>
            </w:r>
          </w:p>
        </w:tc>
        <w:tc>
          <w:tcPr>
            <w:tcW w:type="dxa" w:w="1872"/>
          </w:tcPr>
          <w:p>
            <w:r/>
            <w:r>
              <w:rPr>
                <w:sz w:val="18"/>
              </w:rPr>
              <w:t>1.000</w:t>
            </w:r>
          </w:p>
        </w:tc>
        <w:tc>
          <w:tcPr>
            <w:tcW w:type="dxa" w:w="1872"/>
          </w:tcPr>
          <w:p>
            <w:r/>
            <w:r>
              <w:rPr>
                <w:sz w:val="18"/>
              </w:rPr>
              <w:t>1.000</w:t>
            </w:r>
          </w:p>
        </w:tc>
        <w:tc>
          <w:tcPr>
            <w:tcW w:type="dxa" w:w="2016"/>
          </w:tcPr>
          <w:p>
            <w:r/>
            <w:r>
              <w:rPr>
                <w:sz w:val="18"/>
              </w:rPr>
              <w:t>NOT in core</w:t>
            </w:r>
          </w:p>
        </w:tc>
      </w:tr>
      <w:tr>
        <w:tc>
          <w:tcPr>
            <w:tcW w:type="dxa" w:w="3744"/>
          </w:tcPr>
          <w:p>
            <w:r/>
            <w:r>
              <w:rPr>
                <w:sz w:val="18"/>
              </w:rPr>
              <w:t>VIIRS site brightness (nW)</w:t>
            </w:r>
          </w:p>
        </w:tc>
        <w:tc>
          <w:tcPr>
            <w:tcW w:type="dxa" w:w="1872"/>
          </w:tcPr>
          <w:p>
            <w:r/>
            <w:r>
              <w:rPr>
                <w:sz w:val="18"/>
              </w:rPr>
              <w:t>3.475</w:t>
            </w:r>
          </w:p>
        </w:tc>
        <w:tc>
          <w:tcPr>
            <w:tcW w:type="dxa" w:w="1872"/>
          </w:tcPr>
          <w:p>
            <w:r/>
            <w:r>
              <w:rPr>
                <w:sz w:val="18"/>
              </w:rPr>
              <w:t>4.698</w:t>
            </w:r>
          </w:p>
        </w:tc>
        <w:tc>
          <w:tcPr>
            <w:tcW w:type="dxa" w:w="2016"/>
          </w:tcPr>
          <w:p>
            <w:r/>
            <w:r>
              <w:rPr>
                <w:sz w:val="18"/>
              </w:rPr>
              <w:t>raw</w:t>
            </w:r>
          </w:p>
        </w:tc>
      </w:tr>
      <w:tr>
        <w:tc>
          <w:tcPr>
            <w:tcW w:type="dxa" w:w="3744"/>
          </w:tcPr>
          <w:p>
            <w:r/>
            <w:r>
              <w:rPr>
                <w:sz w:val="18"/>
              </w:rPr>
              <w:t>CH₄ z / score</w:t>
            </w:r>
          </w:p>
        </w:tc>
        <w:tc>
          <w:tcPr>
            <w:tcW w:type="dxa" w:w="1872"/>
          </w:tcPr>
          <w:p>
            <w:r/>
            <w:r>
              <w:rPr>
                <w:sz w:val="18"/>
              </w:rPr>
              <w:t>-0.745 / 0.000</w:t>
            </w:r>
          </w:p>
        </w:tc>
        <w:tc>
          <w:tcPr>
            <w:tcW w:type="dxa" w:w="1872"/>
          </w:tcPr>
          <w:p>
            <w:r/>
            <w:r>
              <w:rPr>
                <w:sz w:val="18"/>
              </w:rPr>
              <w:t>-1.176 / 0.000</w:t>
            </w:r>
          </w:p>
        </w:tc>
        <w:tc>
          <w:tcPr>
            <w:tcW w:type="dxa" w:w="2016"/>
          </w:tcPr>
          <w:p>
            <w:r/>
            <w:r>
              <w:rPr>
                <w:sz w:val="18"/>
              </w:rPr>
              <w:t>reference</w:t>
            </w:r>
          </w:p>
        </w:tc>
      </w:tr>
    </w:tbl>
    <w:p>
      <w:r>
        <w:rPr>
          <w:i/>
          <w:color w:val="555555"/>
          <w:sz w:val="17"/>
        </w:rPr>
        <w:t>CO₂ saturates its OWN context score at 1.0 at both sites (relative intensity capped at 10), but that 1.0 never propagates into Core_GHG_Audit_Support or the composite — it is surfaced only for absolute / regulatory reading (IC §0.9). CH₄ scores 0 (site below regional background) and is likewise reference data, not a scored term.</w:t>
      </w:r>
    </w:p>
    <w:p>
      <w:pPr>
        <w:pStyle w:val="Heading1"/>
      </w:pPr>
      <w:r>
        <w:rPr>
          <w:color w:val="1F3A5F"/>
        </w:rPr>
        <w:t>7.4  Nature pillar — exposure / change / condition grammar</w:t>
      </w:r>
    </w:p>
    <w:p>
      <w:r>
        <w:rPr>
          <w:b w:val="0"/>
          <w:i w:val="0"/>
        </w:rPr>
        <w:t>Nature blends three sub-grammars (IC §3): exposure (what sensitive land cover is present, KBA overlap), change (habitat conversion natural→non-natural, forest loss), and condition (NDVI vegetation health). This is where the two sites diverge most.</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r/>
            <w:r>
              <w:rPr>
                <w:b/>
                <w:sz w:val="18"/>
              </w:rPr>
              <w:t>Nature quantity</w:t>
            </w:r>
          </w:p>
        </w:tc>
        <w:tc>
          <w:tcPr>
            <w:tcW w:type="dxa" w:w="2448"/>
          </w:tcPr>
          <w:p>
            <w:r/>
            <w:r>
              <w:rPr>
                <w:b/>
                <w:sz w:val="18"/>
              </w:rPr>
              <w:t>Patagonia</w:t>
            </w:r>
          </w:p>
        </w:tc>
        <w:tc>
          <w:tcPr>
            <w:tcW w:type="dxa" w:w="2448"/>
          </w:tcPr>
          <w:p>
            <w:r/>
            <w:r>
              <w:rPr>
                <w:b/>
                <w:sz w:val="18"/>
              </w:rPr>
              <w:t>Norilsk</w:t>
            </w:r>
          </w:p>
        </w:tc>
      </w:tr>
      <w:tr>
        <w:tc>
          <w:tcPr>
            <w:tcW w:type="dxa" w:w="3600"/>
          </w:tcPr>
          <w:p>
            <w:r/>
            <w:r>
              <w:rPr>
                <w:sz w:val="18"/>
              </w:rPr>
              <w:t>Dominant land cover (DW)</w:t>
            </w:r>
          </w:p>
        </w:tc>
        <w:tc>
          <w:tcPr>
            <w:tcW w:type="dxa" w:w="2448"/>
          </w:tcPr>
          <w:p>
            <w:r/>
            <w:r>
              <w:rPr>
                <w:sz w:val="18"/>
              </w:rPr>
              <w:t>water</w:t>
            </w:r>
          </w:p>
        </w:tc>
        <w:tc>
          <w:tcPr>
            <w:tcW w:type="dxa" w:w="2448"/>
          </w:tcPr>
          <w:p>
            <w:r/>
            <w:r>
              <w:rPr>
                <w:sz w:val="18"/>
              </w:rPr>
              <w:t>trees</w:t>
            </w:r>
          </w:p>
        </w:tc>
      </w:tr>
      <w:tr>
        <w:tc>
          <w:tcPr>
            <w:tcW w:type="dxa" w:w="3600"/>
          </w:tcPr>
          <w:p>
            <w:r/>
            <w:r>
              <w:rPr>
                <w:sz w:val="18"/>
              </w:rPr>
              <w:t>Habitat natural loss (ha)</w:t>
            </w:r>
          </w:p>
        </w:tc>
        <w:tc>
          <w:tcPr>
            <w:tcW w:type="dxa" w:w="2448"/>
          </w:tcPr>
          <w:p>
            <w:r/>
            <w:r>
              <w:rPr>
                <w:sz w:val="18"/>
              </w:rPr>
              <w:t>485.301</w:t>
            </w:r>
          </w:p>
        </w:tc>
        <w:tc>
          <w:tcPr>
            <w:tcW w:type="dxa" w:w="2448"/>
          </w:tcPr>
          <w:p>
            <w:r/>
            <w:r>
              <w:rPr>
                <w:sz w:val="18"/>
              </w:rPr>
              <w:t>0.088</w:t>
            </w:r>
          </w:p>
        </w:tc>
      </w:tr>
      <w:tr>
        <w:tc>
          <w:tcPr>
            <w:tcW w:type="dxa" w:w="3600"/>
          </w:tcPr>
          <w:p>
            <w:r/>
            <w:r>
              <w:rPr>
                <w:sz w:val="18"/>
              </w:rPr>
              <w:t>Natural→built (ha)</w:t>
            </w:r>
          </w:p>
        </w:tc>
        <w:tc>
          <w:tcPr>
            <w:tcW w:type="dxa" w:w="2448"/>
          </w:tcPr>
          <w:p>
            <w:r/>
            <w:r>
              <w:rPr>
                <w:sz w:val="18"/>
              </w:rPr>
              <w:t>523.216</w:t>
            </w:r>
          </w:p>
        </w:tc>
        <w:tc>
          <w:tcPr>
            <w:tcW w:type="dxa" w:w="2448"/>
          </w:tcPr>
          <w:p>
            <w:r/>
            <w:r>
              <w:rPr>
                <w:sz w:val="18"/>
              </w:rPr>
              <w:t>0.000</w:t>
            </w:r>
          </w:p>
        </w:tc>
      </w:tr>
      <w:tr>
        <w:tc>
          <w:tcPr>
            <w:tcW w:type="dxa" w:w="3600"/>
          </w:tcPr>
          <w:p>
            <w:r/>
            <w:r>
              <w:rPr>
                <w:sz w:val="18"/>
              </w:rPr>
              <w:t>Habitat conversion score</w:t>
            </w:r>
          </w:p>
        </w:tc>
        <w:tc>
          <w:tcPr>
            <w:tcW w:type="dxa" w:w="2448"/>
          </w:tcPr>
          <w:p>
            <w:r/>
            <w:r>
              <w:rPr>
                <w:sz w:val="18"/>
              </w:rPr>
              <w:t>0.110</w:t>
            </w:r>
          </w:p>
        </w:tc>
        <w:tc>
          <w:tcPr>
            <w:tcW w:type="dxa" w:w="2448"/>
          </w:tcPr>
          <w:p>
            <w:r/>
            <w:r>
              <w:rPr>
                <w:sz w:val="18"/>
              </w:rPr>
              <w:t>0.000</w:t>
            </w:r>
          </w:p>
        </w:tc>
      </w:tr>
      <w:tr>
        <w:tc>
          <w:tcPr>
            <w:tcW w:type="dxa" w:w="3600"/>
          </w:tcPr>
          <w:p>
            <w:r/>
            <w:r>
              <w:rPr>
                <w:sz w:val="18"/>
              </w:rPr>
              <w:t>NDVI mean / score</w:t>
            </w:r>
          </w:p>
        </w:tc>
        <w:tc>
          <w:tcPr>
            <w:tcW w:type="dxa" w:w="2448"/>
          </w:tcPr>
          <w:p>
            <w:r/>
            <w:r>
              <w:rPr>
                <w:sz w:val="18"/>
              </w:rPr>
              <w:t>0.229 / 1.000</w:t>
            </w:r>
          </w:p>
        </w:tc>
        <w:tc>
          <w:tcPr>
            <w:tcW w:type="dxa" w:w="2448"/>
          </w:tcPr>
          <w:p>
            <w:r/>
            <w:r>
              <w:rPr>
                <w:sz w:val="18"/>
              </w:rPr>
              <w:t>-0.021 / 0.000</w:t>
            </w:r>
          </w:p>
        </w:tc>
      </w:tr>
      <w:tr>
        <w:tc>
          <w:tcPr>
            <w:tcW w:type="dxa" w:w="3600"/>
          </w:tcPr>
          <w:p>
            <w:r/>
            <w:r>
              <w:rPr>
                <w:sz w:val="18"/>
              </w:rPr>
              <w:t>KBA proximity score</w:t>
            </w:r>
          </w:p>
        </w:tc>
        <w:tc>
          <w:tcPr>
            <w:tcW w:type="dxa" w:w="2448"/>
          </w:tcPr>
          <w:p>
            <w:r/>
            <w:r>
              <w:rPr>
                <w:sz w:val="18"/>
              </w:rPr>
              <w:t>1.000</w:t>
            </w:r>
          </w:p>
        </w:tc>
        <w:tc>
          <w:tcPr>
            <w:tcW w:type="dxa" w:w="2448"/>
          </w:tcPr>
          <w:p>
            <w:r/>
            <w:r>
              <w:rPr>
                <w:sz w:val="18"/>
              </w:rPr>
              <w:t>0.007</w:t>
            </w:r>
          </w:p>
        </w:tc>
      </w:tr>
      <w:tr>
        <w:tc>
          <w:tcPr>
            <w:tcW w:type="dxa" w:w="3600"/>
          </w:tcPr>
          <w:p>
            <w:r/>
            <w:r>
              <w:rPr>
                <w:sz w:val="18"/>
              </w:rPr>
              <w:t>KBA overlap %</w:t>
            </w:r>
          </w:p>
        </w:tc>
        <w:tc>
          <w:tcPr>
            <w:tcW w:type="dxa" w:w="2448"/>
          </w:tcPr>
          <w:p>
            <w:r/>
            <w:r>
              <w:rPr>
                <w:sz w:val="18"/>
              </w:rPr>
              <w:t>17.627</w:t>
            </w:r>
          </w:p>
        </w:tc>
        <w:tc>
          <w:tcPr>
            <w:tcW w:type="dxa" w:w="2448"/>
          </w:tcPr>
          <w:p>
            <w:r/>
            <w:r>
              <w:rPr>
                <w:sz w:val="18"/>
              </w:rPr>
              <w:t>0.000</w:t>
            </w:r>
          </w:p>
        </w:tc>
      </w:tr>
      <w:tr>
        <w:tc>
          <w:tcPr>
            <w:tcW w:type="dxa" w:w="3600"/>
          </w:tcPr>
          <w:p>
            <w:r/>
            <w:r>
              <w:rPr>
                <w:sz w:val="18"/>
              </w:rPr>
              <w:t>Biodiversity exposure</w:t>
            </w:r>
          </w:p>
        </w:tc>
        <w:tc>
          <w:tcPr>
            <w:tcW w:type="dxa" w:w="2448"/>
          </w:tcPr>
          <w:p>
            <w:r/>
            <w:r>
              <w:rPr>
                <w:sz w:val="18"/>
              </w:rPr>
              <w:t>0.737</w:t>
            </w:r>
          </w:p>
        </w:tc>
        <w:tc>
          <w:tcPr>
            <w:tcW w:type="dxa" w:w="2448"/>
          </w:tcPr>
          <w:p>
            <w:r/>
            <w:r>
              <w:rPr>
                <w:sz w:val="18"/>
              </w:rPr>
              <w:t>0.003</w:t>
            </w:r>
          </w:p>
        </w:tc>
      </w:tr>
      <w:tr>
        <w:tc>
          <w:tcPr>
            <w:tcW w:type="dxa" w:w="3600"/>
          </w:tcPr>
          <w:p>
            <w:r/>
            <w:r>
              <w:rPr>
                <w:sz w:val="18"/>
              </w:rPr>
              <w:t>Nature follow-up priority</w:t>
            </w:r>
          </w:p>
        </w:tc>
        <w:tc>
          <w:tcPr>
            <w:tcW w:type="dxa" w:w="2448"/>
          </w:tcPr>
          <w:p>
            <w:r/>
            <w:r>
              <w:rPr>
                <w:sz w:val="18"/>
              </w:rPr>
              <w:t>0.612</w:t>
            </w:r>
          </w:p>
        </w:tc>
        <w:tc>
          <w:tcPr>
            <w:tcW w:type="dxa" w:w="2448"/>
          </w:tcPr>
          <w:p>
            <w:r/>
            <w:r>
              <w:rPr>
                <w:sz w:val="18"/>
              </w:rPr>
              <w:t>0.213</w:t>
            </w:r>
          </w:p>
        </w:tc>
      </w:tr>
    </w:tbl>
    <w:p>
      <w:r>
        <w:rPr>
          <w:i/>
          <w:color w:val="555555"/>
          <w:sz w:val="17"/>
        </w:rPr>
        <w:t>Patagonia: a coastal/built mosaic inside a Key Biodiversity Area (KBA proximity 1.0, 17.6% overlap), 523 ha of natural→built conversion, and a maxed NDVI deficit (z −5.0) → follow-up 0.61. Norilsk: 100% snow cover above the Arctic Circle — essentially no habitat to convert (0.09 ha loss), no KBA, NDVI on bare/snow → follow-up 0.21.</w:t>
      </w:r>
    </w:p>
    <w:p>
      <w:r>
        <w:rPr>
          <w:b w:val="0"/>
          <w:i w:val="0"/>
        </w:rPr>
        <w:t>This is the engine working as designed: identical industrial pressure, but the ecological receptor is present at Patagonia and effectively absent at the Norilsk site footprint, so the Nature pillar correctly separates them.</w:t>
      </w:r>
    </w:p>
    <w:p>
      <w:pPr>
        <w:pStyle w:val="Heading1"/>
      </w:pPr>
      <w:r>
        <w:rPr>
          <w:color w:val="1F3A5F"/>
        </w:rPr>
        <w:t>7.5  Combining pillars — the composite</w:t>
      </w:r>
    </w:p>
    <w:p>
      <w:r>
        <w:rPr>
          <w:b w:val="0"/>
          <w:i w:val="0"/>
        </w:rPr>
        <w:t>The composite is a flat equal-weight mean of the three pillar follow-up priorities (IC §4): Overall = ⅓·Air + ⅓·GHG + ⅓·Nature. Equal weights are the v1 default; sector-aware weighting is a v1.x extension.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016"/>
          </w:tcPr>
          <w:p>
            <w:r/>
            <w:r>
              <w:rPr>
                <w:b/>
                <w:sz w:val="18"/>
              </w:rPr>
              <w:t>Site</w:t>
            </w:r>
          </w:p>
        </w:tc>
        <w:tc>
          <w:tcPr>
            <w:tcW w:type="dxa" w:w="1584"/>
          </w:tcPr>
          <w:p>
            <w:r/>
            <w:r>
              <w:rPr>
                <w:b/>
                <w:sz w:val="18"/>
              </w:rPr>
              <w:t>Air</w:t>
            </w:r>
          </w:p>
        </w:tc>
        <w:tc>
          <w:tcPr>
            <w:tcW w:type="dxa" w:w="1584"/>
          </w:tcPr>
          <w:p>
            <w:r/>
            <w:r>
              <w:rPr>
                <w:b/>
                <w:sz w:val="18"/>
              </w:rPr>
              <w:t>GHG</w:t>
            </w:r>
          </w:p>
        </w:tc>
        <w:tc>
          <w:tcPr>
            <w:tcW w:type="dxa" w:w="1584"/>
          </w:tcPr>
          <w:p>
            <w:r/>
            <w:r>
              <w:rPr>
                <w:b/>
                <w:sz w:val="18"/>
              </w:rPr>
              <w:t>Nature</w:t>
            </w:r>
          </w:p>
        </w:tc>
        <w:tc>
          <w:tcPr>
            <w:tcW w:type="dxa" w:w="2880"/>
          </w:tcPr>
          <w:p>
            <w:r/>
            <w:r>
              <w:rPr>
                <w:b/>
                <w:sz w:val="18"/>
              </w:rPr>
              <w:t>Composite (⅓ each)</w:t>
            </w:r>
          </w:p>
        </w:tc>
      </w:tr>
      <w:tr>
        <w:tc>
          <w:tcPr>
            <w:tcW w:type="dxa" w:w="2016"/>
          </w:tcPr>
          <w:p>
            <w:r/>
            <w:r>
              <w:rPr>
                <w:sz w:val="18"/>
              </w:rPr>
              <w:t>Patagonia</w:t>
            </w:r>
          </w:p>
        </w:tc>
        <w:tc>
          <w:tcPr>
            <w:tcW w:type="dxa" w:w="1584"/>
          </w:tcPr>
          <w:p>
            <w:r/>
            <w:r>
              <w:rPr>
                <w:sz w:val="18"/>
              </w:rPr>
              <w:t>0.192</w:t>
            </w:r>
          </w:p>
        </w:tc>
        <w:tc>
          <w:tcPr>
            <w:tcW w:type="dxa" w:w="1584"/>
          </w:tcPr>
          <w:p>
            <w:r/>
            <w:r>
              <w:rPr>
                <w:sz w:val="18"/>
              </w:rPr>
              <w:t>0.480</w:t>
            </w:r>
          </w:p>
        </w:tc>
        <w:tc>
          <w:tcPr>
            <w:tcW w:type="dxa" w:w="1584"/>
          </w:tcPr>
          <w:p>
            <w:r/>
            <w:r>
              <w:rPr>
                <w:sz w:val="18"/>
              </w:rPr>
              <w:t>0.612</w:t>
            </w:r>
          </w:p>
        </w:tc>
        <w:tc>
          <w:tcPr>
            <w:tcW w:type="dxa" w:w="2880"/>
          </w:tcPr>
          <w:p>
            <w:r/>
            <w:r>
              <w:rPr>
                <w:sz w:val="18"/>
              </w:rPr>
              <w:t>0.428</w:t>
            </w:r>
          </w:p>
        </w:tc>
      </w:tr>
      <w:tr>
        <w:tc>
          <w:tcPr>
            <w:tcW w:type="dxa" w:w="2016"/>
          </w:tcPr>
          <w:p>
            <w:r/>
            <w:r>
              <w:rPr>
                <w:sz w:val="18"/>
              </w:rPr>
              <w:t>Norilsk</w:t>
            </w:r>
          </w:p>
        </w:tc>
        <w:tc>
          <w:tcPr>
            <w:tcW w:type="dxa" w:w="1584"/>
          </w:tcPr>
          <w:p>
            <w:r/>
            <w:r>
              <w:rPr>
                <w:sz w:val="18"/>
              </w:rPr>
              <w:t>0.282</w:t>
            </w:r>
          </w:p>
        </w:tc>
        <w:tc>
          <w:tcPr>
            <w:tcW w:type="dxa" w:w="1584"/>
          </w:tcPr>
          <w:p>
            <w:r/>
            <w:r>
              <w:rPr>
                <w:sz w:val="18"/>
              </w:rPr>
              <w:t>0.446</w:t>
            </w:r>
          </w:p>
        </w:tc>
        <w:tc>
          <w:tcPr>
            <w:tcW w:type="dxa" w:w="1584"/>
          </w:tcPr>
          <w:p>
            <w:r/>
            <w:r>
              <w:rPr>
                <w:sz w:val="18"/>
              </w:rPr>
              <w:t>0.213</w:t>
            </w:r>
          </w:p>
        </w:tc>
        <w:tc>
          <w:tcPr>
            <w:tcW w:type="dxa" w:w="2880"/>
          </w:tcPr>
          <w:p>
            <w:r/>
            <w:r>
              <w:rPr>
                <w:sz w:val="18"/>
              </w:rPr>
              <w:t>0.314</w:t>
            </w:r>
          </w:p>
        </w:tc>
      </w:tr>
    </w:tbl>
    <w:p>
      <w:r>
        <w:rPr>
          <w:b w:val="0"/>
          <w:i w:val="0"/>
          <w:sz w:val="19"/>
        </w:rPr>
        <w:t>Patagonia: ⅓·0.192 + ⅓·0.480 + ⅓·0.612 = 0.428</w:t>
      </w:r>
    </w:p>
    <w:p>
      <w:r>
        <w:rPr>
          <w:b w:val="0"/>
          <w:i w:val="0"/>
          <w:sz w:val="19"/>
        </w:rPr>
        <w:t>Norilsk: ⅓·0.282 + ⅓·0.446 + ⅓·0.213 = 0.314</w:t>
      </w:r>
    </w:p>
    <w:p>
      <w:r>
        <w:rPr>
          <w:i/>
          <w:color w:val="555555"/>
          <w:sz w:val="17"/>
        </w:rPr>
        <w:t>The whole composite gap (0.43 vs 0.31) is the Nature pillar. Air and GHG are close; Nature is what the equal-weight mean propagates into the headline. This is why a single end-to-end example needs all three pillars to be honest about how the score is built.</w:t>
      </w:r>
    </w:p>
    <w:p>
      <w:pPr>
        <w:pStyle w:val="Heading1"/>
      </w:pPr>
      <w:r>
        <w:rPr>
          <w:color w:val="1F3A5F"/>
        </w:rPr>
        <w:t>7.6  Confidence</w:t>
      </w:r>
    </w:p>
    <w:p>
      <w:r>
        <w:rPr>
          <w:b w:val="0"/>
          <w:i w:val="0"/>
        </w:rPr>
        <w:t>Confidence is computed bottom-up (IC §8). Each indicator: c = 0.30·QA + 0.30·N_valid + 0.25·anomaly_strength + 0.15·spatial_context, then a column-to-surface multiplier. Pillars roll their survivors up; the composite confidence is the conservative min of the three pillar confidences (so one strong pillar cannot mask a weak one).</w:t>
      </w:r>
    </w:p>
    <w:tbl>
      <w:tblPr>
        <w:tblStyle w:val="LightGrid-Accent1"/>
        <w:tblW w:type="auto" w:w="0"/>
        <w:jc w:val="center"/>
        <w:tblLook w:firstColumn="1" w:firstRow="1" w:lastColumn="0" w:lastRow="0" w:noHBand="0" w:noVBand="1" w:val="04A0"/>
      </w:tblPr>
      <w:tblGrid>
        <w:gridCol w:w="2880"/>
        <w:gridCol w:w="2880"/>
        <w:gridCol w:w="2880"/>
      </w:tblGrid>
      <w:tr>
        <w:tc>
          <w:tcPr>
            <w:tcW w:type="dxa" w:w="3888"/>
          </w:tcPr>
          <w:p>
            <w:r/>
            <w:r>
              <w:rPr>
                <w:b/>
                <w:sz w:val="18"/>
              </w:rPr>
              <w:t>Confidence term</w:t>
            </w:r>
          </w:p>
        </w:tc>
        <w:tc>
          <w:tcPr>
            <w:tcW w:type="dxa" w:w="2304"/>
          </w:tcPr>
          <w:p>
            <w:r/>
            <w:r>
              <w:rPr>
                <w:b/>
                <w:sz w:val="18"/>
              </w:rPr>
              <w:t>Patagonia</w:t>
            </w:r>
          </w:p>
        </w:tc>
        <w:tc>
          <w:tcPr>
            <w:tcW w:type="dxa" w:w="2304"/>
          </w:tcPr>
          <w:p>
            <w:r/>
            <w:r>
              <w:rPr>
                <w:b/>
                <w:sz w:val="18"/>
              </w:rPr>
              <w:t>Norilsk</w:t>
            </w:r>
          </w:p>
        </w:tc>
      </w:tr>
      <w:tr>
        <w:tc>
          <w:tcPr>
            <w:tcW w:type="dxa" w:w="3888"/>
          </w:tcPr>
          <w:p>
            <w:r/>
            <w:r>
              <w:rPr>
                <w:sz w:val="18"/>
              </w:rPr>
              <w:t>Air attribution confidence</w:t>
            </w:r>
          </w:p>
        </w:tc>
        <w:tc>
          <w:tcPr>
            <w:tcW w:type="dxa" w:w="2304"/>
          </w:tcPr>
          <w:p>
            <w:r/>
            <w:r>
              <w:rPr>
                <w:sz w:val="18"/>
              </w:rPr>
              <w:t>0.687</w:t>
            </w:r>
          </w:p>
        </w:tc>
        <w:tc>
          <w:tcPr>
            <w:tcW w:type="dxa" w:w="2304"/>
          </w:tcPr>
          <w:p>
            <w:r/>
            <w:r>
              <w:rPr>
                <w:sz w:val="18"/>
              </w:rPr>
              <w:t>0.665</w:t>
            </w:r>
          </w:p>
        </w:tc>
      </w:tr>
      <w:tr>
        <w:tc>
          <w:tcPr>
            <w:tcW w:type="dxa" w:w="3888"/>
          </w:tcPr>
          <w:p>
            <w:r/>
            <w:r>
              <w:rPr>
                <w:sz w:val="18"/>
              </w:rPr>
              <w:t>GHG data-quality attribution</w:t>
            </w:r>
          </w:p>
        </w:tc>
        <w:tc>
          <w:tcPr>
            <w:tcW w:type="dxa" w:w="2304"/>
          </w:tcPr>
          <w:p>
            <w:r/>
            <w:r>
              <w:rPr>
                <w:sz w:val="18"/>
              </w:rPr>
              <w:t>0.964</w:t>
            </w:r>
          </w:p>
        </w:tc>
        <w:tc>
          <w:tcPr>
            <w:tcW w:type="dxa" w:w="2304"/>
          </w:tcPr>
          <w:p>
            <w:r/>
            <w:r>
              <w:rPr>
                <w:sz w:val="18"/>
              </w:rPr>
              <w:t>0.964</w:t>
            </w:r>
          </w:p>
        </w:tc>
      </w:tr>
      <w:tr>
        <w:tc>
          <w:tcPr>
            <w:tcW w:type="dxa" w:w="3888"/>
          </w:tcPr>
          <w:p>
            <w:r/>
            <w:r>
              <w:rPr>
                <w:sz w:val="18"/>
              </w:rPr>
              <w:t>Composite confidence (= min)</w:t>
            </w:r>
          </w:p>
        </w:tc>
        <w:tc>
          <w:tcPr>
            <w:tcW w:type="dxa" w:w="2304"/>
          </w:tcPr>
          <w:p>
            <w:r/>
            <w:r>
              <w:rPr>
                <w:sz w:val="18"/>
              </w:rPr>
              <w:t>0.687</w:t>
            </w:r>
          </w:p>
        </w:tc>
        <w:tc>
          <w:tcPr>
            <w:tcW w:type="dxa" w:w="2304"/>
          </w:tcPr>
          <w:p>
            <w:r/>
            <w:r>
              <w:rPr>
                <w:sz w:val="18"/>
              </w:rPr>
              <w:t>0.665</w:t>
            </w:r>
          </w:p>
        </w:tc>
      </w:tr>
    </w:tbl>
    <w:p>
      <w:r>
        <w:rPr>
          <w:i/>
          <w:color w:val="555555"/>
          <w:sz w:val="17"/>
        </w:rPr>
        <w:t>At both sites GHG confidence is high (~0.96) but Air is the weakest pillar, so the composite confidence is pinned to the Air number (0.687 / 0.665). Norilsk is the lower of the two — it lost SO₂ entirely, thinning the Air survivor set.</w:t>
      </w:r>
    </w:p>
    <w:p>
      <w:pPr>
        <w:pStyle w:val="Heading1"/>
      </w:pPr>
      <w:r>
        <w:rPr>
          <w:color w:val="1F3A5F"/>
        </w:rPr>
        <w:t>7.7  Attributability</w:t>
      </w:r>
    </w:p>
    <w:p>
      <w:r>
        <w:rPr>
          <w:b w:val="0"/>
          <w:i w:val="0"/>
        </w:rPr>
        <w:t>Attributability is a separate, categorical signal (high / moderate / low / sparse) that asks: is the observed change actually the supplier's? Crucially, it does NOT enter the composite or the confidence chain (IC §2.4, §7.5) — it surfaces on the map and in the C5 disclaimer so a user can judge a finding. Two mechanisms are wired in v1.x:</w:t>
      </w:r>
    </w:p>
    <w:p>
      <w:pPr>
        <w:pStyle w:val="ListBullet"/>
      </w:pPr>
      <w:r>
        <w:rPr>
          <w:b/>
        </w:rPr>
        <w:t xml:space="preserve">GHG VIIRS lit-contrast. </w:t>
      </w:r>
      <w:r>
        <w:t>percentile of the site's brightness within the background ring's all-pixel distribution. ≥0.90 → high.</w:t>
      </w:r>
    </w:p>
    <w:p>
      <w:pPr>
        <w:pStyle w:val="ListBullet"/>
      </w:pPr>
      <w:r>
        <w:rPr>
          <w:b/>
        </w:rPr>
        <w:t xml:space="preserve">Nature habitat (supplier spatial link). </w:t>
      </w:r>
      <w:r>
        <w:t>the geodesic offset between the supplier point and the centroid of the natural→non-natural change pixels. ≤1 km high, ≤3 km moderate, &gt;3 km low, &lt;10 pixels sparse.</w:t>
      </w:r>
    </w:p>
    <w:tbl>
      <w:tblPr>
        <w:tblStyle w:val="LightGrid-Accent1"/>
        <w:tblW w:type="auto" w:w="0"/>
        <w:jc w:val="center"/>
        <w:tblLook w:firstColumn="1" w:firstRow="1" w:lastColumn="0" w:lastRow="0" w:noHBand="0" w:noVBand="1" w:val="04A0"/>
      </w:tblPr>
      <w:tblGrid>
        <w:gridCol w:w="2880"/>
        <w:gridCol w:w="2880"/>
        <w:gridCol w:w="2880"/>
      </w:tblGrid>
      <w:tr>
        <w:tc>
          <w:tcPr>
            <w:tcW w:type="dxa" w:w="3888"/>
          </w:tcPr>
          <w:p>
            <w:r/>
            <w:r>
              <w:rPr>
                <w:b/>
                <w:sz w:val="18"/>
              </w:rPr>
              <w:t>Attributability signal</w:t>
            </w:r>
          </w:p>
        </w:tc>
        <w:tc>
          <w:tcPr>
            <w:tcW w:type="dxa" w:w="2304"/>
          </w:tcPr>
          <w:p>
            <w:r/>
            <w:r>
              <w:rPr>
                <w:b/>
                <w:sz w:val="18"/>
              </w:rPr>
              <w:t>Patagonia</w:t>
            </w:r>
          </w:p>
        </w:tc>
        <w:tc>
          <w:tcPr>
            <w:tcW w:type="dxa" w:w="2304"/>
          </w:tcPr>
          <w:p>
            <w:r/>
            <w:r>
              <w:rPr>
                <w:b/>
                <w:sz w:val="18"/>
              </w:rPr>
              <w:t>Norilsk</w:t>
            </w:r>
          </w:p>
        </w:tc>
      </w:tr>
      <w:tr>
        <w:tc>
          <w:tcPr>
            <w:tcW w:type="dxa" w:w="3888"/>
          </w:tcPr>
          <w:p>
            <w:r/>
            <w:r>
              <w:rPr>
                <w:sz w:val="18"/>
              </w:rPr>
              <w:t>VIIRS lit-contrast percentile</w:t>
            </w:r>
          </w:p>
        </w:tc>
        <w:tc>
          <w:tcPr>
            <w:tcW w:type="dxa" w:w="2304"/>
          </w:tcPr>
          <w:p>
            <w:r/>
            <w:r>
              <w:rPr>
                <w:sz w:val="18"/>
              </w:rPr>
              <w:t>0.974</w:t>
            </w:r>
          </w:p>
        </w:tc>
        <w:tc>
          <w:tcPr>
            <w:tcW w:type="dxa" w:w="2304"/>
          </w:tcPr>
          <w:p>
            <w:r/>
            <w:r>
              <w:rPr>
                <w:sz w:val="18"/>
              </w:rPr>
              <w:t>0.983</w:t>
            </w:r>
          </w:p>
        </w:tc>
      </w:tr>
      <w:tr>
        <w:tc>
          <w:tcPr>
            <w:tcW w:type="dxa" w:w="3888"/>
          </w:tcPr>
          <w:p>
            <w:r/>
            <w:r>
              <w:rPr>
                <w:sz w:val="18"/>
              </w:rPr>
              <w:t>VIIRS attributability state</w:t>
            </w:r>
          </w:p>
        </w:tc>
        <w:tc>
          <w:tcPr>
            <w:tcW w:type="dxa" w:w="2304"/>
          </w:tcPr>
          <w:p>
            <w:r/>
            <w:r>
              <w:rPr>
                <w:sz w:val="18"/>
              </w:rPr>
              <w:t>high</w:t>
            </w:r>
          </w:p>
        </w:tc>
        <w:tc>
          <w:tcPr>
            <w:tcW w:type="dxa" w:w="2304"/>
          </w:tcPr>
          <w:p>
            <w:r/>
            <w:r>
              <w:rPr>
                <w:sz w:val="18"/>
              </w:rPr>
              <w:t>high</w:t>
            </w:r>
          </w:p>
        </w:tc>
      </w:tr>
      <w:tr>
        <w:tc>
          <w:tcPr>
            <w:tcW w:type="dxa" w:w="3888"/>
          </w:tcPr>
          <w:p>
            <w:r/>
            <w:r>
              <w:rPr>
                <w:sz w:val="18"/>
              </w:rPr>
              <w:t>Habitat change pixels</w:t>
            </w:r>
          </w:p>
        </w:tc>
        <w:tc>
          <w:tcPr>
            <w:tcW w:type="dxa" w:w="2304"/>
          </w:tcPr>
          <w:p>
            <w:r/>
            <w:r>
              <w:rPr>
                <w:sz w:val="18"/>
              </w:rPr>
              <w:t>43061</w:t>
            </w:r>
          </w:p>
        </w:tc>
        <w:tc>
          <w:tcPr>
            <w:tcW w:type="dxa" w:w="2304"/>
          </w:tcPr>
          <w:p>
            <w:r/>
            <w:r>
              <w:rPr>
                <w:sz w:val="18"/>
              </w:rPr>
              <w:t>0</w:t>
            </w:r>
          </w:p>
        </w:tc>
      </w:tr>
      <w:tr>
        <w:tc>
          <w:tcPr>
            <w:tcW w:type="dxa" w:w="3888"/>
          </w:tcPr>
          <w:p>
            <w:r/>
            <w:r>
              <w:rPr>
                <w:sz w:val="18"/>
              </w:rPr>
              <w:t>Change centroid offset (km)</w:t>
            </w:r>
          </w:p>
        </w:tc>
        <w:tc>
          <w:tcPr>
            <w:tcW w:type="dxa" w:w="2304"/>
          </w:tcPr>
          <w:p>
            <w:r/>
            <w:r>
              <w:rPr>
                <w:sz w:val="18"/>
              </w:rPr>
              <w:t>3.954</w:t>
            </w:r>
          </w:p>
        </w:tc>
        <w:tc>
          <w:tcPr>
            <w:tcW w:type="dxa" w:w="2304"/>
          </w:tcPr>
          <w:p>
            <w:r/>
            <w:r>
              <w:rPr>
                <w:sz w:val="18"/>
              </w:rPr>
              <w:t>—</w:t>
            </w:r>
          </w:p>
        </w:tc>
      </w:tr>
      <w:tr>
        <w:tc>
          <w:tcPr>
            <w:tcW w:type="dxa" w:w="3888"/>
          </w:tcPr>
          <w:p>
            <w:r/>
            <w:r>
              <w:rPr>
                <w:sz w:val="18"/>
              </w:rPr>
              <w:t>Habitat attributability state</w:t>
            </w:r>
          </w:p>
        </w:tc>
        <w:tc>
          <w:tcPr>
            <w:tcW w:type="dxa" w:w="2304"/>
          </w:tcPr>
          <w:p>
            <w:r/>
            <w:r>
              <w:rPr>
                <w:sz w:val="18"/>
              </w:rPr>
              <w:t>low</w:t>
            </w:r>
          </w:p>
        </w:tc>
        <w:tc>
          <w:tcPr>
            <w:tcW w:type="dxa" w:w="2304"/>
          </w:tcPr>
          <w:p>
            <w:r/>
            <w:r>
              <w:rPr>
                <w:sz w:val="18"/>
              </w:rPr>
              <w:t>sparse</w:t>
            </w:r>
          </w:p>
        </w:tc>
      </w:tr>
    </w:tbl>
    <w:p>
      <w:r>
        <w:rPr>
          <w:i/>
          <w:color w:val="555555"/>
          <w:sz w:val="17"/>
        </w:rPr>
        <w:t>Both sites are HIGH on VIIRS — the lights are unambiguously theirs. They diverge on habitat: Patagonia has 43,061 change pixels but the centroid sits 3.95 km out, just past the 3 km cut → LOW; Norilsk has zero change pixels (snow desert), so there is nothing to attribute → SPARSE.</w:t>
      </w:r>
    </w:p>
    <w:p>
      <w:r>
        <w:rPr>
          <w:b w:val="0"/>
          <w:i w:val="0"/>
        </w:rPr>
        <w:t>This is the section's punchline. A naive reading of Patagonia's 523 ha of conversion would pin it on the supplier; the centroid offset says the change is too dispersed/displaced to claim that confidently (low). Norilsk shows the opposite failure mode — strong emissions but no land-cover change at all to attribute (sparse). Neither nuance is allowed to move the composite; both are reported so the analyst can judge.</w:t>
      </w:r>
    </w:p>
    <w:p>
      <w:pPr>
        <w:pStyle w:val="Heading1"/>
      </w:pPr>
      <w:r>
        <w:rPr>
          <w:color w:val="1F3A5F"/>
        </w:rPr>
        <w:t>7.8  Graceful degradation (survivor-renormalise, CAMS fallback, strict-None)</w:t>
      </w:r>
    </w:p>
    <w:p>
      <w:r>
        <w:rPr>
          <w:b w:val="0"/>
          <w:i w:val="0"/>
        </w:rPr>
        <w:t>The engine never substitutes a silent default for a missing value (CLAUDE.md §7). A failed indicator is set to None, recorded in the failures list, and the survivors are re-normalised so the pillar score still means something.</w:t>
      </w:r>
    </w:p>
    <w:p>
      <w:r>
        <w:rPr>
          <w:b/>
          <w:i w:val="0"/>
        </w:rPr>
        <w:t>Both screenings exercise this. The shared failure is the buffer rule:</w:t>
      </w:r>
    </w:p>
    <w:p>
      <w:r>
        <w:rPr>
          <w:b w:val="0"/>
          <w:i/>
          <w:sz w:val="19"/>
        </w:rPr>
        <w:t>“site buffer (10 km) smaller than pm10 native pixel (44.5 km) — increase radius or pick a finer-resolution pollutant” — at a 10 km buffer the 44.5 km native pixel of CAMS PM₁₀/PM₂.₅ is coarser than the site, so both PM indicators are dropped at both sites rather than reported on sub-pixel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sz w:val="18"/>
              </w:rPr>
              <w:t>Degradation event</w:t>
            </w:r>
          </w:p>
        </w:tc>
        <w:tc>
          <w:tcPr>
            <w:tcW w:type="dxa" w:w="2592"/>
          </w:tcPr>
          <w:p>
            <w:r/>
            <w:r>
              <w:rPr>
                <w:b/>
                <w:sz w:val="18"/>
              </w:rPr>
              <w:t>Patagonia</w:t>
            </w:r>
          </w:p>
        </w:tc>
        <w:tc>
          <w:tcPr>
            <w:tcW w:type="dxa" w:w="2592"/>
          </w:tcPr>
          <w:p>
            <w:r/>
            <w:r>
              <w:rPr>
                <w:b/>
                <w:sz w:val="18"/>
              </w:rPr>
              <w:t>Norilsk</w:t>
            </w:r>
          </w:p>
        </w:tc>
      </w:tr>
      <w:tr>
        <w:tc>
          <w:tcPr>
            <w:tcW w:type="dxa" w:w="3456"/>
          </w:tcPr>
          <w:p>
            <w:r/>
            <w:r>
              <w:rPr>
                <w:sz w:val="18"/>
              </w:rPr>
              <w:t>air.pm10 / air.pm25</w:t>
            </w:r>
          </w:p>
        </w:tc>
        <w:tc>
          <w:tcPr>
            <w:tcW w:type="dxa" w:w="2592"/>
          </w:tcPr>
          <w:p>
            <w:r/>
            <w:r>
              <w:rPr>
                <w:sz w:val="18"/>
              </w:rPr>
              <w:t>dropped (buffer)</w:t>
            </w:r>
          </w:p>
        </w:tc>
        <w:tc>
          <w:tcPr>
            <w:tcW w:type="dxa" w:w="2592"/>
          </w:tcPr>
          <w:p>
            <w:r/>
            <w:r>
              <w:rPr>
                <w:sz w:val="18"/>
              </w:rPr>
              <w:t>dropped (buffer)</w:t>
            </w:r>
          </w:p>
        </w:tc>
      </w:tr>
      <w:tr>
        <w:tc>
          <w:tcPr>
            <w:tcW w:type="dxa" w:w="3456"/>
          </w:tcPr>
          <w:p>
            <w:r/>
            <w:r>
              <w:rPr>
                <w:sz w:val="18"/>
              </w:rPr>
              <w:t>air.so2</w:t>
            </w:r>
          </w:p>
        </w:tc>
        <w:tc>
          <w:tcPr>
            <w:tcW w:type="dxa" w:w="2592"/>
          </w:tcPr>
          <w:p>
            <w:r/>
            <w:r>
              <w:rPr>
                <w:sz w:val="18"/>
              </w:rPr>
              <w:t>0.054 (present)</w:t>
            </w:r>
          </w:p>
        </w:tc>
        <w:tc>
          <w:tcPr>
            <w:tcW w:type="dxa" w:w="2592"/>
          </w:tcPr>
          <w:p>
            <w:r/>
            <w:r>
              <w:rPr>
                <w:sz w:val="18"/>
              </w:rPr>
              <w:t>None (retrieval dropout)</w:t>
            </w:r>
          </w:p>
        </w:tc>
      </w:tr>
      <w:tr>
        <w:tc>
          <w:tcPr>
            <w:tcW w:type="dxa" w:w="3456"/>
          </w:tcPr>
          <w:p>
            <w:r/>
            <w:r>
              <w:rPr>
                <w:sz w:val="18"/>
              </w:rPr>
              <w:t>Air survivors renormalised</w:t>
            </w:r>
          </w:p>
        </w:tc>
        <w:tc>
          <w:tcPr>
            <w:tcW w:type="dxa" w:w="2592"/>
          </w:tcPr>
          <w:p>
            <w:r/>
            <w:r>
              <w:rPr>
                <w:sz w:val="18"/>
              </w:rPr>
              <w:t>6 of 8</w:t>
            </w:r>
          </w:p>
        </w:tc>
        <w:tc>
          <w:tcPr>
            <w:tcW w:type="dxa" w:w="2592"/>
          </w:tcPr>
          <w:p>
            <w:r/>
            <w:r>
              <w:rPr>
                <w:sz w:val="18"/>
              </w:rPr>
              <w:t>5 of 8</w:t>
            </w:r>
          </w:p>
        </w:tc>
      </w:tr>
    </w:tbl>
    <w:p>
      <w:r>
        <w:rPr>
          <w:i/>
          <w:color w:val="555555"/>
          <w:sz w:val="17"/>
        </w:rPr>
        <w:t>Norilsk loses SO₂ on top of the two PM drops, so its Air pillar is built from five survivors rather than six. Strict-None then propagates: the missing scores never become zeros, and the thinner survivor set is exactly why Norilsk's Air confidence (0.665) trails Patagonia's (0.687).</w:t>
      </w:r>
    </w:p>
    <w:p>
      <w:r>
        <w:rPr>
          <w:b w:val="0"/>
          <w:i w:val="0"/>
        </w:rPr>
        <w:t>Strict-None propagation: a None indicator yields a None confidence; the pillar rollup drops it via survivor-renormalise; the composite min(...) propagates None only if a whole pillar is lost. Here no pillar is fully lost, so both composites compute.</w:t>
      </w:r>
    </w:p>
    <w:p>
      <w:pPr>
        <w:pStyle w:val="Heading1"/>
      </w:pPr>
      <w:r>
        <w:rPr>
          <w:color w:val="1F3A5F"/>
        </w:rPr>
        <w:t>7.9  Design evolution and rejected approaches</w:t>
      </w:r>
    </w:p>
    <w:p>
      <w:r>
        <w:rPr>
          <w:b w:val="0"/>
          <w:i w:val="0"/>
        </w:rPr>
        <w:t>Several of the behaviours above are the result of explicitly rejected earlier designs — worth recording so the choices read as deliberate, not accidental:</w:t>
      </w:r>
    </w:p>
    <w:p>
      <w:pPr>
        <w:pStyle w:val="ListBullet"/>
      </w:pPr>
      <w:r>
        <w:rPr>
          <w:b/>
        </w:rPr>
        <w:t xml:space="preserve">VIIRS, twice rejected. </w:t>
      </w:r>
      <w:r>
        <w:t>the original contrast·persistence sustained-contrast score (M-GHG-REDESIGN-A1) could not rank industrial intensity — heavy and middle tiers were indistinguishable and rural Appalachia read false-High. It was replaced (M-VIIRS-REDESIGN-A1) by the two-output split used in §7.3/§7.7: an absolute-anchored flaring severity plus a separate lit-contrast attributability. The Patagonia/Norilsk VIIRS numbers above come from that redesign.</w:t>
      </w:r>
    </w:p>
    <w:p>
      <w:pPr>
        <w:pStyle w:val="ListBullet"/>
      </w:pPr>
      <w:r>
        <w:rPr>
          <w:b/>
        </w:rPr>
        <w:t xml:space="preserve">Attributability vs confidence. </w:t>
      </w:r>
      <w:r>
        <w:t>attributability used to live inside the Nature confidence sub-score, conflating “how well we measured” with “is it the supplier's.” M-ATTRIB-A1 split them apart — which is why the habitat centroid offset in §7.7 is reported but kept out of the composite and confidence.</w:t>
      </w:r>
    </w:p>
    <w:p>
      <w:pPr>
        <w:pStyle w:val="ListBullet"/>
      </w:pPr>
      <w:r>
        <w:rPr>
          <w:b/>
        </w:rPr>
        <w:t xml:space="preserve">Trend de-aggregated. </w:t>
      </w:r>
      <w:r>
        <w:t>trend (Theil–Sen slope) was once averaged into the scored aggregates; M-TREND-A1 removed it from scoring and made it an on-demand drill-down (both sites carry trend = None in the screening path, as the tables show).</w:t>
      </w:r>
    </w:p>
    <w:p>
      <w:pPr>
        <w:pStyle w:val="ListBullet"/>
      </w:pPr>
      <w:r>
        <w:rPr>
          <w:b/>
        </w:rPr>
        <w:t xml:space="preserve">No harmonisation. </w:t>
      </w:r>
      <w:r>
        <w:t>the pillars keep different scoring grammars on purpose (Air z-score anomaly vs GHG absolute activity vs Nature exposure/change/condition). Cross-pillar normalisation consistency was rejected as a goal — they ask different physical questions, as §7.2–7.4 demonstrate.</w:t>
      </w:r>
    </w:p>
    <w:p>
      <w:r>
        <w:rPr>
          <w:b w:val="0"/>
          <w:i w:val="0"/>
        </w:rPr>
      </w:r>
    </w:p>
    <w:p>
      <w:r>
        <w:rPr>
          <w:i/>
          <w:color w:val="555555"/>
          <w:sz w:val="17"/>
        </w:rPr>
        <w:t>Sources: demo/saved_analyses/wind_low_attribution_patagonia.json and wind_low_attribution_norilsk.json (saved 2026-06-01). Conventions cited to Indicators_Computation_v4.md §0, §1, §2.2a, §2.4, §3, §4, §7.5,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