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00"/>
        <w:gridCol w:w="1200"/>
        <w:gridCol w:w="3300"/>
        <w:gridCol w:w="1100"/>
        <w:gridCol w:w="1300"/>
        <w:gridCol w:w="1638"/>
        <w:tblGridChange w:id="0">
          <w:tblGrid>
            <w:gridCol w:w="1100"/>
            <w:gridCol w:w="1200"/>
            <w:gridCol w:w="3300"/>
            <w:gridCol w:w="1100"/>
            <w:gridCol w:w="1300"/>
            <w:gridCol w:w="1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after="4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4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19"/>
                <w:szCs w:val="19"/>
                <w:rtl w:val="0"/>
              </w:rPr>
              <w:t xml:space="preserve">Issue Jira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4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19"/>
                <w:szCs w:val="19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4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19"/>
                <w:szCs w:val="19"/>
                <w:rtl w:val="0"/>
              </w:rPr>
              <w:t xml:space="preserve">Nivel / 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4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19"/>
                <w:szCs w:val="19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4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4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761"/>
                <w:sz w:val="19"/>
                <w:szCs w:val="19"/>
                <w:rtl w:val="0"/>
              </w:rPr>
              <w:t xml:space="preserve">Criterio de 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4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MDA-001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4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G13-8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4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El sistema debe rechazar toda solicitud de un vehículo de más de 20 años de antigüedad.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4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Negocio /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Acta 3.3 (M. Duarte)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40" w:line="240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Con un vehículo de 21 años, el sistema bloquea la carga e informa el motivo.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