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2C81" w14:textId="77777777" w:rsidR="00406028" w:rsidRDefault="00406028" w:rsidP="00406028">
      <w:r>
        <w:t>Feature Descriptions</w:t>
      </w:r>
    </w:p>
    <w:p w14:paraId="6A0DD80E" w14:textId="08C25D7A" w:rsidR="00406028" w:rsidRDefault="00406028" w:rsidP="00406028">
      <w:r>
        <w:rPr>
          <w:noProof/>
        </w:rPr>
        <w:drawing>
          <wp:inline distT="0" distB="0" distL="0" distR="0" wp14:anchorId="36583AE9" wp14:editId="47AF102A">
            <wp:extent cx="5731510" cy="3223895"/>
            <wp:effectExtent l="0" t="0" r="0" b="1905"/>
            <wp:docPr id="94212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294"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4F1007" w14:textId="19BFB19F" w:rsidR="00406028" w:rsidRDefault="00406028" w:rsidP="00406028">
      <w:r>
        <w:t>01 - Dashboard</w:t>
      </w:r>
    </w:p>
    <w:p w14:paraId="4B26BB1A" w14:textId="77777777" w:rsidR="00406028" w:rsidRDefault="00406028" w:rsidP="00406028">
      <w:r>
        <w:t>The dashboard provides a real-time overview of your ISMS. Administrators and security managers use it to monitor risk scores, track control implementation, and identify documents needing review. It highlights overdue items and shows mitigation progress, helping prioritize work and maintain compliance.</w:t>
      </w:r>
    </w:p>
    <w:p w14:paraId="4FAAE686" w14:textId="77777777" w:rsidR="00406028" w:rsidRDefault="00406028" w:rsidP="00406028"/>
    <w:p w14:paraId="2DC0BC78" w14:textId="6CAAE6D1" w:rsidR="00406028" w:rsidRDefault="00406028" w:rsidP="00406028">
      <w:r>
        <w:rPr>
          <w:noProof/>
        </w:rPr>
        <w:drawing>
          <wp:inline distT="0" distB="0" distL="0" distR="0" wp14:anchorId="049E2A89" wp14:editId="327B8521">
            <wp:extent cx="5731510" cy="3223895"/>
            <wp:effectExtent l="0" t="0" r="0" b="1905"/>
            <wp:docPr id="10456033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3307"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E4C297" w14:textId="6A5A8582" w:rsidR="00406028" w:rsidRDefault="00406028" w:rsidP="00406028">
      <w:r>
        <w:t>02 - Documents Library</w:t>
      </w:r>
    </w:p>
    <w:p w14:paraId="0E09F526" w14:textId="77777777" w:rsidR="00406028" w:rsidRDefault="00406028" w:rsidP="00406028">
      <w:r>
        <w:t>The Documents Library is a central catalog of all ISMS documents. Administrators and editors manage policies, procedures, and records stored in SharePoint or Confluence, track versions, assign owners, and set review schedules. Staff can browse approved documents and access them directly from their source locations.</w:t>
      </w:r>
    </w:p>
    <w:p w14:paraId="21B6B8D1" w14:textId="77777777" w:rsidR="00406028" w:rsidRDefault="00406028" w:rsidP="00406028"/>
    <w:p w14:paraId="29F580C8" w14:textId="36821FDC" w:rsidR="00406028" w:rsidRDefault="00406028" w:rsidP="00406028">
      <w:r>
        <w:rPr>
          <w:noProof/>
        </w:rPr>
        <w:drawing>
          <wp:inline distT="0" distB="0" distL="0" distR="0" wp14:anchorId="01D19537" wp14:editId="42FE57CF">
            <wp:extent cx="5731510" cy="3223895"/>
            <wp:effectExtent l="0" t="0" r="0" b="1905"/>
            <wp:docPr id="2699058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05841"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0E6190" w14:textId="79DCE2CB" w:rsidR="00406028" w:rsidRDefault="00406028" w:rsidP="00406028">
      <w:r>
        <w:t>03 - Acknowledgments</w:t>
      </w:r>
    </w:p>
    <w:p w14:paraId="55C191FA" w14:textId="77777777" w:rsidR="00406028" w:rsidRDefault="00406028" w:rsidP="00406028">
      <w:r>
        <w:t>The Acknowledgments feature ensures staff read and understand updated policies. When documents change, staff receive notifications and can acknowledge them individually or in bulk. Administrators can track completion, ensuring everyone stays current with policy updates.</w:t>
      </w:r>
    </w:p>
    <w:p w14:paraId="4601ED17" w14:textId="77777777" w:rsidR="00406028" w:rsidRDefault="00406028" w:rsidP="00406028"/>
    <w:p w14:paraId="10A76DA4" w14:textId="61106BED" w:rsidR="00406028" w:rsidRDefault="00406028" w:rsidP="00406028">
      <w:r>
        <w:rPr>
          <w:noProof/>
        </w:rPr>
        <w:drawing>
          <wp:inline distT="0" distB="0" distL="0" distR="0" wp14:anchorId="05A64182" wp14:editId="1FEF8642">
            <wp:extent cx="5731510" cy="3223895"/>
            <wp:effectExtent l="0" t="0" r="0" b="1905"/>
            <wp:docPr id="169241072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10725"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09F44A" w14:textId="52F15DC7" w:rsidR="00406028" w:rsidRDefault="00406028" w:rsidP="00406028">
      <w:r>
        <w:t>04 - Reviews</w:t>
      </w:r>
    </w:p>
    <w:p w14:paraId="5EEDBE3B" w14:textId="77777777" w:rsidR="00406028" w:rsidRDefault="00406028" w:rsidP="00406028">
      <w:r>
        <w:t>The Reviews page helps administrators manage document review cycles. It shows upcoming and overdue reviews, allows scheduling review tasks, and tracks completion. This keeps documents current and supports continuous improvement of the ISMS.</w:t>
      </w:r>
    </w:p>
    <w:p w14:paraId="54BB461E" w14:textId="77777777" w:rsidR="00406028" w:rsidRDefault="00406028" w:rsidP="00406028"/>
    <w:p w14:paraId="05C2A368" w14:textId="27BB8E4D" w:rsidR="00406028" w:rsidRDefault="00406028" w:rsidP="00406028">
      <w:r>
        <w:rPr>
          <w:noProof/>
        </w:rPr>
        <w:lastRenderedPageBreak/>
        <w:drawing>
          <wp:inline distT="0" distB="0" distL="0" distR="0" wp14:anchorId="7D536A86" wp14:editId="62EFADE8">
            <wp:extent cx="5731510" cy="3223895"/>
            <wp:effectExtent l="0" t="0" r="0" b="1905"/>
            <wp:docPr id="2350361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36113"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1A7C74E" w14:textId="2F7DBCD9" w:rsidR="00406028" w:rsidRDefault="00406028" w:rsidP="00406028">
      <w:r>
        <w:t>05 - Risk Register</w:t>
      </w:r>
    </w:p>
    <w:p w14:paraId="7C95EE6C" w14:textId="77777777" w:rsidR="00406028" w:rsidRDefault="00406028" w:rsidP="00406028">
      <w:r>
        <w:t>The Risk Register is the central repository for all identified risks. Risk owners and administrators record risks with impact scores, treatment plans, and links to controls and assets. It supports risk assessment, tracks mitigation progress, and helps prioritize actions.</w:t>
      </w:r>
    </w:p>
    <w:p w14:paraId="2CD29DBF" w14:textId="77777777" w:rsidR="00406028" w:rsidRDefault="00406028" w:rsidP="00406028"/>
    <w:p w14:paraId="70CABA9D" w14:textId="4ED9FEE2" w:rsidR="00406028" w:rsidRDefault="00406028" w:rsidP="00406028">
      <w:r>
        <w:rPr>
          <w:noProof/>
        </w:rPr>
        <w:drawing>
          <wp:inline distT="0" distB="0" distL="0" distR="0" wp14:anchorId="62C0B7E4" wp14:editId="3B0C5397">
            <wp:extent cx="5731510" cy="3223895"/>
            <wp:effectExtent l="0" t="0" r="0" b="1905"/>
            <wp:docPr id="119698551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5512"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E8A570" w14:textId="26FA70EB" w:rsidR="00406028" w:rsidRDefault="00406028" w:rsidP="00406028">
      <w:r>
        <w:t>06 - Review Inbox</w:t>
      </w:r>
    </w:p>
    <w:p w14:paraId="5E1F8B6F" w14:textId="77777777" w:rsidR="00406028" w:rsidRDefault="00406028" w:rsidP="00406028">
      <w:r>
        <w:t>The Review Inbox is where administrators review and approve risks submitted by department contributors. It streamlines the approval workflow, allowing reviewers to accept, reject, or request changes before risks enter the register.</w:t>
      </w:r>
    </w:p>
    <w:p w14:paraId="44416C66" w14:textId="77777777" w:rsidR="00406028" w:rsidRDefault="00406028" w:rsidP="00406028"/>
    <w:p w14:paraId="181799AE" w14:textId="2805968F" w:rsidR="00406028" w:rsidRDefault="00406028" w:rsidP="00406028">
      <w:r>
        <w:rPr>
          <w:noProof/>
        </w:rPr>
        <w:lastRenderedPageBreak/>
        <w:drawing>
          <wp:inline distT="0" distB="0" distL="0" distR="0" wp14:anchorId="36D843B7" wp14:editId="49EA42AA">
            <wp:extent cx="5731510" cy="3223895"/>
            <wp:effectExtent l="0" t="0" r="0" b="1905"/>
            <wp:docPr id="43237009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0090"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B3501AE" w14:textId="1CE85528" w:rsidR="00406028" w:rsidRDefault="00406028" w:rsidP="00406028">
      <w:r>
        <w:t>07 - Controls</w:t>
      </w:r>
    </w:p>
    <w:p w14:paraId="3B8E60AE" w14:textId="77777777" w:rsidR="00406028" w:rsidRDefault="00406028" w:rsidP="00406028">
      <w:r>
        <w:t>The Controls page manages ISO 27001 Annex A controls. Administrators select applicable controls, document justifications, link them to risks and documents, and track implementation. This supports the Statement of Applicability and demonstrates control coverage.</w:t>
      </w:r>
    </w:p>
    <w:p w14:paraId="429FA590" w14:textId="77777777" w:rsidR="00406028" w:rsidRDefault="00406028" w:rsidP="00406028"/>
    <w:p w14:paraId="5820E336" w14:textId="0877D3C3" w:rsidR="00406028" w:rsidRDefault="00406028" w:rsidP="00406028">
      <w:r>
        <w:rPr>
          <w:noProof/>
        </w:rPr>
        <w:drawing>
          <wp:inline distT="0" distB="0" distL="0" distR="0" wp14:anchorId="673367BF" wp14:editId="7DCD595D">
            <wp:extent cx="5731510" cy="3223895"/>
            <wp:effectExtent l="0" t="0" r="0" b="1905"/>
            <wp:docPr id="35397658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76584"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1FBF69" w14:textId="019F5231" w:rsidR="00406028" w:rsidRDefault="00406028" w:rsidP="00406028">
      <w:r>
        <w:t>08 - Statement of Applicability (SoA)</w:t>
      </w:r>
    </w:p>
    <w:p w14:paraId="3CFF14EF" w14:textId="77777777" w:rsidR="00406028" w:rsidRDefault="00406028" w:rsidP="00406028">
      <w:r>
        <w:t>The SoA feature generates the Statement of Applicability report required for ISO 27001 certification. Administrators export an Excel file listing all controls, their applicability, justifications, and links to risks and documents. This provides auditors with a clear view of your control framework.</w:t>
      </w:r>
    </w:p>
    <w:p w14:paraId="3BD2C0A0" w14:textId="77777777" w:rsidR="00406028" w:rsidRDefault="00406028" w:rsidP="00406028"/>
    <w:p w14:paraId="3DAD4CF5" w14:textId="35D09BCF" w:rsidR="00406028" w:rsidRDefault="00406028" w:rsidP="00406028">
      <w:r>
        <w:rPr>
          <w:noProof/>
        </w:rPr>
        <w:lastRenderedPageBreak/>
        <w:drawing>
          <wp:inline distT="0" distB="0" distL="0" distR="0" wp14:anchorId="6839FD78" wp14:editId="41C00003">
            <wp:extent cx="5731510" cy="3223895"/>
            <wp:effectExtent l="0" t="0" r="0" b="1905"/>
            <wp:docPr id="73156719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67198"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D2DCFB" w14:textId="1F348A60" w:rsidR="00406028" w:rsidRDefault="00406028" w:rsidP="00406028">
      <w:r>
        <w:t>09 - Assets</w:t>
      </w:r>
    </w:p>
    <w:p w14:paraId="54745FF3" w14:textId="77777777" w:rsidR="00406028" w:rsidRDefault="00406028" w:rsidP="00406028">
      <w:r>
        <w:t>The Assets page maintains an inventory of information assets. Administrators record hardware, software, and infrastructure with details like classification, owner, and location. Assets can be linked to risks, helping identify what needs protection.</w:t>
      </w:r>
    </w:p>
    <w:p w14:paraId="62AD85B2" w14:textId="77777777" w:rsidR="00406028" w:rsidRDefault="00406028" w:rsidP="00406028"/>
    <w:p w14:paraId="28245226" w14:textId="5DF38707" w:rsidR="00406028" w:rsidRDefault="00406028" w:rsidP="00406028">
      <w:r>
        <w:rPr>
          <w:noProof/>
        </w:rPr>
        <w:drawing>
          <wp:inline distT="0" distB="0" distL="0" distR="0" wp14:anchorId="30008140" wp14:editId="482154D3">
            <wp:extent cx="5731510" cy="3223895"/>
            <wp:effectExtent l="0" t="0" r="0" b="1905"/>
            <wp:docPr id="69885691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56915"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91D428" w14:textId="35EEE06C" w:rsidR="00406028" w:rsidRDefault="00406028" w:rsidP="00406028">
      <w:r>
        <w:t>10 - Asset Categories</w:t>
      </w:r>
    </w:p>
    <w:p w14:paraId="6884C511" w14:textId="77777777" w:rsidR="00406028" w:rsidRDefault="00406028" w:rsidP="00406028">
      <w:r>
        <w:t>Asset Categories organize assets into logical groups (e.g., Hardware, Software, Infrastructure). Administrators use categories to classify assets consistently and filter the asset register, making it easier to manage large inventories.</w:t>
      </w:r>
    </w:p>
    <w:p w14:paraId="46DE71C4" w14:textId="77777777" w:rsidR="00406028" w:rsidRDefault="00406028" w:rsidP="00406028"/>
    <w:p w14:paraId="6A4B0D0A" w14:textId="29FF0D2D" w:rsidR="00406028" w:rsidRDefault="00406028" w:rsidP="00406028">
      <w:r>
        <w:rPr>
          <w:noProof/>
        </w:rPr>
        <w:lastRenderedPageBreak/>
        <w:drawing>
          <wp:inline distT="0" distB="0" distL="0" distR="0" wp14:anchorId="04E288F4" wp14:editId="0BD010CE">
            <wp:extent cx="5731510" cy="3223895"/>
            <wp:effectExtent l="0" t="0" r="0" b="1905"/>
            <wp:docPr id="13525983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8344" name="Picture 1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890267" w14:textId="628FEF5B" w:rsidR="00406028" w:rsidRDefault="00406028" w:rsidP="00406028">
      <w:r>
        <w:t>11 - Suppliers</w:t>
      </w:r>
    </w:p>
    <w:p w14:paraId="4B2E1278" w14:textId="77777777" w:rsidR="00406028" w:rsidRDefault="00406028" w:rsidP="00406028">
      <w:r>
        <w:t>The Suppliers page manages third-party vendor relationships and their security posture. Administrators track supplier assessments, compliance status, contracts, and review schedules. This helps ensure suppliers meet security requirements and supports due diligence.</w:t>
      </w:r>
    </w:p>
    <w:p w14:paraId="527FB167" w14:textId="77777777" w:rsidR="00406028" w:rsidRDefault="00406028" w:rsidP="00406028"/>
    <w:p w14:paraId="427E2F83" w14:textId="5500295C" w:rsidR="00406028" w:rsidRDefault="00406028" w:rsidP="00406028">
      <w:r>
        <w:rPr>
          <w:noProof/>
        </w:rPr>
        <w:drawing>
          <wp:inline distT="0" distB="0" distL="0" distR="0" wp14:anchorId="345CC161" wp14:editId="40DA2527">
            <wp:extent cx="5731510" cy="3223895"/>
            <wp:effectExtent l="0" t="0" r="0" b="1905"/>
            <wp:docPr id="61268143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1439" name="Picture 1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875265" w14:textId="07C598A9" w:rsidR="00406028" w:rsidRDefault="00406028" w:rsidP="00406028">
      <w:r>
        <w:t>12 - Interested Parties</w:t>
      </w:r>
    </w:p>
    <w:p w14:paraId="7F70CD7F" w14:textId="77777777" w:rsidR="00406028" w:rsidRDefault="00406028" w:rsidP="00406028">
      <w:r>
        <w:t>The Interested Parties page identifies stakeholders with requirements that affect the ISMS. Administrators document parties like customers, regulators, and partners, their requirements, and how they’re addressed. This supports ISO 27001 requirements for understanding stakeholder needs.</w:t>
      </w:r>
    </w:p>
    <w:p w14:paraId="5DB0FD9A" w14:textId="77777777" w:rsidR="00406028" w:rsidRDefault="00406028" w:rsidP="00406028"/>
    <w:p w14:paraId="4AA16022" w14:textId="7BF77489" w:rsidR="00406028" w:rsidRDefault="00406028" w:rsidP="00406028">
      <w:r>
        <w:rPr>
          <w:noProof/>
        </w:rPr>
        <w:lastRenderedPageBreak/>
        <w:drawing>
          <wp:inline distT="0" distB="0" distL="0" distR="0" wp14:anchorId="77DCEAAD" wp14:editId="20D90679">
            <wp:extent cx="5731510" cy="3223895"/>
            <wp:effectExtent l="0" t="0" r="0" b="1905"/>
            <wp:docPr id="151516190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61905" name="Picture 1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88750D" w14:textId="69FDDA02" w:rsidR="00406028" w:rsidRDefault="00406028" w:rsidP="00406028">
      <w:r>
        <w:t>13 - Legislation</w:t>
      </w:r>
    </w:p>
    <w:p w14:paraId="7EFF4D8F" w14:textId="77777777" w:rsidR="00406028" w:rsidRDefault="00406028" w:rsidP="00406028">
      <w:r>
        <w:t>The Legislation page tracks legal and regulatory requirements. Administrators record applicable laws and regulations, link them to risks, and document compliance approaches. This helps ensure legal obligations are identified and addressed.</w:t>
      </w:r>
    </w:p>
    <w:p w14:paraId="7F924112" w14:textId="77777777" w:rsidR="00406028" w:rsidRDefault="00406028" w:rsidP="00406028"/>
    <w:p w14:paraId="645ABD61" w14:textId="5EC75AEB" w:rsidR="00406028" w:rsidRDefault="00406028" w:rsidP="00406028">
      <w:r>
        <w:rPr>
          <w:noProof/>
        </w:rPr>
        <w:drawing>
          <wp:inline distT="0" distB="0" distL="0" distR="0" wp14:anchorId="523F78A2" wp14:editId="0403CCEB">
            <wp:extent cx="5731510" cy="3223895"/>
            <wp:effectExtent l="0" t="0" r="0" b="1905"/>
            <wp:docPr id="133036504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65046" name="Picture 1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34F5EFD" w14:textId="28D73D63" w:rsidR="00406028" w:rsidRDefault="00406028" w:rsidP="00406028">
      <w:r>
        <w:t>14 - Trust Center</w:t>
      </w:r>
    </w:p>
    <w:p w14:paraId="36FBC2F0" w14:textId="77777777" w:rsidR="00406028" w:rsidRDefault="00406028" w:rsidP="00406028">
      <w:r>
        <w:t>The Trust Center is a public-facing portal where external parties can access security documentation. External users can register, request access, and download approved documents like certifications and policies. Administrators control visibility and manage access requests, supporting transparency and customer trust.</w:t>
      </w:r>
    </w:p>
    <w:p w14:paraId="5FEE3369" w14:textId="77777777" w:rsidR="00406028" w:rsidRDefault="00406028" w:rsidP="00406028"/>
    <w:p w14:paraId="7178F203" w14:textId="70D399BB" w:rsidR="00406028" w:rsidRDefault="00406028" w:rsidP="00406028">
      <w:r>
        <w:rPr>
          <w:noProof/>
        </w:rPr>
        <w:lastRenderedPageBreak/>
        <w:drawing>
          <wp:inline distT="0" distB="0" distL="0" distR="0" wp14:anchorId="5D680688" wp14:editId="39EAE945">
            <wp:extent cx="5731510" cy="3223895"/>
            <wp:effectExtent l="0" t="0" r="0" b="1905"/>
            <wp:docPr id="79271787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17876" name="Picture 1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723F69" w14:textId="50373855" w:rsidR="00406028" w:rsidRDefault="00406028" w:rsidP="00406028">
      <w:r>
        <w:t>15 - User Management</w:t>
      </w:r>
    </w:p>
    <w:p w14:paraId="00F79144" w14:textId="77777777" w:rsidR="00406028" w:rsidRDefault="00406028" w:rsidP="00406028">
      <w:r>
        <w:t>User Management allows administrators to control system access and permissions. Administrators assign roles (Admin, Editor, Staff, Contributor), set departments, and manage user accounts. This ensures the right people have appropriate access to ISMS functions.</w:t>
      </w:r>
    </w:p>
    <w:p w14:paraId="0057F48B" w14:textId="77777777" w:rsidR="00406028" w:rsidRDefault="00406028" w:rsidP="00406028"/>
    <w:p w14:paraId="3168E373" w14:textId="1FEA6EA6" w:rsidR="00406028" w:rsidRDefault="00406028" w:rsidP="00406028">
      <w:r>
        <w:rPr>
          <w:noProof/>
        </w:rPr>
        <w:drawing>
          <wp:inline distT="0" distB="0" distL="0" distR="0" wp14:anchorId="7FA38ECC" wp14:editId="74B76000">
            <wp:extent cx="5731510" cy="3223895"/>
            <wp:effectExtent l="0" t="0" r="0" b="1905"/>
            <wp:docPr id="71208186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81867" name="Picture 1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8C8365" w14:textId="494D314B" w:rsidR="00406028" w:rsidRDefault="00406028" w:rsidP="00406028">
      <w:r>
        <w:t>16 - Profile</w:t>
      </w:r>
    </w:p>
    <w:p w14:paraId="6931781A" w14:textId="0D997B2F" w:rsidR="00B07422" w:rsidRDefault="00406028" w:rsidP="00406028">
      <w:r>
        <w:t>The Profile page lets users view their account information, role, and department. All users can see their permissions and sign out. This provides transparency about access and helps users understand their responsibilities in the system.</w:t>
      </w:r>
    </w:p>
    <w:sectPr w:rsidR="00B07422">
      <w:footerReference w:type="even" r:id="rId22"/>
      <w:footerReference w:type="defaul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EFF1" w14:textId="77777777" w:rsidR="00D95FDE" w:rsidRDefault="00D95FDE" w:rsidP="00406028">
      <w:r>
        <w:separator/>
      </w:r>
    </w:p>
  </w:endnote>
  <w:endnote w:type="continuationSeparator" w:id="0">
    <w:p w14:paraId="0EDA97A2" w14:textId="77777777" w:rsidR="00D95FDE" w:rsidRDefault="00D95FDE" w:rsidP="00406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1B3" w14:textId="2C5B7129" w:rsidR="00406028" w:rsidRDefault="00406028">
    <w:pPr>
      <w:pStyle w:val="Footer"/>
    </w:pPr>
    <w:r>
      <w:rPr>
        <w:noProof/>
      </w:rPr>
      <mc:AlternateContent>
        <mc:Choice Requires="wps">
          <w:drawing>
            <wp:anchor distT="0" distB="0" distL="0" distR="0" simplePos="0" relativeHeight="251659264" behindDoc="0" locked="0" layoutInCell="1" allowOverlap="1" wp14:anchorId="4B10FAB9" wp14:editId="0DADAACD">
              <wp:simplePos x="635" y="635"/>
              <wp:positionH relativeFrom="page">
                <wp:align>right</wp:align>
              </wp:positionH>
              <wp:positionV relativeFrom="page">
                <wp:align>bottom</wp:align>
              </wp:positionV>
              <wp:extent cx="1195705" cy="345440"/>
              <wp:effectExtent l="0" t="0" r="0" b="0"/>
              <wp:wrapNone/>
              <wp:docPr id="33415892" name="Text Box 18" descr="Paythru 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5705" cy="345440"/>
                      </a:xfrm>
                      <a:prstGeom prst="rect">
                        <a:avLst/>
                      </a:prstGeom>
                      <a:noFill/>
                      <a:ln>
                        <a:noFill/>
                      </a:ln>
                    </wps:spPr>
                    <wps:txbx>
                      <w:txbxContent>
                        <w:p w14:paraId="2DF6383F" w14:textId="59D88E6C" w:rsidR="00406028" w:rsidRPr="00406028" w:rsidRDefault="00406028" w:rsidP="00406028">
                          <w:pPr>
                            <w:rPr>
                              <w:rFonts w:ascii="Aptos" w:eastAsia="Aptos" w:hAnsi="Aptos" w:cs="Aptos"/>
                              <w:noProof/>
                              <w:color w:val="000000"/>
                              <w:sz w:val="20"/>
                              <w:szCs w:val="20"/>
                            </w:rPr>
                          </w:pPr>
                          <w:r w:rsidRPr="00406028">
                            <w:rPr>
                              <w:rFonts w:ascii="Aptos" w:eastAsia="Aptos" w:hAnsi="Aptos" w:cs="Aptos"/>
                              <w:noProof/>
                              <w:color w:val="000000"/>
                              <w:sz w:val="20"/>
                              <w:szCs w:val="20"/>
                            </w:rPr>
                            <w:t>Paythru Sensitive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B10FAB9" id="_x0000_t202" coordsize="21600,21600" o:spt="202" path="m,l,21600r21600,l21600,xe">
              <v:stroke joinstyle="miter"/>
              <v:path gradientshapeok="t" o:connecttype="rect"/>
            </v:shapetype>
            <v:shape id="Text Box 18" o:spid="_x0000_s1026" type="#_x0000_t202" alt="Paythru Sensitive" style="position:absolute;margin-left:42.95pt;margin-top:0;width:94.1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" filled="f" stroked="f">
              <v:fill o:detectmouseclick="t"/>
              <v:textbox style="mso-fit-shape-to-text:t" inset="0,0,20pt,15pt">
                <w:txbxContent>
                  <w:p w14:paraId="2DF6383F" w14:textId="59D88E6C" w:rsidR="00406028" w:rsidRPr="00406028" w:rsidRDefault="00406028" w:rsidP="00406028">
                    <w:pPr>
                      <w:rPr>
                        <w:rFonts w:ascii="Aptos" w:eastAsia="Aptos" w:hAnsi="Aptos" w:cs="Aptos"/>
                        <w:noProof/>
                        <w:color w:val="000000"/>
                        <w:sz w:val="20"/>
                        <w:szCs w:val="20"/>
                      </w:rPr>
                    </w:pPr>
                    <w:r w:rsidRPr="00406028">
                      <w:rPr>
                        <w:rFonts w:ascii="Aptos" w:eastAsia="Aptos" w:hAnsi="Aptos" w:cs="Aptos"/>
                        <w:noProof/>
                        <w:color w:val="000000"/>
                        <w:sz w:val="20"/>
                        <w:szCs w:val="20"/>
                      </w:rPr>
                      <w:t>Paythru Sensitive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3A15" w14:textId="357937AA" w:rsidR="00406028" w:rsidRDefault="00406028">
    <w:pPr>
      <w:pStyle w:val="Footer"/>
    </w:pPr>
    <w:r>
      <w:rPr>
        <w:noProof/>
      </w:rPr>
      <mc:AlternateContent>
        <mc:Choice Requires="wps">
          <w:drawing>
            <wp:anchor distT="0" distB="0" distL="0" distR="0" simplePos="0" relativeHeight="251660288" behindDoc="0" locked="0" layoutInCell="1" allowOverlap="1" wp14:anchorId="065957F7" wp14:editId="269D1EE8">
              <wp:simplePos x="0" y="0"/>
              <wp:positionH relativeFrom="page">
                <wp:align>right</wp:align>
              </wp:positionH>
              <wp:positionV relativeFrom="page">
                <wp:align>bottom</wp:align>
              </wp:positionV>
              <wp:extent cx="1195705" cy="345440"/>
              <wp:effectExtent l="0" t="0" r="0" b="0"/>
              <wp:wrapNone/>
              <wp:docPr id="629612325" name="Text Box 19" descr="Paythru 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5705" cy="345440"/>
                      </a:xfrm>
                      <a:prstGeom prst="rect">
                        <a:avLst/>
                      </a:prstGeom>
                      <a:noFill/>
                      <a:ln>
                        <a:noFill/>
                      </a:ln>
                    </wps:spPr>
                    <wps:txbx>
                      <w:txbxContent>
                        <w:p w14:paraId="4BB175EF" w14:textId="720631BB" w:rsidR="00406028" w:rsidRPr="00406028" w:rsidRDefault="00406028" w:rsidP="00406028">
                          <w:pPr>
                            <w:rPr>
                              <w:rFonts w:ascii="Aptos" w:eastAsia="Aptos" w:hAnsi="Aptos" w:cs="Aptos"/>
                              <w:noProof/>
                              <w:color w:val="000000"/>
                              <w:sz w:val="20"/>
                              <w:szCs w:val="20"/>
                            </w:rPr>
                          </w:pPr>
                          <w:r w:rsidRPr="00406028">
                            <w:rPr>
                              <w:rFonts w:ascii="Aptos" w:eastAsia="Aptos" w:hAnsi="Aptos" w:cs="Aptos"/>
                              <w:noProof/>
                              <w:color w:val="000000"/>
                              <w:sz w:val="20"/>
                              <w:szCs w:val="20"/>
                            </w:rPr>
                            <w:t>Paythru Sensitive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5957F7" id="_x0000_t202" coordsize="21600,21600" o:spt="202" path="m,l,21600r21600,l21600,xe">
              <v:stroke joinstyle="miter"/>
              <v:path gradientshapeok="t" o:connecttype="rect"/>
            </v:shapetype>
            <v:shape id="Text Box 19" o:spid="_x0000_s1027" type="#_x0000_t202" alt="Paythru Sensitive" style="position:absolute;margin-left:42.95pt;margin-top:0;width:94.1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" filled="f" stroked="f">
              <v:fill o:detectmouseclick="t"/>
              <v:textbox style="mso-fit-shape-to-text:t" inset="0,0,20pt,15pt">
                <w:txbxContent>
                  <w:p w14:paraId="4BB175EF" w14:textId="720631BB" w:rsidR="00406028" w:rsidRPr="00406028" w:rsidRDefault="00406028" w:rsidP="00406028">
                    <w:pPr>
                      <w:rPr>
                        <w:rFonts w:ascii="Aptos" w:eastAsia="Aptos" w:hAnsi="Aptos" w:cs="Aptos"/>
                        <w:noProof/>
                        <w:color w:val="000000"/>
                        <w:sz w:val="20"/>
                        <w:szCs w:val="20"/>
                      </w:rPr>
                    </w:pPr>
                    <w:r w:rsidRPr="00406028">
                      <w:rPr>
                        <w:rFonts w:ascii="Aptos" w:eastAsia="Aptos" w:hAnsi="Aptos" w:cs="Aptos"/>
                        <w:noProof/>
                        <w:color w:val="000000"/>
                        <w:sz w:val="20"/>
                        <w:szCs w:val="20"/>
                      </w:rPr>
                      <w:t>Paythru Sensitive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7A9C" w14:textId="64E3A30C" w:rsidR="00406028" w:rsidRDefault="00406028">
    <w:pPr>
      <w:pStyle w:val="Footer"/>
    </w:pPr>
    <w:r>
      <w:rPr>
        <w:noProof/>
      </w:rPr>
      <mc:AlternateContent>
        <mc:Choice Requires="wps">
          <w:drawing>
            <wp:anchor distT="0" distB="0" distL="0" distR="0" simplePos="0" relativeHeight="251658240" behindDoc="0" locked="0" layoutInCell="1" allowOverlap="1" wp14:anchorId="0BF2F76D" wp14:editId="529F6940">
              <wp:simplePos x="635" y="635"/>
              <wp:positionH relativeFrom="page">
                <wp:align>right</wp:align>
              </wp:positionH>
              <wp:positionV relativeFrom="page">
                <wp:align>bottom</wp:align>
              </wp:positionV>
              <wp:extent cx="1195705" cy="345440"/>
              <wp:effectExtent l="0" t="0" r="0" b="0"/>
              <wp:wrapNone/>
              <wp:docPr id="2075661747" name="Text Box 17" descr="Paythru 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5705" cy="345440"/>
                      </a:xfrm>
                      <a:prstGeom prst="rect">
                        <a:avLst/>
                      </a:prstGeom>
                      <a:noFill/>
                      <a:ln>
                        <a:noFill/>
                      </a:ln>
                    </wps:spPr>
                    <wps:txbx>
                      <w:txbxContent>
                        <w:p w14:paraId="061A0C92" w14:textId="3060F47D" w:rsidR="00406028" w:rsidRPr="00406028" w:rsidRDefault="00406028" w:rsidP="00406028">
                          <w:pPr>
                            <w:rPr>
                              <w:rFonts w:ascii="Aptos" w:eastAsia="Aptos" w:hAnsi="Aptos" w:cs="Aptos"/>
                              <w:noProof/>
                              <w:color w:val="000000"/>
                              <w:sz w:val="20"/>
                              <w:szCs w:val="20"/>
                            </w:rPr>
                          </w:pPr>
                          <w:r w:rsidRPr="00406028">
                            <w:rPr>
                              <w:rFonts w:ascii="Aptos" w:eastAsia="Aptos" w:hAnsi="Aptos" w:cs="Aptos"/>
                              <w:noProof/>
                              <w:color w:val="000000"/>
                              <w:sz w:val="20"/>
                              <w:szCs w:val="20"/>
                            </w:rPr>
                            <w:t>Paythru Sensitive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BF2F76D" id="_x0000_t202" coordsize="21600,21600" o:spt="202" path="m,l,21600r21600,l21600,xe">
              <v:stroke joinstyle="miter"/>
              <v:path gradientshapeok="t" o:connecttype="rect"/>
            </v:shapetype>
            <v:shape id="Text Box 17" o:spid="_x0000_s1028" type="#_x0000_t202" alt="Paythru Sensitive" style="position:absolute;margin-left:42.95pt;margin-top:0;width:94.1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" filled="f" stroked="f">
              <v:fill o:detectmouseclick="t"/>
              <v:textbox style="mso-fit-shape-to-text:t" inset="0,0,20pt,15pt">
                <w:txbxContent>
                  <w:p w14:paraId="061A0C92" w14:textId="3060F47D" w:rsidR="00406028" w:rsidRPr="00406028" w:rsidRDefault="00406028" w:rsidP="00406028">
                    <w:pPr>
                      <w:rPr>
                        <w:rFonts w:ascii="Aptos" w:eastAsia="Aptos" w:hAnsi="Aptos" w:cs="Aptos"/>
                        <w:noProof/>
                        <w:color w:val="000000"/>
                        <w:sz w:val="20"/>
                        <w:szCs w:val="20"/>
                      </w:rPr>
                    </w:pPr>
                    <w:r w:rsidRPr="00406028">
                      <w:rPr>
                        <w:rFonts w:ascii="Aptos" w:eastAsia="Aptos" w:hAnsi="Aptos" w:cs="Aptos"/>
                        <w:noProof/>
                        <w:color w:val="000000"/>
                        <w:sz w:val="20"/>
                        <w:szCs w:val="20"/>
                      </w:rPr>
                      <w:t>Paythru Sensitive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4BDA" w14:textId="77777777" w:rsidR="00D95FDE" w:rsidRDefault="00D95FDE" w:rsidP="00406028">
      <w:r>
        <w:separator/>
      </w:r>
    </w:p>
  </w:footnote>
  <w:footnote w:type="continuationSeparator" w:id="0">
    <w:p w14:paraId="1E438B60" w14:textId="77777777" w:rsidR="00D95FDE" w:rsidRDefault="00D95FDE" w:rsidP="004060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28"/>
    <w:rsid w:val="00307DC5"/>
    <w:rsid w:val="00406028"/>
    <w:rsid w:val="006D006B"/>
    <w:rsid w:val="00854911"/>
    <w:rsid w:val="00B07422"/>
    <w:rsid w:val="00B36236"/>
    <w:rsid w:val="00D95FDE"/>
    <w:rsid w:val="00E71F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589BC1"/>
  <w15:chartTrackingRefBased/>
  <w15:docId w15:val="{C4921425-81A0-CC45-91AB-56FFB7A42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28"/>
    <w:rPr>
      <w:rFonts w:eastAsiaTheme="majorEastAsia" w:cstheme="majorBidi"/>
      <w:color w:val="272727" w:themeColor="text1" w:themeTint="D8"/>
    </w:rPr>
  </w:style>
  <w:style w:type="paragraph" w:styleId="Title">
    <w:name w:val="Title"/>
    <w:basedOn w:val="Normal"/>
    <w:next w:val="Normal"/>
    <w:link w:val="TitleChar"/>
    <w:uiPriority w:val="10"/>
    <w:qFormat/>
    <w:rsid w:val="004060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028"/>
    <w:rPr>
      <w:i/>
      <w:iCs/>
      <w:color w:val="404040" w:themeColor="text1" w:themeTint="BF"/>
    </w:rPr>
  </w:style>
  <w:style w:type="paragraph" w:styleId="ListParagraph">
    <w:name w:val="List Paragraph"/>
    <w:basedOn w:val="Normal"/>
    <w:uiPriority w:val="34"/>
    <w:qFormat/>
    <w:rsid w:val="00406028"/>
    <w:pPr>
      <w:ind w:left="720"/>
      <w:contextualSpacing/>
    </w:pPr>
  </w:style>
  <w:style w:type="character" w:styleId="IntenseEmphasis">
    <w:name w:val="Intense Emphasis"/>
    <w:basedOn w:val="DefaultParagraphFont"/>
    <w:uiPriority w:val="21"/>
    <w:qFormat/>
    <w:rsid w:val="00406028"/>
    <w:rPr>
      <w:i/>
      <w:iCs/>
      <w:color w:val="0F4761" w:themeColor="accent1" w:themeShade="BF"/>
    </w:rPr>
  </w:style>
  <w:style w:type="paragraph" w:styleId="IntenseQuote">
    <w:name w:val="Intense Quote"/>
    <w:basedOn w:val="Normal"/>
    <w:next w:val="Normal"/>
    <w:link w:val="IntenseQuoteChar"/>
    <w:uiPriority w:val="30"/>
    <w:qFormat/>
    <w:rsid w:val="00406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028"/>
    <w:rPr>
      <w:i/>
      <w:iCs/>
      <w:color w:val="0F4761" w:themeColor="accent1" w:themeShade="BF"/>
    </w:rPr>
  </w:style>
  <w:style w:type="character" w:styleId="IntenseReference">
    <w:name w:val="Intense Reference"/>
    <w:basedOn w:val="DefaultParagraphFont"/>
    <w:uiPriority w:val="32"/>
    <w:qFormat/>
    <w:rsid w:val="00406028"/>
    <w:rPr>
      <w:b/>
      <w:bCs/>
      <w:smallCaps/>
      <w:color w:val="0F4761" w:themeColor="accent1" w:themeShade="BF"/>
      <w:spacing w:val="5"/>
    </w:rPr>
  </w:style>
  <w:style w:type="paragraph" w:styleId="Footer">
    <w:name w:val="footer"/>
    <w:basedOn w:val="Normal"/>
    <w:link w:val="FooterChar"/>
    <w:uiPriority w:val="99"/>
    <w:unhideWhenUsed/>
    <w:rsid w:val="00406028"/>
    <w:pPr>
      <w:tabs>
        <w:tab w:val="center" w:pos="4513"/>
        <w:tab w:val="right" w:pos="9026"/>
      </w:tabs>
    </w:pPr>
  </w:style>
  <w:style w:type="character" w:customStyle="1" w:styleId="FooterChar">
    <w:name w:val="Footer Char"/>
    <w:basedOn w:val="DefaultParagraphFont"/>
    <w:link w:val="Footer"/>
    <w:uiPriority w:val="99"/>
    <w:rsid w:val="00406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637</Words>
  <Characters>4025</Characters>
  <Application>Microsoft Office Word</Application>
  <DocSecurity>0</DocSecurity>
  <Lines>75</Lines>
  <Paragraphs>38</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Braybrook</dc:creator>
  <cp:keywords/>
  <dc:description/>
  <cp:lastModifiedBy>Mark Braybrook</cp:lastModifiedBy>
  <cp:revision>1</cp:revision>
  <dcterms:created xsi:type="dcterms:W3CDTF">2025-12-05T13:20:00Z</dcterms:created>
  <dcterms:modified xsi:type="dcterms:W3CDTF">2025-12-05T13:23:00Z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7bb815b3,1fde2d4,25871f25</vt:lpwstr>
  </property>
  <property fmtid="{D5CDD505-2E9C-101B-9397-08002B2CF9AE}" pid="3" name="ClassificationContentMarkingFooterFontProps">
    <vt:lpwstr>#000000,10,Aptos</vt:lpwstr>
  </property>
  <property fmtid="{D5CDD505-2E9C-101B-9397-08002B2CF9AE}" pid="4" name="ClassificationContentMarkingFooterText">
    <vt:lpwstr>Paythru Sensitive</vt:lpwstr>
  </property>
  <property fmtid="{D5CDD505-2E9C-101B-9397-08002B2CF9AE}" pid="5" name="MSIP_Label_aa8ead2e-0d4f-42ae-9b8b-a317ded39697_Enabled">
    <vt:lpwstr>true</vt:lpwstr>
  </property>
  <property fmtid="{D5CDD505-2E9C-101B-9397-08002B2CF9AE}" pid="6" name="MSIP_Label_aa8ead2e-0d4f-42ae-9b8b-a317ded39697_SetDate">
    <vt:lpwstr>2025-12-05T13:23:33Z</vt:lpwstr>
  </property>
  <property fmtid="{D5CDD505-2E9C-101B-9397-08002B2CF9AE}" pid="7" name="MSIP_Label_aa8ead2e-0d4f-42ae-9b8b-a317ded39697_Method">
    <vt:lpwstr>Standard</vt:lpwstr>
  </property>
  <property fmtid="{D5CDD505-2E9C-101B-9397-08002B2CF9AE}" pid="8" name="MSIP_Label_aa8ead2e-0d4f-42ae-9b8b-a317ded39697_Name">
    <vt:lpwstr>Paythru Sensitive</vt:lpwstr>
  </property>
  <property fmtid="{D5CDD505-2E9C-101B-9397-08002B2CF9AE}" pid="9" name="MSIP_Label_aa8ead2e-0d4f-42ae-9b8b-a317ded39697_SiteId">
    <vt:lpwstr>479ff824-e5d0-427c-9c93-4674a14cc15c</vt:lpwstr>
  </property>
  <property fmtid="{D5CDD505-2E9C-101B-9397-08002B2CF9AE}" pid="10" name="MSIP_Label_aa8ead2e-0d4f-42ae-9b8b-a317ded39697_ActionId">
    <vt:lpwstr>1aef3b44-18fe-4497-b59a-fa96b67b5a4b</vt:lpwstr>
  </property>
  <property fmtid="{D5CDD505-2E9C-101B-9397-08002B2CF9AE}" pid="11" name="MSIP_Label_aa8ead2e-0d4f-42ae-9b8b-a317ded39697_ContentBits">
    <vt:lpwstr>2</vt:lpwstr>
  </property>
  <property fmtid="{D5CDD505-2E9C-101B-9397-08002B2CF9AE}" pid="12" name="MSIP_Label_aa8ead2e-0d4f-42ae-9b8b-a317ded39697_Tag">
    <vt:lpwstr>50, 3, 0, 1</vt:lpwstr>
  </property>
</Properties>
</file>