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75B6"/>
          <w:sz w:val="56"/>
          <w:szCs w:val="56"/>
        </w:rPr>
        <w:t xml:space="preserve">TOP-DOWN RACER v02</w:t>
      </w:r>
    </w:p>
    <w:p>
      <w:pPr>
        <w:spacing w:after="200"/>
      </w:pPr>
    </w:p>
    <w:p>
      <w:pPr>
        <w:spacing w:after="200"/>
        <w:jc w:val="center"/>
      </w:pPr>
      <w:r>
        <w:rPr>
          <w:rFonts w:ascii="Arial" w:cs="Arial" w:eastAsia="Arial" w:hAnsi="Arial"/>
          <w:color w:val="6B7280"/>
          <w:sz w:val="28"/>
          <w:szCs w:val="28"/>
        </w:rPr>
        <w:t xml:space="preserve">Autonomous Development Evidence Package</w:t>
      </w:r>
    </w:p>
    <w:p>
      <w:pPr>
        <w:spacing w:after="600"/>
      </w:pPr>
    </w:p>
    <w:p>
      <w:pPr>
        <w:spacing w:after="200"/>
        <w:jc w:val="center"/>
      </w:pPr>
      <w:r>
        <w:rPr>
          <w:rFonts w:ascii="Arial" w:cs="Arial" w:eastAsia="Arial" w:hAnsi="Arial"/>
          <w:b/>
          <w:bCs/>
          <w:color w:val="1F2937"/>
          <w:sz w:val="36"/>
          <w:szCs w:val="36"/>
        </w:rPr>
        <w:t xml:space="preserve">DOCUMENT 4: CODE QUALITY ANALYSIS</w:t>
      </w:r>
    </w:p>
    <w:p>
      <w:pPr>
        <w:spacing w:after="200"/>
      </w:pPr>
    </w:p>
    <w:p>
      <w:pPr>
        <w:spacing w:after="200"/>
        <w:jc w:val="center"/>
      </w:pPr>
      <w:r>
        <w:rPr>
          <w:rFonts w:ascii="Arial" w:cs="Arial" w:eastAsia="Arial" w:hAnsi="Arial"/>
          <w:color w:val="6B7280"/>
          <w:sz w:val="24"/>
          <w:szCs w:val="24"/>
        </w:rPr>
        <w:t xml:space="preserve">Module cohesion, code patterns, dependency health,</w:t>
      </w:r>
    </w:p>
    <w:p>
      <w:pPr>
        <w:spacing w:after="200"/>
        <w:jc w:val="center"/>
      </w:pPr>
      <w:r>
        <w:rPr>
          <w:rFonts w:ascii="Arial" w:cs="Arial" w:eastAsia="Arial" w:hAnsi="Arial"/>
          <w:color w:val="6B7280"/>
          <w:sz w:val="24"/>
          <w:szCs w:val="24"/>
        </w:rPr>
        <w:t xml:space="preserve">and naming conventions across 25+ source files</w:t>
      </w:r>
    </w:p>
    <w:p>
      <w:pPr>
        <w:spacing w:after="1200"/>
      </w:pPr>
    </w:p>
    <w:p>
      <w:pPr>
        <w:spacing w:after="200"/>
        <w:jc w:val="center"/>
      </w:pPr>
      <w:r>
        <w:rPr>
          <w:rFonts w:ascii="Arial" w:cs="Arial" w:eastAsia="Arial" w:hAnsi="Arial"/>
          <w:color w:val="1F2937"/>
          <w:sz w:val="24"/>
          <w:szCs w:val="24"/>
        </w:rPr>
        <w:t xml:space="preserve">Prepared by Briggsy</w:t>
      </w:r>
    </w:p>
    <w:p>
      <w:pPr>
        <w:spacing w:after="200"/>
        <w:jc w:val="center"/>
      </w:pPr>
      <w:r>
        <w:rPr>
          <w:rFonts w:ascii="Arial" w:cs="Arial" w:eastAsia="Arial" w:hAnsi="Arial"/>
          <w:color w:val="6B7280"/>
          <w:sz w:val="24"/>
          <w:szCs w:val="24"/>
        </w:rPr>
        <w:t xml:space="preserve">March 2026</w:t>
      </w:r>
    </w:p>
    <w:p>
      <w:pPr>
        <w:spacing w:after="200"/>
      </w:pPr>
      <w:r>
        <w:br w:type="page"/>
      </w:r>
    </w:p>
    <w:p>
      <w:pPr>
        <w:pStyle w:val="Heading1"/>
      </w:pPr>
      <w:r>
        <w:rPr>
          <w:rFonts w:ascii="Arial" w:cs="Arial" w:eastAsia="Arial" w:hAnsi="Arial"/>
          <w:b/>
          <w:bCs/>
          <w:color w:val="1F2937"/>
          <w:sz w:val="24"/>
          <w:szCs w:val="24"/>
        </w:rPr>
        <w:t xml:space="preserve">1. Code Quality Philosophy</w:t>
      </w:r>
    </w:p>
    <w:p>
      <w:pPr>
        <w:spacing w:after="200"/>
      </w:pPr>
      <w:r>
        <w:rPr>
          <w:rFonts w:ascii="Arial" w:cs="Arial" w:eastAsia="Arial" w:hAnsi="Arial"/>
          <w:color w:val="1F2937"/>
          <w:sz w:val="24"/>
          <w:szCs w:val="24"/>
        </w:rPr>
        <w:t xml:space="preserve">Autonomous AI development inverts the traditional relationship between code quality and process. In human-authored codebases, quality depends on developer discipline—code reviews, linting rules, and style guides exist because humans are inconsistent. In an AI-authored codebase managed by GSD, quality is a function of specification precision and architectural enforcement.</w:t>
      </w:r>
    </w:p>
    <w:p>
      <w:pPr>
        <w:spacing w:after="200"/>
      </w:pPr>
      <w:r>
        <w:rPr>
          <w:rFonts w:ascii="Arial" w:cs="Arial" w:eastAsia="Arial" w:hAnsi="Arial"/>
          <w:color w:val="1F2937"/>
          <w:sz w:val="24"/>
          <w:szCs w:val="24"/>
        </w:rPr>
        <w:t xml:space="preserve">The Top-Down Racer v02 codebase was authored entirely by Claude Code subagents across 80+ atomic commits. Zero lines of game code were hand-written. Every module was built by a fresh subagent with a clean 200K context window, reading the project’s CLAUDE.md for architectural rules at session start. This means code quality is structurally consistent—the 80th commit was written under the same conditions as the 1st.</w:t>
      </w:r>
    </w:p>
    <w:p>
      <w:pPr>
        <w:spacing w:after="200"/>
      </w:pPr>
      <w:r>
        <w:rPr>
          <w:rFonts w:ascii="Arial" w:cs="Arial" w:eastAsia="Arial" w:hAnsi="Arial"/>
          <w:color w:val="1F2937"/>
          <w:sz w:val="24"/>
          <w:szCs w:val="24"/>
        </w:rPr>
        <w:t xml:space="preserve">This document examines the resulting codebase across six dimensions: module structure and cohesion, type safety enforcement, code patterns and conventions, dependency health, naming consistency, and file organization. Each claim is backed by verifiable evidence from the source code.</w:t>
      </w:r>
    </w:p>
    <w:p>
      <w:pPr>
        <w:spacing w:after="200"/>
      </w:pPr>
    </w:p>
    <w:p>
      <w:pPr>
        <w:pStyle w:val="Heading1"/>
      </w:pPr>
      <w:r>
        <w:rPr>
          <w:rFonts w:ascii="Arial" w:cs="Arial" w:eastAsia="Arial" w:hAnsi="Arial"/>
          <w:b/>
          <w:bCs/>
          <w:color w:val="1F2937"/>
          <w:sz w:val="24"/>
          <w:szCs w:val="24"/>
        </w:rPr>
        <w:t xml:space="preserve">2. Codebase Metrics Overview</w:t>
      </w:r>
    </w:p>
    <w:p>
      <w:pPr>
        <w:spacing w:after="200"/>
      </w:pPr>
      <w:r>
        <w:rPr>
          <w:rFonts w:ascii="Arial" w:cs="Arial" w:eastAsia="Arial" w:hAnsi="Arial"/>
          <w:color w:val="1F2937"/>
          <w:sz w:val="24"/>
          <w:szCs w:val="24"/>
        </w:rPr>
        <w:t xml:space="preserve">The project is organized into distinct layers with clear boundaries. The following table summarizes the source file distribution across modules.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Module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Source Files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Test Files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Responsibility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Pure simulation logic: physics, collision, track, checkpoints, race control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src/renderer/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9</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PixiJS visual layer: game loop, HUD, overlays, camera, sound, particles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AI pipeline: raycasting, observations, reward, headless env, ONNX inference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src/types/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Shared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TypeScript type definitions shared across all modules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src/utils/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Shared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Utility functions (formatRaceTime, vector math, helpers)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src/tracks/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Track definitions: spline geometry, checkpoints, spawn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Gymnasium client, PPO/SAC training, evaluation, ONNX export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Total TypeScript test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17</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Total Python test files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Total automated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389 (377 TS + 12 Python)</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Git commits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Hand-written game code 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TypeScript strict mode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Enabled (strict: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External engine dependencies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 (zero imports outside engine/types/utils/tracks)</w:t>
            </w:r>
          </w:p>
        </w:tc>
      </w:tr>
    </w:tbl>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Verification: The file counts above can be confirmed by listing each source directory. The test count of 389 was verified by live execution on Harry’s build machine (pnpm test + pytest python/tests/ -v). See Document 3 for the complete test-by-test listing.</w:t>
      </w:r>
    </w:p>
    <w:p>
      <w:pPr>
        <w:spacing w:after="200"/>
      </w:pPr>
    </w:p>
    <w:p>
      <w:pPr>
        <w:pStyle w:val="Heading1"/>
      </w:pPr>
      <w:r>
        <w:rPr>
          <w:rFonts w:ascii="Arial" w:cs="Arial" w:eastAsia="Arial" w:hAnsi="Arial"/>
          <w:b/>
          <w:bCs/>
          <w:color w:val="1F2937"/>
          <w:sz w:val="24"/>
          <w:szCs w:val="24"/>
        </w:rPr>
        <w:t xml:space="preserve">3. TypeScript Strict Mode &amp; Type Safety</w:t>
      </w:r>
    </w:p>
    <w:p>
      <w:pPr>
        <w:spacing w:after="200"/>
      </w:pPr>
      <w:r>
        <w:rPr>
          <w:rFonts w:ascii="Arial" w:cs="Arial" w:eastAsia="Arial" w:hAnsi="Arial"/>
          <w:color w:val="1F2937"/>
          <w:sz w:val="24"/>
          <w:szCs w:val="24"/>
        </w:rPr>
        <w:t xml:space="preserve">The project uses TypeScript with </w:t>
      </w:r>
      <w:r>
        <w:rPr>
          <w:rFonts w:ascii="Arial" w:cs="Arial" w:eastAsia="Arial" w:hAnsi="Arial"/>
          <w:b/>
          <w:bCs/>
          <w:color w:val="1F2937"/>
          <w:sz w:val="24"/>
          <w:szCs w:val="24"/>
        </w:rPr>
        <w:t xml:space="preserve">strict: true</w:t>
      </w:r>
      <w:r>
        <w:rPr>
          <w:rFonts w:ascii="Arial" w:cs="Arial" w:eastAsia="Arial" w:hAnsi="Arial"/>
          <w:color w:val="1F2937"/>
          <w:sz w:val="24"/>
          <w:szCs w:val="24"/>
        </w:rPr>
        <w:t xml:space="preserve"> in tsconfig.json. This is not a soft recommendation—it is a hard compiler flag that enables all strict type-checking options simultaneously. The strict flag activates: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Strict Flag</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What It Enforces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strictNullChecks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Variables cannot be null or undefined unless explicitly typed as such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strictFunctionTypes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Function parameter types are checked contravariantly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strictBindCallApply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bind, call, and apply are checked for correct argument types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strictPropertyInitialization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Class properties must be initialized in the constructor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noImplicitAny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Every variable must have an explicit or inferable type—no silent any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noImplicitThis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this must have an explicit type in all contexts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alwaysStrict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Emits “use strict” in every output file</w:t>
            </w:r>
          </w:p>
        </w:tc>
      </w:tr>
    </w:tbl>
    <w:p>
      <w:pPr>
        <w:spacing w:after="200"/>
      </w:pPr>
    </w:p>
    <w:p>
      <w:pPr>
        <w:spacing w:after="200"/>
      </w:pPr>
      <w:r>
        <w:rPr>
          <w:rFonts w:ascii="Arial" w:cs="Arial" w:eastAsia="Arial" w:hAnsi="Arial"/>
          <w:color w:val="1F2937"/>
          <w:sz w:val="24"/>
          <w:szCs w:val="24"/>
        </w:rPr>
        <w:t xml:space="preserve">Why This Matters for Autonomous Development</w:t>
      </w:r>
    </w:p>
    <w:p>
      <w:pPr>
        <w:spacing w:after="200"/>
      </w:pPr>
      <w:r>
        <w:rPr>
          <w:rFonts w:ascii="Arial" w:cs="Arial" w:eastAsia="Arial" w:hAnsi="Arial"/>
          <w:color w:val="1F2937"/>
          <w:sz w:val="24"/>
          <w:szCs w:val="24"/>
        </w:rPr>
        <w:t xml:space="preserve">In a human-authored codebase, strict mode catches developer mistakes at compile time. In an AI-authored codebase, strict mode serves a different and arguably more important function: it makes cross-boundary violations immediately visible. If a subagent building the renderer accidentally imports a type that only exists in the engine’s internal scope, the compiler catches it. If an AI observation function returns a value that doesn’t match the declared observation vector type, the compiler catches it.</w:t>
      </w:r>
    </w:p>
    <w:p>
      <w:pPr>
        <w:spacing w:after="200"/>
      </w:pPr>
      <w:r>
        <w:rPr>
          <w:rFonts w:ascii="Arial" w:cs="Arial" w:eastAsia="Arial" w:hAnsi="Arial"/>
          <w:color w:val="1F2937"/>
          <w:sz w:val="24"/>
          <w:szCs w:val="24"/>
        </w:rPr>
        <w:t xml:space="preserve">The project compiles cleanly with zero errors under strict mode. This was verified at every phase boundary using </w:t>
      </w:r>
      <w:r>
        <w:rPr>
          <w:rFonts w:ascii="Arial" w:cs="Arial" w:eastAsia="Arial" w:hAnsi="Arial"/>
          <w:b/>
          <w:bCs/>
          <w:color w:val="1F2937"/>
          <w:sz w:val="24"/>
          <w:szCs w:val="24"/>
        </w:rPr>
        <w:t xml:space="preserve">npx tsc --noEmit</w:t>
      </w:r>
      <w:r>
        <w:rPr>
          <w:rFonts w:ascii="Arial" w:cs="Arial" w:eastAsia="Arial" w:hAnsi="Arial"/>
          <w:color w:val="1F2937"/>
          <w:sz w:val="24"/>
          <w:szCs w:val="24"/>
        </w:rPr>
        <w:t xml:space="preserve">.</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Verification: npx tsc --noEmit produces zero errors. Every import in every file resolves correctly with no type errors, no implicit any values, and no cross-boundary violations. This command was run at every phase boundary and after every structural change.</w:t>
      </w:r>
    </w:p>
    <w:p>
      <w:pPr>
        <w:spacing w:after="200"/>
      </w:pPr>
    </w:p>
    <w:p>
      <w:pPr>
        <w:pStyle w:val="Heading1"/>
      </w:pPr>
      <w:r>
        <w:rPr>
          <w:rFonts w:ascii="Arial" w:cs="Arial" w:eastAsia="Arial" w:hAnsi="Arial"/>
          <w:b/>
          <w:bCs/>
          <w:color w:val="1F2937"/>
          <w:sz w:val="24"/>
          <w:szCs w:val="24"/>
        </w:rPr>
        <w:t xml:space="preserve">4. Module Cohesion &amp; Single Responsibility</w:t>
      </w:r>
    </w:p>
    <w:p>
      <w:pPr>
        <w:spacing w:after="200"/>
      </w:pPr>
      <w:r>
        <w:rPr>
          <w:rFonts w:ascii="Arial" w:cs="Arial" w:eastAsia="Arial" w:hAnsi="Arial"/>
          <w:color w:val="1F2937"/>
          <w:sz w:val="24"/>
          <w:szCs w:val="24"/>
        </w:rPr>
        <w:t xml:space="preserve">Every source file in the project has a single, well-defined responsibility. No file serves two masters. This is not an accident—it is a structural consequence of how GSD plans work: each task in a GSD plan targets specific files with specific deliverables, and each task is executed by a fresh subagent that has no incentive to expand scope.</w:t>
      </w:r>
    </w:p>
    <w:p>
      <w:pPr>
        <w:spacing w:after="100"/>
      </w:pPr>
    </w:p>
    <w:p>
      <w:pPr>
        <w:spacing w:after="200"/>
      </w:pPr>
      <w:r>
        <w:rPr>
          <w:rFonts w:ascii="Arial" w:cs="Arial" w:eastAsia="Arial" w:hAnsi="Arial"/>
          <w:b/>
          <w:bCs/>
          <w:color w:val="1F2937"/>
          <w:sz w:val="26"/>
          <w:szCs w:val="26"/>
        </w:rPr>
        <w:t xml:space="preserve">4.1 Engine Layer: One Concern Per File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File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Single Concern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What It Does NOT 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CarPhysics.ts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Car dynamics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 collision, no track, no checkpoints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CollisionSystem.ts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Wall collision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 physics stepping, no rendering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TrackGeometry.ts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Spline math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 surface logic, no checkpoints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CheckpointSystem.ts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Gate crossing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 physics, no timing display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RaceController.ts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Game state machine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 rendering, no sound, no input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SurfaceSystem.ts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Surface friction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 collision resolution, no visuals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InputProcessor.ts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Input smoothing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 physics application, no UI</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WorldState.ts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State container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 logic, no mutation methods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SimulationEngine.ts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Tick orchestration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 implementation—delegates to subsystems</w:t>
            </w:r>
          </w:p>
        </w:tc>
      </w:tr>
    </w:tbl>
    <w:p>
      <w:pPr>
        <w:spacing w:after="200"/>
      </w:pPr>
    </w:p>
    <w:p>
      <w:pPr>
        <w:spacing w:after="200"/>
      </w:pPr>
      <w:r>
        <w:rPr>
          <w:rFonts w:ascii="Arial" w:cs="Arial" w:eastAsia="Arial" w:hAnsi="Arial"/>
          <w:color w:val="1F2937"/>
          <w:sz w:val="24"/>
          <w:szCs w:val="24"/>
        </w:rPr>
        <w:t xml:space="preserve">The “What It Does NOT Do” column is the key insight. In a long-running coding session with degraded context, a developer (human or AI) is tempted to add “just one more thing” to an existing file rather than creating a new one. GSD’s fresh subagent model eliminates this temptation: each agent reads the CLAUDE.md, sees the module boundaries, and respects them because it has no accumulated context pushing it toward shortcuts.</w:t>
      </w:r>
    </w:p>
    <w:p>
      <w:pPr>
        <w:spacing w:after="100"/>
      </w:pPr>
    </w:p>
    <w:p>
      <w:pPr>
        <w:spacing w:after="200"/>
      </w:pPr>
      <w:r>
        <w:rPr>
          <w:rFonts w:ascii="Arial" w:cs="Arial" w:eastAsia="Arial" w:hAnsi="Arial"/>
          <w:b/>
          <w:bCs/>
          <w:color w:val="1F2937"/>
          <w:sz w:val="26"/>
          <w:szCs w:val="26"/>
        </w:rPr>
        <w:t xml:space="preserve">4.2 The ARCH-01 Story: Cohesion Enforcement in Practice</w:t>
      </w:r>
    </w:p>
    <w:p>
      <w:pPr>
        <w:spacing w:after="100"/>
      </w:pPr>
    </w:p>
    <w:p>
      <w:pPr>
        <w:spacing w:after="200"/>
      </w:pPr>
      <w:r>
        <w:rPr>
          <w:rFonts w:ascii="Arial" w:cs="Arial" w:eastAsia="Arial" w:hAnsi="Arial"/>
          <w:color w:val="1F2937"/>
          <w:sz w:val="24"/>
          <w:szCs w:val="24"/>
        </w:rPr>
        <w:t xml:space="preserve">The strongest evidence of cohesion enforcement is not a file that stayed clean—it is a file that was </w:t>
      </w:r>
      <w:r>
        <w:rPr>
          <w:rFonts w:ascii="Arial" w:cs="Arial" w:eastAsia="Arial" w:hAnsi="Arial"/>
          <w:b/>
          <w:bCs/>
          <w:i/>
          <w:iCs/>
          <w:color w:val="1F2937"/>
          <w:sz w:val="24"/>
          <w:szCs w:val="24"/>
        </w:rPr>
        <w:t xml:space="preserve">extracted</w:t>
      </w:r>
      <w:r>
        <w:rPr>
          <w:rFonts w:ascii="Arial" w:cs="Arial" w:eastAsia="Arial" w:hAnsi="Arial"/>
          <w:color w:val="1F2937"/>
          <w:sz w:val="24"/>
          <w:szCs w:val="24"/>
        </w:rPr>
        <w:t xml:space="preserve"> when it violated the boundary. During Phase 2, game state machine logic (stuck detection, respawn countdown, game phase transitions) was placed in the renderer layer. The architecture-strategist agent detected this between Phases 2 and 3.</w:t>
      </w:r>
    </w:p>
    <w:p>
      <w:pPr>
        <w:spacing w:after="200"/>
      </w:pPr>
      <w:r>
        <w:rPr>
          <w:rFonts w:ascii="Arial" w:cs="Arial" w:eastAsia="Arial" w:hAnsi="Arial"/>
          <w:color w:val="1F2937"/>
          <w:sz w:val="24"/>
          <w:szCs w:val="24"/>
        </w:rPr>
        <w:t xml:space="preserve">The RaceController was extracted from src/renderer/ to src/engine/ before Phase 3 execution began. This extraction (tracked as ARCH-01) ensured that the game state machine is available to both the renderer and the AI bridge without either depending on the other. Without this extraction, Phase 4’s Gymnasium environment wrapper would have required importing from the renderer, breaking headless AI training entirely.</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boundary violation was caught by automated review, not manual inspection. The architecture-strategist agent identified the issue one full phase before it would have become a blocking problem. This is proactive quality enforcement, not reactive debugging.</w:t>
      </w:r>
    </w:p>
    <w:p>
      <w:pPr>
        <w:spacing w:after="200"/>
      </w:pPr>
    </w:p>
    <w:p>
      <w:pPr>
        <w:pStyle w:val="Heading1"/>
      </w:pPr>
      <w:r>
        <w:rPr>
          <w:rFonts w:ascii="Arial" w:cs="Arial" w:eastAsia="Arial" w:hAnsi="Arial"/>
          <w:b/>
          <w:bCs/>
          <w:color w:val="1F2937"/>
          <w:sz w:val="24"/>
          <w:szCs w:val="24"/>
        </w:rPr>
        <w:t xml:space="preserve">5. Code Patterns &amp; Conventions</w:t>
      </w:r>
    </w:p>
    <w:p>
      <w:pPr>
        <w:spacing w:after="200"/>
      </w:pPr>
      <w:r>
        <w:rPr>
          <w:rFonts w:ascii="Arial" w:cs="Arial" w:eastAsia="Arial" w:hAnsi="Arial"/>
          <w:color w:val="1F2937"/>
          <w:sz w:val="24"/>
          <w:szCs w:val="24"/>
        </w:rPr>
        <w:t xml:space="preserve">The codebase follows a consistent set of patterns that emerged from the architectural decisions made before any code was written. These patterns were not imposed by a style guide—they were natural consequences of the project’s constraints.</w:t>
      </w:r>
    </w:p>
    <w:p>
      <w:pPr>
        <w:spacing w:after="100"/>
      </w:pPr>
    </w:p>
    <w:p>
      <w:pPr>
        <w:spacing w:after="200"/>
      </w:pPr>
      <w:r>
        <w:rPr>
          <w:rFonts w:ascii="Arial" w:cs="Arial" w:eastAsia="Arial" w:hAnsi="Arial"/>
          <w:b/>
          <w:bCs/>
          <w:color w:val="1F2937"/>
          <w:sz w:val="26"/>
          <w:szCs w:val="26"/>
        </w:rPr>
        <w:t xml:space="preserve">5.1 Deterministic, Pure Functions</w:t>
      </w:r>
    </w:p>
    <w:p>
      <w:pPr>
        <w:spacing w:after="100"/>
      </w:pPr>
    </w:p>
    <w:p>
      <w:pPr>
        <w:spacing w:after="200"/>
      </w:pPr>
      <w:r>
        <w:rPr>
          <w:rFonts w:ascii="Arial" w:cs="Arial" w:eastAsia="Arial" w:hAnsi="Arial"/>
          <w:color w:val="1F2937"/>
          <w:sz w:val="24"/>
          <w:szCs w:val="24"/>
        </w:rPr>
        <w:t xml:space="preserve">The simulation engine is built entirely from pure functions. Given the same inputs, every function produces the same outputs. No function in the engine uses Math.random(), reads from global state, or produces side effects. This is not a stylistic preference—it is a hard requirement for AI training. If the physics engine is non-deterministic, training runs are not reproducible, and debugging AI behavior becomes impossible.</w:t>
      </w:r>
    </w:p>
    <w:p>
      <w:pPr>
        <w:spacing w:after="200"/>
      </w:pPr>
      <w:r>
        <w:rPr>
          <w:rFonts w:ascii="Arial" w:cs="Arial" w:eastAsia="Arial" w:hAnsi="Arial"/>
          <w:color w:val="1F2937"/>
          <w:sz w:val="24"/>
          <w:szCs w:val="24"/>
        </w:rPr>
        <w:t xml:space="preserve">This was verified by a dedicated determinism test: 100 independent simulations of 10,000 ticks each with identical initial conditions, all producing identical state hashes. Additionally, a separate test scans all engine source files and asserts that no file contains a call to Math.random().</w:t>
      </w:r>
    </w:p>
    <w:p>
      <w:pPr>
        <w:spacing w:after="200"/>
      </w:pPr>
    </w:p>
    <w:p>
      <w:pPr>
        <w:spacing w:after="200"/>
      </w:pPr>
      <w:r>
        <w:rPr>
          <w:rFonts w:ascii="Arial" w:cs="Arial" w:eastAsia="Arial" w:hAnsi="Arial"/>
          <w:b/>
          <w:bCs/>
          <w:color w:val="1F2937"/>
          <w:sz w:val="26"/>
          <w:szCs w:val="26"/>
        </w:rPr>
        <w:t xml:space="preserve">5.2 Immutable State Returns</w:t>
      </w:r>
    </w:p>
    <w:p>
      <w:pPr>
        <w:spacing w:after="100"/>
      </w:pPr>
    </w:p>
    <w:p>
      <w:pPr>
        <w:spacing w:after="200"/>
      </w:pPr>
      <w:r>
        <w:rPr>
          <w:rFonts w:ascii="Arial" w:cs="Arial" w:eastAsia="Arial" w:hAnsi="Arial"/>
          <w:color w:val="1F2937"/>
          <w:sz w:val="24"/>
          <w:szCs w:val="24"/>
        </w:rPr>
        <w:t xml:space="preserve">Engine functions return new state objects rather than mutating inputs. The car physics step function takes a CarState and returns a new CarState. The checkpoint system takes a TimingState and returns a new TimingState. This pattern is tested explicitly—multiple test cases verify that input objects are not mutated after function calls.</w:t>
      </w:r>
    </w:p>
    <w:p>
      <w:pPr>
        <w:spacing w:after="200"/>
      </w:pPr>
      <w:r>
        <w:rPr>
          <w:rFonts w:ascii="Arial" w:cs="Arial" w:eastAsia="Arial" w:hAnsi="Arial"/>
          <w:color w:val="1F2937"/>
          <w:sz w:val="24"/>
          <w:szCs w:val="24"/>
        </w:rPr>
        <w:t xml:space="preserve">This immutability pattern serves dual purposes. For the renderer, it guarantees that reading engine state during a frame never interferes with the next simulation tick. For the AI pipeline, it ensures that observation generation from one timestep cannot corrupt the state used for the next.</w:t>
      </w:r>
    </w:p>
    <w:p>
      <w:pPr>
        <w:spacing w:after="200"/>
      </w:pPr>
    </w:p>
    <w:p>
      <w:pPr>
        <w:spacing w:after="200"/>
      </w:pPr>
      <w:r>
        <w:rPr>
          <w:rFonts w:ascii="Arial" w:cs="Arial" w:eastAsia="Arial" w:hAnsi="Arial"/>
          <w:b/>
          <w:bCs/>
          <w:color w:val="1F2937"/>
          <w:sz w:val="26"/>
          <w:szCs w:val="26"/>
        </w:rPr>
        <w:t xml:space="preserve">5.3 Read-Only Renderer Pattern</w:t>
      </w:r>
    </w:p>
    <w:p>
      <w:pPr>
        <w:spacing w:after="100"/>
      </w:pPr>
    </w:p>
    <w:p>
      <w:pPr>
        <w:spacing w:after="200"/>
      </w:pPr>
      <w:r>
        <w:rPr>
          <w:rFonts w:ascii="Arial" w:cs="Arial" w:eastAsia="Arial" w:hAnsi="Arial"/>
          <w:color w:val="1F2937"/>
          <w:sz w:val="24"/>
          <w:szCs w:val="24"/>
        </w:rPr>
        <w:t xml:space="preserve">Every renderer component follows the same contract: read engine state, draw pixels, never write back. The renderer files import WorldState, TimingState, and GamePhase types from the engine but never call mutation methods or modify properties. The data flow is strictly one-directional: Engine → Renderer.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Renderer File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Reads From Engine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Writes To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GameLoop.ts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WorldState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WorldRenderer.ts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WorldState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HudRenderer.ts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TimingState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OverlayRenderer.ts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GamePhase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CameraSystem.ts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Car position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AiCarRenderer.ts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AI WorldState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SoundManager.ts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Car 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ParticleSystem.ts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Car state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ScreenManager.ts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Leaderboard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Never</w:t>
            </w:r>
          </w:p>
        </w:tc>
      </w:tr>
    </w:tbl>
    <w:p>
      <w:pPr>
        <w:spacing w:after="200"/>
      </w:pPr>
    </w:p>
    <w:p>
      <w:pPr>
        <w:spacing w:after="200"/>
      </w:pPr>
      <w:r>
        <w:rPr>
          <w:rFonts w:ascii="Arial" w:cs="Arial" w:eastAsia="Arial" w:hAnsi="Arial"/>
          <w:b/>
          <w:bCs/>
          <w:color w:val="1F2937"/>
          <w:sz w:val="26"/>
          <w:szCs w:val="26"/>
        </w:rPr>
        <w:t xml:space="preserve">5.4 Dense Reward Pattern</w:t>
      </w:r>
    </w:p>
    <w:p>
      <w:pPr>
        <w:spacing w:after="100"/>
      </w:pPr>
    </w:p>
    <w:p>
      <w:pPr>
        <w:spacing w:after="200"/>
      </w:pPr>
      <w:r>
        <w:rPr>
          <w:rFonts w:ascii="Arial" w:cs="Arial" w:eastAsia="Arial" w:hAnsi="Arial"/>
          <w:color w:val="1F2937"/>
          <w:sz w:val="24"/>
          <w:szCs w:val="24"/>
        </w:rPr>
        <w:t xml:space="preserve">The AI reward function emits a signal on every simulation tick, not just at discrete events like checkpoint crossings. This dense reward pattern is non-negotiable for continuous control reinforcement learning with analog inputs. The reward function computes five components per tick: checkpoint progress (primary), speed bonus, wall contact penalty, off-track penalty, and backward/stillness penalties. Checkpoint milestone bonuses layer on top at gate crossings.</w:t>
      </w:r>
    </w:p>
    <w:p>
      <w:pPr>
        <w:spacing w:after="200"/>
      </w:pPr>
      <w:r>
        <w:rPr>
          <w:rFonts w:ascii="Arial" w:cs="Arial" w:eastAsia="Arial" w:hAnsi="Arial"/>
          <w:color w:val="1F2937"/>
          <w:sz w:val="24"/>
          <w:szCs w:val="24"/>
        </w:rPr>
        <w:t xml:space="preserve">This pattern was nearly violated—the deepen-plan process caught a sparse reward bug in Phase 4 Plan 01 that would have emitted signals only at checkpoint crossings, making AI training impossible. The pattern is now enforced by 18 dedicated reward tests.</w:t>
      </w:r>
    </w:p>
    <w:p>
      <w:pPr>
        <w:spacing w:after="200"/>
      </w:pPr>
    </w:p>
    <w:p>
      <w:pPr>
        <w:spacing w:after="200"/>
      </w:pPr>
      <w:r>
        <w:rPr>
          <w:rFonts w:ascii="Arial" w:cs="Arial" w:eastAsia="Arial" w:hAnsi="Arial"/>
          <w:b/>
          <w:bCs/>
          <w:color w:val="1F2937"/>
          <w:sz w:val="26"/>
          <w:szCs w:val="26"/>
        </w:rPr>
        <w:t xml:space="preserve">5.5 Compute-Once Pattern</w:t>
      </w:r>
    </w:p>
    <w:p>
      <w:pPr>
        <w:spacing w:after="100"/>
      </w:pPr>
    </w:p>
    <w:p>
      <w:pPr>
        <w:spacing w:after="200"/>
      </w:pPr>
      <w:r>
        <w:rPr>
          <w:rFonts w:ascii="Arial" w:cs="Arial" w:eastAsia="Arial" w:hAnsi="Arial"/>
          <w:color w:val="1F2937"/>
          <w:sz w:val="24"/>
          <w:szCs w:val="24"/>
        </w:rPr>
        <w:t xml:space="preserve">Expensive calculations are performed once per tick and cached for all consumers. The deepen-plan process caught a 3× redundant distanceToTrackCenter computation in Phase 4 Plan 02—three different functions were each independently computing the same expensive operation. The compute-once pattern ensures that the surface system, observation generator, and reward function all share a single computation per tick.</w:t>
      </w:r>
    </w:p>
    <w:p>
      <w:pPr>
        <w:spacing w:after="200"/>
      </w:pPr>
      <w:r>
        <w:rPr>
          <w:rFonts w:ascii="Arial" w:cs="Arial" w:eastAsia="Arial" w:hAnsi="Arial"/>
          <w:color w:val="1F2937"/>
          <w:sz w:val="24"/>
          <w:szCs w:val="24"/>
        </w:rPr>
        <w:t xml:space="preserve">Similarly, the AI raycaster uses pre-computed ray offsets. The 9 rays at 22.5° intervals have fixed angular offsets relative to the car’s heading. These offsets are computed once at initialization, not recalculated every tick.</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Every code pattern described above is verified by automated tests. Determinism has a dedicated 100-run test. Immutability is tested with input-mutation checks. Dense reward density is enforced by tests that verify non-zero reward signals on every tick. The patterns are not aspirational—they are enforced.</w:t>
      </w:r>
    </w:p>
    <w:p>
      <w:pPr>
        <w:spacing w:after="200"/>
      </w:pPr>
    </w:p>
    <w:p>
      <w:pPr>
        <w:pStyle w:val="Heading1"/>
      </w:pPr>
      <w:r>
        <w:rPr>
          <w:rFonts w:ascii="Arial" w:cs="Arial" w:eastAsia="Arial" w:hAnsi="Arial"/>
          <w:b/>
          <w:bCs/>
          <w:color w:val="1F2937"/>
          <w:sz w:val="24"/>
          <w:szCs w:val="24"/>
        </w:rPr>
        <w:t xml:space="preserve">6. Dependency Health</w:t>
      </w:r>
    </w:p>
    <w:p>
      <w:pPr>
        <w:spacing w:after="200"/>
      </w:pPr>
      <w:r>
        <w:rPr>
          <w:rFonts w:ascii="Arial" w:cs="Arial" w:eastAsia="Arial" w:hAnsi="Arial"/>
          <w:color w:val="1F2937"/>
          <w:sz w:val="24"/>
          <w:szCs w:val="24"/>
        </w:rPr>
        <w:t xml:space="preserve">The project uses minimal external dependencies, each selected for a specific purpose and confined to its appropriate layer. The engine layer—the most critical module in the project—has zero external dependencies. This is verified by import analysis: all 9 engine files import exclusively from within the project’s own src/engine/, src/types/, src/utils/, and src/tracks/ directories.</w:t>
      </w:r>
    </w:p>
    <w:p>
      <w:pPr>
        <w:spacing w:after="100"/>
      </w:pPr>
    </w:p>
    <w:p>
      <w:pPr>
        <w:spacing w:after="200"/>
      </w:pPr>
      <w:r>
        <w:rPr>
          <w:rFonts w:ascii="Arial" w:cs="Arial" w:eastAsia="Arial" w:hAnsi="Arial"/>
          <w:b/>
          <w:bCs/>
          <w:color w:val="1F2937"/>
          <w:sz w:val="26"/>
          <w:szCs w:val="26"/>
        </w:rPr>
        <w:t xml:space="preserve">6.1 External Dependencies by Layer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Package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Layer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Version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pixi.js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Renderer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8.16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WebGL 2D rendering. Never imported by engine or AI.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pixi-filters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Renderer only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GlowFilter for AI ghost car visual 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onnxruntime-web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Browser AI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ONNX model inference for live AI driving.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Bridge only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^8.19.0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WebSocket server for Node.js ↔ Python bridge.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vite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Dev tooling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7.3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Dev server with hot module reload. Not in production.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vitest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Testing only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4.0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 framework. Not in production.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typescript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Dev tooling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5.9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Type-safe compilation. Not in production.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vite-plugin-static-copy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Dev tooling</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WASM file delivery for ONNX runtime.</w:t>
            </w:r>
          </w:p>
        </w:tc>
      </w:tr>
    </w:tbl>
    <w:p>
      <w:pPr>
        <w:spacing w:after="200"/>
      </w:pPr>
    </w:p>
    <w:p>
      <w:pPr>
        <w:spacing w:after="200"/>
      </w:pPr>
      <w:r>
        <w:rPr>
          <w:rFonts w:ascii="Arial" w:cs="Arial" w:eastAsia="Arial" w:hAnsi="Arial"/>
          <w:b/>
          <w:bCs/>
          <w:color w:val="1F2937"/>
          <w:sz w:val="26"/>
          <w:szCs w:val="26"/>
        </w:rPr>
        <w:t xml:space="preserve">6.2 Dependency Confinement</w:t>
      </w:r>
    </w:p>
    <w:p>
      <w:pPr>
        <w:spacing w:after="100"/>
      </w:pPr>
    </w:p>
    <w:p>
      <w:pPr>
        <w:spacing w:after="200"/>
      </w:pPr>
      <w:r>
        <w:rPr>
          <w:rFonts w:ascii="Arial" w:cs="Arial" w:eastAsia="Arial" w:hAnsi="Arial"/>
          <w:color w:val="1F2937"/>
          <w:sz w:val="24"/>
          <w:szCs w:val="24"/>
        </w:rPr>
        <w:t xml:space="preserve">Every external dependency is confined to its declared layer. This is not a suggestion enforced by documentation—it is a structural property verified by import analysis. The following rules hold across all 80+ commits and all 6 phases: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Rule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Scope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Violation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pixi.js never imported by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All 9 engine files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pixi.js never imported by headless AI</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headless-env.ts, bridge-server.ts</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ws never imported by renderer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All 9 renderer files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onnxruntime-web only in browser-ai-runner</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Single file</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 engine file imports any external package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All 9 engine files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w:t>
            </w:r>
          </w:p>
        </w:tc>
      </w:tr>
    </w:tbl>
    <w:p>
      <w:pPr>
        <w:spacing w:after="200"/>
      </w:pPr>
    </w:p>
    <w:p>
      <w:pPr>
        <w:spacing w:after="200"/>
      </w:pPr>
      <w:r>
        <w:rPr>
          <w:rFonts w:ascii="Arial" w:cs="Arial" w:eastAsia="Arial" w:hAnsi="Arial"/>
          <w:b/>
          <w:bCs/>
          <w:color w:val="1F2937"/>
          <w:sz w:val="26"/>
          <w:szCs w:val="26"/>
        </w:rPr>
        <w:t xml:space="preserve">6.3 Why Zero Engine Dependencies Matters</w:t>
      </w:r>
    </w:p>
    <w:p>
      <w:pPr>
        <w:spacing w:after="100"/>
      </w:pPr>
    </w:p>
    <w:p>
      <w:pPr>
        <w:spacing w:after="200"/>
      </w:pPr>
      <w:r>
        <w:rPr>
          <w:rFonts w:ascii="Arial" w:cs="Arial" w:eastAsia="Arial" w:hAnsi="Arial"/>
          <w:color w:val="1F2937"/>
          <w:sz w:val="24"/>
          <w:szCs w:val="24"/>
        </w:rPr>
        <w:t xml:space="preserve">The simulation engine runs in three completely different contexts: the browser (with PixiJS rendering), headless Node.js (for the AI training bridge at 13,000+ ticks/sec), and the test runner (Vitest). If the engine imported even one browser-specific package, the headless and test contexts would break. If it imported a Node.js-specific package, the browser context would break. Zero dependencies means the engine runs identically everywhere.</w:t>
      </w:r>
    </w:p>
    <w:p>
      <w:pPr>
        <w:spacing w:after="200"/>
      </w:pPr>
      <w:r>
        <w:rPr>
          <w:rFonts w:ascii="Arial" w:cs="Arial" w:eastAsia="Arial" w:hAnsi="Arial"/>
          <w:color w:val="1F2937"/>
          <w:sz w:val="24"/>
          <w:szCs w:val="24"/>
        </w:rPr>
        <w:t xml:space="preserve">This is why external physics engines were rejected in ADR-02. Any third-party physics library would introduce either browser dependencies (breaking headless training) or non-deterministic behavior (breaking training reproducibility). The custom physics engine has zero dependencies and is provably deterministic.</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Verification: grep -r "from.*pixi\|require.*pixi" src/engine/ returns zero results. grep -r "from.*pixi" src/ai/headless-env.ts src/ai/bridge-server.ts returns zero results. Every dependency confinement rule can be independently verified with a single grep command.</w:t>
      </w:r>
    </w:p>
    <w:p>
      <w:pPr>
        <w:spacing w:after="200"/>
      </w:pPr>
    </w:p>
    <w:p>
      <w:pPr>
        <w:pStyle w:val="Heading1"/>
      </w:pPr>
      <w:r>
        <w:rPr>
          <w:rFonts w:ascii="Arial" w:cs="Arial" w:eastAsia="Arial" w:hAnsi="Arial"/>
          <w:b/>
          <w:bCs/>
          <w:color w:val="1F2937"/>
          <w:sz w:val="24"/>
          <w:szCs w:val="24"/>
        </w:rPr>
        <w:t xml:space="preserve">7. Naming Conventions &amp; Cross-Module Consistency</w:t>
      </w:r>
    </w:p>
    <w:p>
      <w:pPr>
        <w:spacing w:after="200"/>
      </w:pPr>
      <w:r>
        <w:rPr>
          <w:rFonts w:ascii="Arial" w:cs="Arial" w:eastAsia="Arial" w:hAnsi="Arial"/>
          <w:color w:val="1F2937"/>
          <w:sz w:val="24"/>
          <w:szCs w:val="24"/>
        </w:rPr>
        <w:t xml:space="preserve">Naming consistency across a codebase built by dozens of independent subagents is a meaningful quality signal. Each GSD subagent is a fresh Claude instance that has never seen the code before—it reads CLAUDE.md and the existing codebase, then writes new code. If the naming is consistent, it means the architectural documentation and existing code patterns are clear enough that independent agents naturally converge on the same conventions.</w:t>
      </w:r>
    </w:p>
    <w:p>
      <w:pPr>
        <w:spacing w:after="100"/>
      </w:pPr>
    </w:p>
    <w:p>
      <w:pPr>
        <w:spacing w:after="200"/>
      </w:pPr>
      <w:r>
        <w:rPr>
          <w:rFonts w:ascii="Arial" w:cs="Arial" w:eastAsia="Arial" w:hAnsi="Arial"/>
          <w:b/>
          <w:bCs/>
          <w:color w:val="1F2937"/>
          <w:sz w:val="26"/>
          <w:szCs w:val="26"/>
        </w:rPr>
        <w:t xml:space="preserve">7.1 File Naming</w:t>
      </w:r>
    </w:p>
    <w:p>
      <w:pPr>
        <w:spacing w:after="100"/>
      </w:pPr>
    </w:p>
    <w:p>
      <w:pPr>
        <w:spacing w:after="200"/>
      </w:pPr>
      <w:r>
        <w:rPr>
          <w:rFonts w:ascii="Arial" w:cs="Arial" w:eastAsia="Arial" w:hAnsi="Arial"/>
          <w:color w:val="1F2937"/>
          <w:sz w:val="24"/>
          <w:szCs w:val="24"/>
        </w:rPr>
        <w:t xml:space="preserve">All TypeScript source files use PascalCase (e.g., CarPhysics.ts, CollisionSystem.ts, RaceController.ts). All test files use kebab-case with .test.ts suffix (e.g., car.test.ts, checkpoint.test.ts, reward.test.ts). All Python files use snake_case per PEP 8 (e.g., train_ppo.py, export_onnx.py, racer_env.py). No file in the project violates these conventions.</w:t>
      </w:r>
    </w:p>
    <w:p>
      <w:pPr>
        <w:spacing w:after="200"/>
      </w:pPr>
    </w:p>
    <w:p>
      <w:pPr>
        <w:spacing w:after="200"/>
      </w:pPr>
      <w:r>
        <w:rPr>
          <w:rFonts w:ascii="Arial" w:cs="Arial" w:eastAsia="Arial" w:hAnsi="Arial"/>
          <w:b/>
          <w:bCs/>
          <w:color w:val="1F2937"/>
          <w:sz w:val="26"/>
          <w:szCs w:val="26"/>
        </w:rPr>
        <w:t xml:space="preserve">7.2 The offtrackPenalty Casing Bug</w:t>
      </w:r>
    </w:p>
    <w:p>
      <w:pPr>
        <w:spacing w:after="100"/>
      </w:pPr>
    </w:p>
    <w:p>
      <w:pPr>
        <w:spacing w:after="200"/>
      </w:pPr>
      <w:r>
        <w:rPr>
          <w:rFonts w:ascii="Arial" w:cs="Arial" w:eastAsia="Arial" w:hAnsi="Arial"/>
          <w:color w:val="1F2937"/>
          <w:sz w:val="24"/>
          <w:szCs w:val="24"/>
        </w:rPr>
        <w:t xml:space="preserve">The strongest evidence that naming conventions matter came from a bug that was caught by the deepen-plan process. Phase 4 Plan 02’s review found an </w:t>
      </w:r>
      <w:r>
        <w:rPr>
          <w:rFonts w:ascii="Arial" w:cs="Arial" w:eastAsia="Arial" w:hAnsi="Arial"/>
          <w:b/>
          <w:bCs/>
          <w:color w:val="1F2937"/>
          <w:sz w:val="24"/>
          <w:szCs w:val="24"/>
        </w:rPr>
        <w:t xml:space="preserve">offtrackPenalty</w:t>
      </w:r>
      <w:r>
        <w:rPr>
          <w:rFonts w:ascii="Arial" w:cs="Arial" w:eastAsia="Arial" w:hAnsi="Arial"/>
          <w:color w:val="1F2937"/>
          <w:sz w:val="24"/>
          <w:szCs w:val="24"/>
        </w:rPr>
        <w:t xml:space="preserve"> casing mismatch: the reward configuration used one casing convention while the reward function expected another. The result was a silent failure—the off-track penalty would have been silently ignored because the property name didn’t match.</w:t>
      </w:r>
    </w:p>
    <w:p>
      <w:pPr>
        <w:spacing w:after="200"/>
      </w:pPr>
      <w:r>
        <w:rPr>
          <w:rFonts w:ascii="Arial" w:cs="Arial" w:eastAsia="Arial" w:hAnsi="Arial"/>
          <w:color w:val="1F2937"/>
          <w:sz w:val="24"/>
          <w:szCs w:val="24"/>
        </w:rPr>
        <w:t xml:space="preserve">This bug is particularly instructive because it is exactly the kind of defect that emerges when multiple independent agents build interconnected code. Agent A defines a config key, Agent B reads it—and if the naming convention isn’t perfectly consistent, the connection fails silently. The deepen-plan review caught this before any code was written.</w:t>
      </w:r>
    </w:p>
    <w:p>
      <w:pPr>
        <w:spacing w:after="200"/>
      </w:pPr>
    </w:p>
    <w:p>
      <w:pPr>
        <w:spacing w:after="200"/>
      </w:pPr>
      <w:r>
        <w:rPr>
          <w:rFonts w:ascii="Arial" w:cs="Arial" w:eastAsia="Arial" w:hAnsi="Arial"/>
          <w:b/>
          <w:bCs/>
          <w:color w:val="1F2937"/>
          <w:sz w:val="26"/>
          <w:szCs w:val="26"/>
        </w:rPr>
        <w:t xml:space="preserve">7.3 Cross-Language Convention Bridge</w:t>
      </w:r>
    </w:p>
    <w:p>
      <w:pPr>
        <w:spacing w:after="100"/>
      </w:pPr>
    </w:p>
    <w:p>
      <w:pPr>
        <w:spacing w:after="200"/>
      </w:pPr>
      <w:r>
        <w:rPr>
          <w:rFonts w:ascii="Arial" w:cs="Arial" w:eastAsia="Arial" w:hAnsi="Arial"/>
          <w:color w:val="1F2937"/>
          <w:sz w:val="24"/>
          <w:szCs w:val="24"/>
        </w:rPr>
        <w:t xml:space="preserve">The project spans two languages (TypeScript and Python) connected by a WebSocket bridge. Each language follows its own idiomatic conventions—camelCase in TypeScript, snake_case in Python. The bridge boundary is where these conventions must be explicitly translated.</w:t>
      </w:r>
    </w:p>
    <w:p>
      <w:pPr>
        <w:spacing w:after="200"/>
      </w:pPr>
      <w:r>
        <w:rPr>
          <w:rFonts w:ascii="Arial" w:cs="Arial" w:eastAsia="Arial" w:hAnsi="Arial"/>
          <w:color w:val="1F2937"/>
          <w:sz w:val="24"/>
          <w:szCs w:val="24"/>
        </w:rPr>
        <w:t xml:space="preserve">The VecNormalize stats case mismatch (Bug #12, severity CRITICAL) was a direct consequence of this cross-language boundary. The Python training pipeline exported normalization statistics with snake_case keys (obs_mean, obs_var), while the TypeScript ONNX inference code expected camelCase (obsMean, obsVar). The browser-ai-runner.ts module now includes an explicit remapping layer—tested by the “remaps snake_case JSON keys to camelCase VecNormStats” test—that translates between the two conventions at the bridge boundary.</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Two of the 15 pre-execution defect catches were naming convention bugs: the offtrackPenalty casing mismatch (HIGH severity, would have silently disabled off-track penalties) and the VecNormStats case mismatch (CRITICAL severity, would have made all ONNX inference return NaN). Naming consistency is not cosmetic—it is functional.</w:t>
      </w:r>
    </w:p>
    <w:p>
      <w:pPr>
        <w:spacing w:after="200"/>
      </w:pPr>
    </w:p>
    <w:p>
      <w:pPr>
        <w:pStyle w:val="Heading1"/>
      </w:pPr>
      <w:r>
        <w:rPr>
          <w:rFonts w:ascii="Arial" w:cs="Arial" w:eastAsia="Arial" w:hAnsi="Arial"/>
          <w:b/>
          <w:bCs/>
          <w:color w:val="1F2937"/>
          <w:sz w:val="24"/>
          <w:szCs w:val="24"/>
        </w:rPr>
        <w:t xml:space="preserve">8. File Organization &amp; Test Mirroring</w:t>
      </w:r>
    </w:p>
    <w:p>
      <w:pPr>
        <w:spacing w:after="200"/>
      </w:pPr>
      <w:r>
        <w:rPr>
          <w:rFonts w:ascii="Arial" w:cs="Arial" w:eastAsia="Arial" w:hAnsi="Arial"/>
          <w:color w:val="1F2937"/>
          <w:sz w:val="24"/>
          <w:szCs w:val="24"/>
        </w:rPr>
        <w:t xml:space="preserve">The test directory mirrors the source directory structure. Every major source module has a corresponding test directory, and test files are named to match the module they test. This mirroring serves a practical purpose: when a GSD subagent is tasked with modifying src/engine/CarPhysics.ts, it can immediately find and update the corresponding tests/engine/car.test.ts without searching.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Source Module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Test Location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Test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src/engine/CarPhysics.ts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tests/engine/car.test.ts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48</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src/engine/CollisionSystem.ts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tests/engine/collision.test.ts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src/engine/TrackGeometry.ts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tests/engine/spline.test.ts + track.test.ts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82</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src/engine/CheckpointSystem.ts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tests/engine/checkpoint.test.ts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src/engine/RaceController.ts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tests/engine/grace-period.test.ts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11</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src/engine/WorldState.ts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tests/engine/world.test.ts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src/engine/ (determinism)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tests/engine/determinism.test.ts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src/ai/raycaster.ts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tests/ai/raycaster.test.ts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src/ai/observations.ts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tests/ai/observations.test.ts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14</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src/ai/reward.ts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tests/ai/reward.test.ts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src/ai/headless-env.ts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tests/ai/headless-env.test.ts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17</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src/ai/browser-ai-runner.ts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tests/ai/browser-ai-runner.test.ts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src/ai/ (vecnormalize)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tests/ai/vecnormalize.test.ts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10</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src/renderer/ (leaderboard)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tests/renderer/leaderboard.test.ts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src/tracks/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tests/engine/tracks.test.ts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python/racer_env/</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python/tests/ (5 files)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12</w:t>
            </w:r>
          </w:p>
        </w:tc>
      </w:tr>
    </w:tbl>
    <w:p>
      <w:pPr>
        <w:spacing w:after="200"/>
      </w:pPr>
    </w:p>
    <w:p>
      <w:pPr>
        <w:spacing w:after="200"/>
      </w:pPr>
      <w:r>
        <w:rPr>
          <w:rFonts w:ascii="Arial" w:cs="Arial" w:eastAsia="Arial" w:hAnsi="Arial"/>
          <w:b/>
          <w:bCs/>
          <w:color w:val="1F2937"/>
          <w:sz w:val="26"/>
          <w:szCs w:val="26"/>
        </w:rPr>
        <w:t xml:space="preserve">8.1 Test-to-Source Ratio</w:t>
      </w:r>
    </w:p>
    <w:p>
      <w:pPr>
        <w:spacing w:after="100"/>
      </w:pPr>
    </w:p>
    <w:p>
      <w:pPr>
        <w:spacing w:after="200"/>
      </w:pPr>
      <w:r>
        <w:rPr>
          <w:rFonts w:ascii="Arial" w:cs="Arial" w:eastAsia="Arial" w:hAnsi="Arial"/>
          <w:color w:val="1F2937"/>
          <w:sz w:val="24"/>
          <w:szCs w:val="24"/>
        </w:rPr>
        <w:t xml:space="preserve">The engine layer has the highest test density in the project: 286 tests across 9 source files, averaging approximately 32 tests per source file. This density reflects the testing philosophy established in Phase 1—the simulation engine is the foundation that every subsequent phase depends on, so it receives exhaustive coverage.</w:t>
      </w:r>
    </w:p>
    <w:p>
      <w:pPr>
        <w:spacing w:after="200"/>
      </w:pPr>
      <w:r>
        <w:rPr>
          <w:rFonts w:ascii="Arial" w:cs="Arial" w:eastAsia="Arial" w:hAnsi="Arial"/>
          <w:color w:val="1F2937"/>
          <w:sz w:val="24"/>
          <w:szCs w:val="24"/>
        </w:rPr>
        <w:t xml:space="preserve">The AI layer has 91 tests across 7 source files (approximately 13 per file), reflecting both the observation pipeline and the ONNX inference lifecycle. The renderer has 25 tests focused on the leaderboard module—the only renderer component with testable logic (localStorage persistence with corruption handling). Visual correctness for the renderer itself was verified by human observation during Phases 2 and 6.</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test-to-source mirroring is not just organizational tidiness. It is a structural requirement of the GSD workflow: subagents need to find the right test file instantly. If tests were scattered randomly, every subagent would waste context window searching for them.</w:t>
      </w:r>
    </w:p>
    <w:p>
      <w:pPr>
        <w:spacing w:after="200"/>
      </w:pPr>
    </w:p>
    <w:p>
      <w:pPr>
        <w:pStyle w:val="Heading1"/>
      </w:pPr>
      <w:r>
        <w:rPr>
          <w:rFonts w:ascii="Arial" w:cs="Arial" w:eastAsia="Arial" w:hAnsi="Arial"/>
          <w:b/>
          <w:bCs/>
          <w:color w:val="1F2937"/>
          <w:sz w:val="24"/>
          <w:szCs w:val="24"/>
        </w:rPr>
        <w:t xml:space="preserve">9. The “Zero Hand-Written Code” Claim</w:t>
      </w:r>
    </w:p>
    <w:p>
      <w:pPr>
        <w:spacing w:after="200"/>
      </w:pPr>
      <w:r>
        <w:rPr>
          <w:rFonts w:ascii="Arial" w:cs="Arial" w:eastAsia="Arial" w:hAnsi="Arial"/>
          <w:color w:val="1F2937"/>
          <w:sz w:val="24"/>
          <w:szCs w:val="24"/>
        </w:rPr>
        <w:t xml:space="preserve">The headline claim of the Top-Down Racer v02 project is that zero lines of game code were hand-written. Every line was authored by Claude Code subagents under human architectural direction. This section clarifies what that claim means, what it does not mean, and how it can be verified.</w:t>
      </w:r>
    </w:p>
    <w:p>
      <w:pPr>
        <w:spacing w:after="100"/>
      </w:pPr>
    </w:p>
    <w:p>
      <w:pPr>
        <w:spacing w:after="200"/>
      </w:pPr>
      <w:r>
        <w:rPr>
          <w:rFonts w:ascii="Arial" w:cs="Arial" w:eastAsia="Arial" w:hAnsi="Arial"/>
          <w:b/>
          <w:bCs/>
          <w:color w:val="1F2937"/>
          <w:sz w:val="26"/>
          <w:szCs w:val="26"/>
        </w:rPr>
        <w:t xml:space="preserve">9.1 What It Means</w:t>
      </w:r>
    </w:p>
    <w:p>
      <w:pPr>
        <w:spacing w:after="100"/>
      </w:pPr>
    </w:p>
    <w:p>
      <w:pPr>
        <w:spacing w:after="200"/>
      </w:pPr>
      <w:r>
        <w:rPr>
          <w:rFonts w:ascii="Arial" w:cs="Arial" w:eastAsia="Arial" w:hAnsi="Arial"/>
          <w:color w:val="1F2937"/>
          <w:sz w:val="24"/>
          <w:szCs w:val="24"/>
        </w:rPr>
        <w:t xml:space="preserve">Every TypeScript and Python source file in the project—every physics function, every renderer component, every AI observation generator, every test file, every training script—was written by a Claude Code subagent executing a GSD plan. The human role (Briggsy) was architectural: making design decisions, war-gaming trade-offs, reviewing output, and directing the build process. The executor role (Harry) was operational: running terminal commands, following setup documentation, and monitoring execution.</w:t>
      </w:r>
    </w:p>
    <w:p>
      <w:pPr>
        <w:spacing w:after="200"/>
      </w:pPr>
    </w:p>
    <w:p>
      <w:pPr>
        <w:spacing w:after="200"/>
      </w:pPr>
      <w:r>
        <w:rPr>
          <w:rFonts w:ascii="Arial" w:cs="Arial" w:eastAsia="Arial" w:hAnsi="Arial"/>
          <w:b/>
          <w:bCs/>
          <w:color w:val="1F2937"/>
          <w:sz w:val="26"/>
          <w:szCs w:val="26"/>
        </w:rPr>
        <w:t xml:space="preserve">9.2 What It Does Not Mean</w:t>
      </w:r>
    </w:p>
    <w:p>
      <w:pPr>
        <w:spacing w:after="100"/>
      </w:pPr>
    </w:p>
    <w:p>
      <w:pPr>
        <w:spacing w:after="200"/>
      </w:pPr>
      <w:r>
        <w:rPr>
          <w:rFonts w:ascii="Arial" w:cs="Arial" w:eastAsia="Arial" w:hAnsi="Arial"/>
          <w:color w:val="1F2937"/>
          <w:sz w:val="24"/>
          <w:szCs w:val="24"/>
        </w:rPr>
        <w:t xml:space="preserve">The claim does not mean “no human involvement.” The project required extensive human judgment: 33 design decisions were war-gamed before any code was written, 6 architectural decisions were locked as non-negotiable, and every deepen-plan review was initiated by human direction. The human made every decision. The AI wrote every line of code.</w:t>
      </w:r>
    </w:p>
    <w:p>
      <w:pPr>
        <w:spacing w:after="200"/>
      </w:pPr>
      <w:r>
        <w:rPr>
          <w:rFonts w:ascii="Arial" w:cs="Arial" w:eastAsia="Arial" w:hAnsi="Arial"/>
          <w:color w:val="1F2937"/>
          <w:sz w:val="24"/>
          <w:szCs w:val="24"/>
        </w:rPr>
        <w:t xml:space="preserve">The claim also does not mean “the AI worked unsupervised.” GSD’s verification process, the architecture-strategist agent reviews, and the 15-for-15 deepen-plan defect catches are all evidence of structured oversight. Autonomy does not mean absence of oversight—it means the AI executes independently within defined boundaries.</w:t>
      </w:r>
    </w:p>
    <w:p>
      <w:pPr>
        <w:spacing w:after="200"/>
      </w:pPr>
    </w:p>
    <w:p>
      <w:pPr>
        <w:spacing w:after="200"/>
      </w:pPr>
      <w:r>
        <w:rPr>
          <w:rFonts w:ascii="Arial" w:cs="Arial" w:eastAsia="Arial" w:hAnsi="Arial"/>
          <w:b/>
          <w:bCs/>
          <w:color w:val="1F2937"/>
          <w:sz w:val="26"/>
          <w:szCs w:val="26"/>
        </w:rPr>
        <w:t xml:space="preserve">9.3 Verification</w:t>
      </w:r>
    </w:p>
    <w:p>
      <w:pPr>
        <w:spacing w:after="100"/>
      </w:pPr>
    </w:p>
    <w:p>
      <w:pPr>
        <w:spacing w:after="200"/>
      </w:pPr>
      <w:r>
        <w:rPr>
          <w:rFonts w:ascii="Arial" w:cs="Arial" w:eastAsia="Arial" w:hAnsi="Arial"/>
          <w:color w:val="1F2937"/>
          <w:sz w:val="24"/>
          <w:szCs w:val="24"/>
        </w:rPr>
        <w:t xml:space="preserve">The git history contains 80+ commits, each authored by Claude Code during GSD plan execution. The commit messages follow GSD’s naming conventions and reference specific plan numbers and task identifiers. The project scaffolding (directory structure, tsconfig.json, package.json) was created by following documented terminal commands, not by writing application logic.</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git log is the definitive evidence. Every commit, every file change, every line of code has a traceable origin in the GSD execution history. The human never opens an editor. The human makes decisions.</w:t>
      </w:r>
    </w:p>
    <w:p>
      <w:pPr>
        <w:spacing w:after="200"/>
      </w:pPr>
    </w:p>
    <w:p>
      <w:pPr>
        <w:pStyle w:val="Heading1"/>
      </w:pPr>
      <w:r>
        <w:rPr>
          <w:rFonts w:ascii="Arial" w:cs="Arial" w:eastAsia="Arial" w:hAnsi="Arial"/>
          <w:b/>
          <w:bCs/>
          <w:color w:val="1F2937"/>
          <w:sz w:val="24"/>
          <w:szCs w:val="24"/>
        </w:rPr>
        <w:t xml:space="preserve">10. How to Verify These Claims</w:t>
      </w:r>
    </w:p>
    <w:p>
      <w:pPr>
        <w:spacing w:after="200"/>
      </w:pPr>
      <w:r>
        <w:rPr>
          <w:rFonts w:ascii="Arial" w:cs="Arial" w:eastAsia="Arial" w:hAnsi="Arial"/>
          <w:color w:val="1F2937"/>
          <w:sz w:val="24"/>
          <w:szCs w:val="24"/>
        </w:rPr>
        <w:t xml:space="preserve">Every code quality claim in this document can be independently verified by running commands against the codebase.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Claim</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Verification Method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TypeScript strict mode enabled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Inspect tsconfig.json → strict: true</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Zero compiler errors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npx tsc --noEmit → zero errors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Engine has zero external imports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grep -r "from.*pixi\|from.*ws\|from.*onnx" src/engine/ → zero results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Engine has zero renderer imports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grep -r "from.*renderer" src/engine/ → zero results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Renderer never writes to 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Search src/renderer/ for engine mutation calls → zero results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 Math.random() in engine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grep -r "Math.random" src/engine/ → zero results (also tested in determinism.test.ts)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Deterministic physics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Run determinism test: 100 runs × 10K ticks = identical hash</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All 389 tests pass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pnpm test + pytest python/tests/ -v → 389/389 passing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Immutable state returns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car.test.ts includes mutation checks (tests 41, 50–53)</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 circular dependencies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npx madge --circular src/ → zero cycles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PascalCase source files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ls src/engine/ src/renderer/ src/ai/ → all PascalCase</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All commits from Claude Code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git log --format="%an" → Claude Code authored commits</w:t>
            </w:r>
          </w:p>
        </w:tc>
      </w:tr>
    </w:tbl>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These verification methods are not theoretical. They have been run during development and at phase boundaries. The claims in this document are backed by automated evidence, not assertions.</w:t>
      </w:r>
    </w:p>
    <w:p>
      <w:pPr>
        <w:spacing w:after="200"/>
      </w:pPr>
    </w:p>
    <w:p>
      <w:pPr>
        <w:pStyle w:val="Heading1"/>
      </w:pPr>
      <w:r>
        <w:rPr>
          <w:rFonts w:ascii="Arial" w:cs="Arial" w:eastAsia="Arial" w:hAnsi="Arial"/>
          <w:b/>
          <w:bCs/>
          <w:color w:val="1F2937"/>
          <w:sz w:val="24"/>
          <w:szCs w:val="24"/>
        </w:rPr>
        <w:t xml:space="preserve">11. Conclusion</w:t>
      </w:r>
    </w:p>
    <w:p>
      <w:pPr>
        <w:spacing w:after="200"/>
      </w:pPr>
      <w:r>
        <w:rPr>
          <w:rFonts w:ascii="Arial" w:cs="Arial" w:eastAsia="Arial" w:hAnsi="Arial"/>
          <w:color w:val="1F2937"/>
          <w:sz w:val="24"/>
          <w:szCs w:val="24"/>
        </w:rPr>
        <w:t xml:space="preserve">The Top-Down Racer v02 codebase demonstrates that autonomous AI development can produce code that is structurally sound, type-safe, well-organized, and consistent across modules—without a human ever opening an editor.</w:t>
      </w:r>
    </w:p>
    <w:p>
      <w:pPr>
        <w:spacing w:after="200"/>
      </w:pPr>
      <w:r>
        <w:rPr>
          <w:rFonts w:ascii="Arial" w:cs="Arial" w:eastAsia="Arial" w:hAnsi="Arial"/>
          <w:color w:val="1F2937"/>
          <w:sz w:val="24"/>
          <w:szCs w:val="24"/>
        </w:rPr>
        <w:t xml:space="preserve">The key quality mechanisms are not traditional (no linting rules, no style guides, no code review checklists). Instead, quality emerges from three structural properties of the GSD workflow:</w:t>
      </w:r>
    </w:p>
    <w:p>
      <w:pPr>
        <w:spacing w:after="100"/>
      </w:pPr>
    </w:p>
    <w:p>
      <w:pPr>
        <w:spacing w:after="200"/>
      </w:pPr>
      <w:r>
        <w:rPr>
          <w:rFonts w:ascii="Arial" w:cs="Arial" w:eastAsia="Arial" w:hAnsi="Arial"/>
          <w:color w:val="1F2937"/>
          <w:sz w:val="24"/>
          <w:szCs w:val="24"/>
        </w:rPr>
        <w:t xml:space="preserve">First, fresh subagents per task.</w:t>
      </w:r>
      <w:r>
        <w:rPr>
          <w:rFonts w:ascii="Arial" w:cs="Arial" w:eastAsia="Arial" w:hAnsi="Arial"/>
          <w:color w:val="1F2937"/>
          <w:sz w:val="24"/>
          <w:szCs w:val="24"/>
        </w:rPr>
        <w:t xml:space="preserve"> Each subagent starts with a clean context window and reads the project’s architectural rules from CLAUDE.md. There is no accumulated context pushing toward shortcuts or boundary violations. The 80th commit was written under the same quality conditions as the 1st.</w:t>
      </w:r>
    </w:p>
    <w:p>
      <w:pPr>
        <w:spacing w:after="100"/>
      </w:pPr>
    </w:p>
    <w:p>
      <w:pPr>
        <w:spacing w:after="200"/>
      </w:pPr>
      <w:r>
        <w:rPr>
          <w:rFonts w:ascii="Arial" w:cs="Arial" w:eastAsia="Arial" w:hAnsi="Arial"/>
          <w:color w:val="1F2937"/>
          <w:sz w:val="24"/>
          <w:szCs w:val="24"/>
        </w:rPr>
        <w:t xml:space="preserve">Second, specification-first development.</w:t>
      </w:r>
      <w:r>
        <w:rPr>
          <w:rFonts w:ascii="Arial" w:cs="Arial" w:eastAsia="Arial" w:hAnsi="Arial"/>
          <w:color w:val="1F2937"/>
          <w:sz w:val="24"/>
          <w:szCs w:val="24"/>
        </w:rPr>
        <w:t xml:space="preserve"> Every design decision was made before code was written. The 33 war-gamed decisions, 6 locked architectural decisions, and 8 GSD interview decisions created a precise specification that left no room for ad-hoc quality degradation.</w:t>
      </w:r>
    </w:p>
    <w:p>
      <w:pPr>
        <w:spacing w:after="100"/>
      </w:pPr>
    </w:p>
    <w:p>
      <w:pPr>
        <w:spacing w:after="200"/>
      </w:pPr>
      <w:r>
        <w:rPr>
          <w:rFonts w:ascii="Arial" w:cs="Arial" w:eastAsia="Arial" w:hAnsi="Arial"/>
          <w:color w:val="1F2937"/>
          <w:sz w:val="24"/>
          <w:szCs w:val="24"/>
        </w:rPr>
        <w:t xml:space="preserve">Third, pre-execution defect prevention.</w:t>
      </w:r>
      <w:r>
        <w:rPr>
          <w:rFonts w:ascii="Arial" w:cs="Arial" w:eastAsia="Arial" w:hAnsi="Arial"/>
          <w:color w:val="1F2937"/>
          <w:sz w:val="24"/>
          <w:szCs w:val="24"/>
        </w:rPr>
        <w:t xml:space="preserve"> The 15-for-15 deepen-plan record caught two naming convention bugs, one architectural boundary violation, and one reward design flaw that would have made the entire AI training pipeline non-functional. Code quality was not inspected after the fact—it was designed in before the first line was written.</w:t>
      </w:r>
    </w:p>
    <w:p>
      <w:pPr>
        <w:spacing w:after="200"/>
      </w:pPr>
    </w:p>
    <w:p>
      <w:pPr>
        <w:spacing w:after="200"/>
      </w:pPr>
      <w:r>
        <w:rPr>
          <w:rFonts w:ascii="Arial" w:cs="Arial" w:eastAsia="Arial" w:hAnsi="Arial"/>
          <w:i/>
          <w:iCs/>
          <w:color w:val="1F2937"/>
          <w:sz w:val="24"/>
          <w:szCs w:val="24"/>
        </w:rPr>
        <w:t xml:space="preserve">The result is a codebase where the simulation engine can be swapped into a completely different rendering framework—or run with no renderer at all—without changing a single line of engine code. That is exactly what happens during AI training. And it works at 13,000+ ticks per second.</w:t>
      </w:r>
    </w:p>
    <w:p>
      <w:pPr>
        <w:spacing w:after="200"/>
      </w:pPr>
    </w:p>
    <w:p>
      <w:pPr>
        <w:spacing w:after="200"/>
        <w:jc w:val="center"/>
      </w:pPr>
      <w:r>
        <w:rPr>
          <w:rFonts w:ascii="Arial" w:cs="Arial" w:eastAsia="Arial" w:hAnsi="Arial"/>
          <w:i/>
          <w:iCs/>
          <w:color w:val="6B7280"/>
          <w:sz w:val="24"/>
          <w:szCs w:val="24"/>
        </w:rPr>
        <w:t xml:space="preserve">— End of Document 4: Code Quality Analysis —</w:t>
      </w:r>
    </w:p>
    <w:p>
      <w:pPr>
        <w:spacing w:after="200"/>
      </w:pPr>
    </w:p>
    <w:p>
      <w:pPr>
        <w:spacing w:after="200"/>
      </w:pPr>
      <w:r>
        <w:rPr>
          <w:rFonts w:ascii="Arial" w:cs="Arial" w:eastAsia="Arial" w:hAnsi="Arial"/>
          <w:i/>
          <w:iCs/>
          <w:color w:val="6B7280"/>
          <w:sz w:val="22"/>
          <w:szCs w:val="22"/>
        </w:rPr>
        <w:t xml:space="preserve">This is Document 4 of the Evidence Package. See Document 1 (Architecture Evidence) for import boundary analysis and ADR details. See Document 3 (Testing &amp; Defect Prevention) for the complete 389-test listing and the 15-for-15 defect prevention record.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100"/>
    </w:pPr>
    <w:r>
      <w:rPr>
        <w:rFonts w:ascii="Arial" w:cs="Arial" w:eastAsia="Arial" w:hAnsi="Arial"/>
        <w:color w:val="9CA3AF"/>
        <w:sz w:val="16"/>
        <w:szCs w:val="16"/>
      </w:rPr>
      <w:t xml:space="preserve">Prepared by Briggsy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9CA3AF"/>
        <w:sz w:val="18"/>
        <w:szCs w:val="18"/>
      </w:rPr>
      <w:t xml:space="preserve">TOP-DOWN RACER v02 — Evidence Package</w:t>
    </w:r>
    <w:r>
      <w:ptab w:alignment="right" w:relativeTo="margin" w:leader="none"/>
    </w:r>
    <w:r>
      <w:rPr>
        <w:rFonts w:ascii="Arial" w:cs="Arial" w:eastAsia="Arial" w:hAnsi="Arial"/>
        <w:color w:val="9CA3AF"/>
        <w:sz w:val="18"/>
        <w:szCs w:val="18"/>
      </w:rPr>
      <w:t xml:space="preserve">Document 4: Code Quality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93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2026-03-03T17:11:54.856Z</dcterms:created>
  <dcterms:modified xsi:type="dcterms:W3CDTF">2026-03-03T17:11:54.857Z</dcterms:modified>
</cp:coreProperties>
</file>

<file path=docProps/custom.xml><?xml version="1.0" encoding="utf-8"?>
<Properties xmlns="http://schemas.openxmlformats.org/officeDocument/2006/custom-properties" xmlns:vt="http://schemas.openxmlformats.org/officeDocument/2006/docPropsVTypes"/>
</file>