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4C659" w14:textId="77777777" w:rsidR="004E1640" w:rsidRPr="00CD75AF" w:rsidRDefault="004E1640" w:rsidP="00CD75A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theme="majorHAnsi"/>
          <w:sz w:val="20"/>
          <w:szCs w:val="20"/>
          <w:lang w:val="en-US"/>
        </w:rPr>
      </w:pPr>
    </w:p>
    <w:p w14:paraId="0A5A38A0" w14:textId="0B970FF5" w:rsidR="004E1640" w:rsidRPr="00CD75AF" w:rsidRDefault="004E1640" w:rsidP="00CD75A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theme="majorHAnsi"/>
          <w:b/>
          <w:bCs/>
          <w:sz w:val="20"/>
          <w:szCs w:val="20"/>
          <w:lang w:val="en-US"/>
        </w:rPr>
      </w:pPr>
      <w:r w:rsidRPr="00CD75AF">
        <w:rPr>
          <w:rFonts w:asciiTheme="majorHAnsi" w:hAnsiTheme="majorHAnsi" w:cstheme="majorHAnsi"/>
          <w:b/>
          <w:bCs/>
          <w:sz w:val="20"/>
          <w:szCs w:val="20"/>
          <w:lang w:val="en-US"/>
        </w:rPr>
        <w:t>1. GUAN W (2020) NEJM 1099 patients (China)</w:t>
      </w:r>
    </w:p>
    <w:p w14:paraId="3D4BD90F" w14:textId="21D2F0FD" w:rsidR="00CD75AF" w:rsidRPr="00CD75AF" w:rsidRDefault="00CD75AF" w:rsidP="00CD75A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theme="majorHAnsi"/>
          <w:sz w:val="20"/>
          <w:szCs w:val="20"/>
          <w:lang w:val="en-US"/>
        </w:rPr>
      </w:pPr>
    </w:p>
    <w:p w14:paraId="44FAE0B6" w14:textId="77777777" w:rsidR="00CD75AF" w:rsidRPr="00CD75AF" w:rsidRDefault="00CD75AF" w:rsidP="00CD75AF">
      <w:pPr>
        <w:jc w:val="both"/>
        <w:rPr>
          <w:rFonts w:asciiTheme="majorHAnsi" w:eastAsia="Times New Roman" w:hAnsiTheme="majorHAnsi" w:cstheme="majorHAnsi"/>
          <w:sz w:val="20"/>
          <w:szCs w:val="20"/>
        </w:rPr>
      </w:pPr>
      <w:hyperlink r:id="rId4" w:history="1">
        <w:r w:rsidRPr="00CD75AF">
          <w:rPr>
            <w:rFonts w:asciiTheme="majorHAnsi" w:eastAsia="Times New Roman" w:hAnsiTheme="majorHAnsi" w:cstheme="majorHAnsi"/>
            <w:color w:val="0000FF"/>
            <w:sz w:val="20"/>
            <w:szCs w:val="20"/>
            <w:u w:val="single"/>
          </w:rPr>
          <w:t>https://www.nejm.org/doi/full/10.1056/NEJMoa2002032</w:t>
        </w:r>
      </w:hyperlink>
    </w:p>
    <w:p w14:paraId="423B0201" w14:textId="77777777" w:rsidR="004E1640" w:rsidRPr="00CD75AF" w:rsidRDefault="004E1640" w:rsidP="00CD75A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theme="majorHAnsi"/>
          <w:sz w:val="20"/>
          <w:szCs w:val="20"/>
          <w:lang w:val="en-US"/>
        </w:rPr>
      </w:pPr>
    </w:p>
    <w:p w14:paraId="6CC8BCD3" w14:textId="77777777" w:rsidR="004E1640" w:rsidRPr="00CD75AF" w:rsidRDefault="004E1640" w:rsidP="00CD75AF">
      <w:pPr>
        <w:autoSpaceDE w:val="0"/>
        <w:autoSpaceDN w:val="0"/>
        <w:adjustRightInd w:val="0"/>
        <w:spacing w:line="440" w:lineRule="atLeast"/>
        <w:jc w:val="both"/>
        <w:rPr>
          <w:rFonts w:asciiTheme="majorHAnsi" w:hAnsiTheme="majorHAnsi" w:cstheme="majorHAnsi"/>
          <w:color w:val="3C3C3C"/>
          <w:sz w:val="20"/>
          <w:szCs w:val="20"/>
          <w:lang w:val="en-US"/>
        </w:rPr>
      </w:pPr>
      <w:r w:rsidRPr="00CD75AF">
        <w:rPr>
          <w:rFonts w:asciiTheme="majorHAnsi" w:hAnsiTheme="majorHAnsi" w:cstheme="majorHAnsi"/>
          <w:color w:val="3C3C3C"/>
          <w:sz w:val="20"/>
          <w:szCs w:val="20"/>
          <w:lang w:val="en-US"/>
        </w:rPr>
        <w:t>The incubation period was defined as the interval between the potential earliest date of contact of the transmission source (wildlife or person with suspected or confirmed case) and the potential earliest date of symptom onset (i.e., cough, fever, fatigue, or myalgia). </w:t>
      </w:r>
    </w:p>
    <w:p w14:paraId="4C048810" w14:textId="77777777" w:rsidR="0018022C" w:rsidRDefault="0018022C" w:rsidP="00CD75AF">
      <w:pPr>
        <w:autoSpaceDE w:val="0"/>
        <w:autoSpaceDN w:val="0"/>
        <w:adjustRightInd w:val="0"/>
        <w:spacing w:line="440" w:lineRule="atLeast"/>
        <w:jc w:val="both"/>
        <w:rPr>
          <w:rFonts w:asciiTheme="majorHAnsi" w:hAnsiTheme="majorHAnsi" w:cstheme="majorHAnsi"/>
          <w:color w:val="3C3C3C"/>
          <w:sz w:val="20"/>
          <w:szCs w:val="20"/>
          <w:lang w:val="en-US"/>
        </w:rPr>
      </w:pPr>
    </w:p>
    <w:p w14:paraId="75539DF2" w14:textId="07A47AB8" w:rsidR="004E1640" w:rsidRPr="00CD75AF" w:rsidRDefault="004E1640" w:rsidP="00CD75AF">
      <w:pPr>
        <w:autoSpaceDE w:val="0"/>
        <w:autoSpaceDN w:val="0"/>
        <w:adjustRightInd w:val="0"/>
        <w:spacing w:line="440" w:lineRule="atLeast"/>
        <w:jc w:val="both"/>
        <w:rPr>
          <w:rFonts w:asciiTheme="majorHAnsi" w:hAnsiTheme="majorHAnsi" w:cstheme="majorHAnsi"/>
          <w:color w:val="3C3C3C"/>
          <w:sz w:val="20"/>
          <w:szCs w:val="20"/>
          <w:lang w:val="en-US"/>
        </w:rPr>
      </w:pPr>
      <w:r w:rsidRPr="00CD75AF">
        <w:rPr>
          <w:rFonts w:asciiTheme="majorHAnsi" w:hAnsiTheme="majorHAnsi" w:cstheme="majorHAnsi"/>
          <w:color w:val="3C3C3C"/>
          <w:sz w:val="20"/>
          <w:szCs w:val="20"/>
          <w:lang w:val="en-US"/>
        </w:rPr>
        <w:t>The median incubation period was 4 days (interquartile range, 2 to 7).</w:t>
      </w:r>
    </w:p>
    <w:p w14:paraId="23DF55A9" w14:textId="77777777" w:rsidR="004E1640" w:rsidRPr="00CD75AF" w:rsidRDefault="004E1640" w:rsidP="00CD75AF">
      <w:pPr>
        <w:autoSpaceDE w:val="0"/>
        <w:autoSpaceDN w:val="0"/>
        <w:adjustRightInd w:val="0"/>
        <w:spacing w:line="440" w:lineRule="atLeast"/>
        <w:jc w:val="both"/>
        <w:rPr>
          <w:rFonts w:asciiTheme="majorHAnsi" w:hAnsiTheme="majorHAnsi" w:cstheme="majorHAnsi"/>
          <w:color w:val="3C3C3C"/>
          <w:sz w:val="20"/>
          <w:szCs w:val="20"/>
          <w:lang w:val="en-US"/>
        </w:rPr>
      </w:pPr>
    </w:p>
    <w:p w14:paraId="16D746D6" w14:textId="3B2370CB" w:rsidR="004E1640" w:rsidRPr="00CD75AF" w:rsidRDefault="004E1640" w:rsidP="00CD75AF">
      <w:pPr>
        <w:autoSpaceDE w:val="0"/>
        <w:autoSpaceDN w:val="0"/>
        <w:adjustRightInd w:val="0"/>
        <w:spacing w:line="440" w:lineRule="atLeast"/>
        <w:jc w:val="both"/>
        <w:rPr>
          <w:rFonts w:asciiTheme="majorHAnsi" w:hAnsiTheme="majorHAnsi" w:cstheme="majorHAnsi"/>
          <w:b/>
          <w:bCs/>
          <w:color w:val="3C3C3C"/>
          <w:sz w:val="20"/>
          <w:szCs w:val="20"/>
          <w:lang w:val="en-US"/>
        </w:rPr>
      </w:pPr>
      <w:r w:rsidRPr="00CD75AF">
        <w:rPr>
          <w:rFonts w:asciiTheme="majorHAnsi" w:hAnsiTheme="majorHAnsi" w:cstheme="majorHAnsi"/>
          <w:b/>
          <w:bCs/>
          <w:color w:val="3C3C3C"/>
          <w:sz w:val="20"/>
          <w:szCs w:val="20"/>
          <w:lang w:val="en-US"/>
        </w:rPr>
        <w:t xml:space="preserve">2. WANG D (2020) JAMA 138 patients (China) </w:t>
      </w:r>
    </w:p>
    <w:p w14:paraId="59AAE16E" w14:textId="77777777" w:rsidR="00CD75AF" w:rsidRPr="00CD75AF" w:rsidRDefault="00CD75AF" w:rsidP="00CD75AF">
      <w:pPr>
        <w:autoSpaceDE w:val="0"/>
        <w:autoSpaceDN w:val="0"/>
        <w:adjustRightInd w:val="0"/>
        <w:spacing w:line="440" w:lineRule="atLeast"/>
        <w:jc w:val="both"/>
        <w:rPr>
          <w:rFonts w:asciiTheme="majorHAnsi" w:hAnsiTheme="majorHAnsi" w:cstheme="majorHAnsi"/>
          <w:b/>
          <w:bCs/>
          <w:color w:val="3C3C3C"/>
          <w:sz w:val="20"/>
          <w:szCs w:val="20"/>
          <w:lang w:val="en-US"/>
        </w:rPr>
      </w:pPr>
    </w:p>
    <w:p w14:paraId="63C67E62" w14:textId="36A53ED2" w:rsidR="004E1640" w:rsidRPr="00446194" w:rsidRDefault="00CD75AF" w:rsidP="00446194">
      <w:pPr>
        <w:jc w:val="both"/>
        <w:rPr>
          <w:rFonts w:asciiTheme="majorHAnsi" w:eastAsia="Times New Roman" w:hAnsiTheme="majorHAnsi" w:cstheme="majorHAnsi"/>
          <w:sz w:val="20"/>
          <w:szCs w:val="20"/>
        </w:rPr>
      </w:pPr>
      <w:hyperlink r:id="rId5" w:history="1">
        <w:r w:rsidRPr="00CD75AF">
          <w:rPr>
            <w:rFonts w:asciiTheme="majorHAnsi" w:eastAsia="Times New Roman" w:hAnsiTheme="majorHAnsi" w:cstheme="majorHAnsi"/>
            <w:color w:val="0000FF"/>
            <w:sz w:val="20"/>
            <w:szCs w:val="20"/>
            <w:u w:val="single"/>
          </w:rPr>
          <w:t>https://jamanetwork.com/journals/jama/fullarticle/2761044</w:t>
        </w:r>
      </w:hyperlink>
    </w:p>
    <w:p w14:paraId="71F57D2F" w14:textId="0657A9C3" w:rsidR="004E1640" w:rsidRPr="00CD75AF" w:rsidRDefault="004E1640" w:rsidP="00CD75AF">
      <w:pPr>
        <w:autoSpaceDE w:val="0"/>
        <w:autoSpaceDN w:val="0"/>
        <w:adjustRightInd w:val="0"/>
        <w:spacing w:line="440" w:lineRule="atLeast"/>
        <w:jc w:val="both"/>
        <w:rPr>
          <w:rFonts w:asciiTheme="majorHAnsi" w:hAnsiTheme="majorHAnsi" w:cstheme="majorHAnsi"/>
          <w:color w:val="3C3C3C"/>
          <w:sz w:val="20"/>
          <w:szCs w:val="20"/>
          <w:lang w:val="en-US"/>
        </w:rPr>
      </w:pPr>
      <w:r w:rsidRPr="00CD75AF">
        <w:rPr>
          <w:rFonts w:asciiTheme="majorHAnsi" w:hAnsiTheme="majorHAnsi" w:cstheme="majorHAnsi"/>
          <w:color w:val="3C3C3C"/>
          <w:sz w:val="20"/>
          <w:szCs w:val="20"/>
          <w:lang w:val="en-US"/>
        </w:rPr>
        <w:t>Time from onset of symptoms to, median (IQR)</w:t>
      </w:r>
      <w:r w:rsidRPr="00CD75AF">
        <w:rPr>
          <w:rFonts w:asciiTheme="majorHAnsi" w:hAnsiTheme="majorHAnsi" w:cstheme="majorHAnsi"/>
          <w:color w:val="3C3C3C"/>
          <w:sz w:val="20"/>
          <w:szCs w:val="20"/>
          <w:lang w:val="en-US"/>
        </w:rPr>
        <w:t>, Total, ICU, Non-ICU</w:t>
      </w:r>
    </w:p>
    <w:p w14:paraId="466FFEF5" w14:textId="5194DD49" w:rsidR="004E1640" w:rsidRPr="00CD75AF" w:rsidRDefault="004E1640" w:rsidP="00CD75AF">
      <w:pPr>
        <w:autoSpaceDE w:val="0"/>
        <w:autoSpaceDN w:val="0"/>
        <w:adjustRightInd w:val="0"/>
        <w:spacing w:line="440" w:lineRule="atLeast"/>
        <w:jc w:val="both"/>
        <w:rPr>
          <w:rFonts w:asciiTheme="majorHAnsi" w:hAnsiTheme="majorHAnsi" w:cstheme="majorHAnsi"/>
          <w:color w:val="3C3C3C"/>
          <w:sz w:val="20"/>
          <w:szCs w:val="20"/>
          <w:lang w:val="en-US"/>
        </w:rPr>
      </w:pPr>
    </w:p>
    <w:p w14:paraId="56FA2304" w14:textId="579030DE" w:rsidR="004E1640" w:rsidRPr="00CD75AF" w:rsidRDefault="004E1640" w:rsidP="00CD75AF">
      <w:pPr>
        <w:autoSpaceDE w:val="0"/>
        <w:autoSpaceDN w:val="0"/>
        <w:adjustRightInd w:val="0"/>
        <w:spacing w:line="440" w:lineRule="atLeast"/>
        <w:jc w:val="both"/>
        <w:rPr>
          <w:rFonts w:asciiTheme="majorHAnsi" w:hAnsiTheme="majorHAnsi" w:cstheme="majorHAnsi"/>
          <w:color w:val="3C3C3C"/>
          <w:sz w:val="20"/>
          <w:szCs w:val="20"/>
          <w:lang w:val="en-US"/>
        </w:rPr>
      </w:pPr>
      <w:r w:rsidRPr="00CD75AF">
        <w:rPr>
          <w:rFonts w:asciiTheme="majorHAnsi" w:hAnsiTheme="majorHAnsi" w:cstheme="majorHAnsi"/>
          <w:noProof/>
          <w:color w:val="3C3C3C"/>
          <w:sz w:val="20"/>
          <w:szCs w:val="20"/>
          <w:lang w:val="en-US"/>
        </w:rPr>
        <w:drawing>
          <wp:inline distT="0" distB="0" distL="0" distR="0" wp14:anchorId="51AF92FB" wp14:editId="46CE67E3">
            <wp:extent cx="5727700" cy="7988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29 at 11.44.06.png"/>
                    <pic:cNvPicPr/>
                  </pic:nvPicPr>
                  <pic:blipFill>
                    <a:blip r:embed="rId6">
                      <a:extLst>
                        <a:ext uri="{28A0092B-C50C-407E-A947-70E740481C1C}">
                          <a14:useLocalDpi xmlns:a14="http://schemas.microsoft.com/office/drawing/2010/main" val="0"/>
                        </a:ext>
                      </a:extLst>
                    </a:blip>
                    <a:stretch>
                      <a:fillRect/>
                    </a:stretch>
                  </pic:blipFill>
                  <pic:spPr>
                    <a:xfrm>
                      <a:off x="0" y="0"/>
                      <a:ext cx="5727700" cy="798830"/>
                    </a:xfrm>
                    <a:prstGeom prst="rect">
                      <a:avLst/>
                    </a:prstGeom>
                  </pic:spPr>
                </pic:pic>
              </a:graphicData>
            </a:graphic>
          </wp:inline>
        </w:drawing>
      </w:r>
    </w:p>
    <w:p w14:paraId="0B302C78" w14:textId="77777777" w:rsidR="004E1640" w:rsidRPr="00CD75AF" w:rsidRDefault="004E1640" w:rsidP="00CD75AF">
      <w:pPr>
        <w:autoSpaceDE w:val="0"/>
        <w:autoSpaceDN w:val="0"/>
        <w:adjustRightInd w:val="0"/>
        <w:spacing w:line="440" w:lineRule="atLeast"/>
        <w:jc w:val="both"/>
        <w:rPr>
          <w:rFonts w:asciiTheme="majorHAnsi" w:hAnsiTheme="majorHAnsi" w:cstheme="majorHAnsi"/>
          <w:color w:val="3C3C3C"/>
          <w:sz w:val="20"/>
          <w:szCs w:val="20"/>
          <w:lang w:val="en-US"/>
        </w:rPr>
      </w:pPr>
    </w:p>
    <w:p w14:paraId="52269DF5" w14:textId="156A955A" w:rsidR="004E1640" w:rsidRPr="00CD75AF" w:rsidRDefault="004E1640" w:rsidP="00CD75AF">
      <w:pPr>
        <w:autoSpaceDE w:val="0"/>
        <w:autoSpaceDN w:val="0"/>
        <w:adjustRightInd w:val="0"/>
        <w:spacing w:line="440" w:lineRule="atLeast"/>
        <w:jc w:val="both"/>
        <w:rPr>
          <w:rFonts w:asciiTheme="majorHAnsi" w:hAnsiTheme="majorHAnsi" w:cstheme="majorHAnsi"/>
          <w:b/>
          <w:bCs/>
          <w:color w:val="3C3C3C"/>
          <w:sz w:val="20"/>
          <w:szCs w:val="20"/>
          <w:lang w:val="en-US"/>
        </w:rPr>
      </w:pPr>
      <w:r w:rsidRPr="00CD75AF">
        <w:rPr>
          <w:rFonts w:asciiTheme="majorHAnsi" w:hAnsiTheme="majorHAnsi" w:cstheme="majorHAnsi"/>
          <w:b/>
          <w:bCs/>
          <w:color w:val="3C3C3C"/>
          <w:sz w:val="20"/>
          <w:szCs w:val="20"/>
          <w:lang w:val="en-US"/>
        </w:rPr>
        <w:t>3. ZHOU F (2020) 191 patients (China)</w:t>
      </w:r>
    </w:p>
    <w:p w14:paraId="34F04A6E" w14:textId="0164224D" w:rsidR="00CD75AF" w:rsidRPr="00CD75AF" w:rsidRDefault="00CD75AF" w:rsidP="00CD75AF">
      <w:pPr>
        <w:autoSpaceDE w:val="0"/>
        <w:autoSpaceDN w:val="0"/>
        <w:adjustRightInd w:val="0"/>
        <w:spacing w:line="440" w:lineRule="atLeast"/>
        <w:jc w:val="both"/>
        <w:rPr>
          <w:rFonts w:asciiTheme="majorHAnsi" w:hAnsiTheme="majorHAnsi" w:cstheme="majorHAnsi"/>
          <w:color w:val="3C3C3C"/>
          <w:sz w:val="20"/>
          <w:szCs w:val="20"/>
          <w:lang w:val="en-US"/>
        </w:rPr>
      </w:pPr>
    </w:p>
    <w:bookmarkStart w:id="0" w:name="_GoBack"/>
    <w:p w14:paraId="795C0651" w14:textId="77777777" w:rsidR="00CD75AF" w:rsidRPr="00CD75AF" w:rsidRDefault="00CD75AF" w:rsidP="00CD75AF">
      <w:pPr>
        <w:jc w:val="both"/>
        <w:rPr>
          <w:rFonts w:asciiTheme="majorHAnsi" w:eastAsia="Times New Roman" w:hAnsiTheme="majorHAnsi" w:cstheme="majorHAnsi"/>
          <w:sz w:val="20"/>
          <w:szCs w:val="20"/>
        </w:rPr>
      </w:pPr>
      <w:r w:rsidRPr="00CD75AF">
        <w:rPr>
          <w:rFonts w:asciiTheme="majorHAnsi" w:eastAsia="Times New Roman" w:hAnsiTheme="majorHAnsi" w:cstheme="majorHAnsi"/>
          <w:sz w:val="20"/>
          <w:szCs w:val="20"/>
        </w:rPr>
        <w:fldChar w:fldCharType="begin"/>
      </w:r>
      <w:r w:rsidRPr="00CD75AF">
        <w:rPr>
          <w:rFonts w:asciiTheme="majorHAnsi" w:eastAsia="Times New Roman" w:hAnsiTheme="majorHAnsi" w:cstheme="majorHAnsi"/>
          <w:sz w:val="20"/>
          <w:szCs w:val="20"/>
        </w:rPr>
        <w:instrText xml:space="preserve"> HYPERLINK "https://www.thelancet.com/pdfs/journals/lancet/PIIS0140-6736(20)30566-3.pdf" </w:instrText>
      </w:r>
      <w:r w:rsidRPr="00CD75AF">
        <w:rPr>
          <w:rFonts w:asciiTheme="majorHAnsi" w:eastAsia="Times New Roman" w:hAnsiTheme="majorHAnsi" w:cstheme="majorHAnsi"/>
          <w:sz w:val="20"/>
          <w:szCs w:val="20"/>
        </w:rPr>
        <w:fldChar w:fldCharType="separate"/>
      </w:r>
      <w:r w:rsidRPr="00CD75AF">
        <w:rPr>
          <w:rFonts w:asciiTheme="majorHAnsi" w:eastAsia="Times New Roman" w:hAnsiTheme="majorHAnsi" w:cstheme="majorHAnsi"/>
          <w:color w:val="0000FF"/>
          <w:sz w:val="20"/>
          <w:szCs w:val="20"/>
          <w:u w:val="single"/>
        </w:rPr>
        <w:t>https://www.thelancet.com/pdfs/journals/lancet/PIIS0140-6736(20)30566-3.pdf</w:t>
      </w:r>
      <w:r w:rsidRPr="00CD75AF">
        <w:rPr>
          <w:rFonts w:asciiTheme="majorHAnsi" w:eastAsia="Times New Roman" w:hAnsiTheme="majorHAnsi" w:cstheme="majorHAnsi"/>
          <w:sz w:val="20"/>
          <w:szCs w:val="20"/>
        </w:rPr>
        <w:fldChar w:fldCharType="end"/>
      </w:r>
    </w:p>
    <w:bookmarkEnd w:id="0"/>
    <w:p w14:paraId="79848A42" w14:textId="77777777" w:rsidR="00CD75AF" w:rsidRPr="00CD75AF" w:rsidRDefault="00CD75AF" w:rsidP="00CD75AF">
      <w:pPr>
        <w:autoSpaceDE w:val="0"/>
        <w:autoSpaceDN w:val="0"/>
        <w:adjustRightInd w:val="0"/>
        <w:spacing w:line="440" w:lineRule="atLeast"/>
        <w:jc w:val="both"/>
        <w:rPr>
          <w:rFonts w:asciiTheme="majorHAnsi" w:hAnsiTheme="majorHAnsi" w:cstheme="majorHAnsi"/>
          <w:color w:val="3C3C3C"/>
          <w:sz w:val="20"/>
          <w:szCs w:val="20"/>
          <w:lang w:val="en-US"/>
        </w:rPr>
      </w:pPr>
    </w:p>
    <w:p w14:paraId="2EFE082D" w14:textId="540B0513" w:rsidR="004E1640" w:rsidRPr="00CD75AF" w:rsidRDefault="004E1640" w:rsidP="00CD75AF">
      <w:pPr>
        <w:autoSpaceDE w:val="0"/>
        <w:autoSpaceDN w:val="0"/>
        <w:adjustRightInd w:val="0"/>
        <w:spacing w:line="440" w:lineRule="atLeast"/>
        <w:jc w:val="both"/>
        <w:rPr>
          <w:rFonts w:asciiTheme="majorHAnsi" w:hAnsiTheme="majorHAnsi" w:cstheme="majorHAnsi"/>
          <w:color w:val="3C3C3C"/>
          <w:sz w:val="20"/>
          <w:szCs w:val="20"/>
          <w:lang w:val="en-US"/>
        </w:rPr>
      </w:pPr>
      <w:r w:rsidRPr="00CD75AF">
        <w:rPr>
          <w:rFonts w:asciiTheme="majorHAnsi" w:hAnsiTheme="majorHAnsi" w:cstheme="majorHAnsi"/>
          <w:color w:val="3C3C3C"/>
          <w:sz w:val="20"/>
          <w:szCs w:val="20"/>
          <w:lang w:val="en-US"/>
        </w:rPr>
        <w:t>Total, Non-survivor, survivor</w:t>
      </w:r>
    </w:p>
    <w:p w14:paraId="3387D19F" w14:textId="77777777" w:rsidR="004E1640" w:rsidRPr="00CD75AF" w:rsidRDefault="004E1640" w:rsidP="00CD75AF">
      <w:pPr>
        <w:autoSpaceDE w:val="0"/>
        <w:autoSpaceDN w:val="0"/>
        <w:adjustRightInd w:val="0"/>
        <w:spacing w:line="440" w:lineRule="atLeast"/>
        <w:jc w:val="both"/>
        <w:rPr>
          <w:rFonts w:asciiTheme="majorHAnsi" w:hAnsiTheme="majorHAnsi" w:cstheme="majorHAnsi"/>
          <w:color w:val="3C3C3C"/>
          <w:sz w:val="20"/>
          <w:szCs w:val="20"/>
          <w:lang w:val="en-US"/>
        </w:rPr>
      </w:pPr>
    </w:p>
    <w:p w14:paraId="4B5C8947" w14:textId="32142064" w:rsidR="00B524AF" w:rsidRPr="00CD75AF" w:rsidRDefault="004E1640" w:rsidP="00CD75AF">
      <w:pPr>
        <w:jc w:val="both"/>
        <w:rPr>
          <w:rFonts w:asciiTheme="majorHAnsi" w:hAnsiTheme="majorHAnsi" w:cstheme="majorHAnsi"/>
          <w:sz w:val="20"/>
          <w:szCs w:val="20"/>
        </w:rPr>
      </w:pPr>
      <w:r w:rsidRPr="00CD75AF">
        <w:rPr>
          <w:rFonts w:asciiTheme="majorHAnsi" w:hAnsiTheme="majorHAnsi" w:cstheme="majorHAnsi"/>
          <w:noProof/>
          <w:sz w:val="20"/>
          <w:szCs w:val="20"/>
        </w:rPr>
        <w:lastRenderedPageBreak/>
        <w:drawing>
          <wp:inline distT="0" distB="0" distL="0" distR="0" wp14:anchorId="247D52A6" wp14:editId="657E743B">
            <wp:extent cx="4229100" cy="331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29 at 11.42.42.png"/>
                    <pic:cNvPicPr/>
                  </pic:nvPicPr>
                  <pic:blipFill>
                    <a:blip r:embed="rId7">
                      <a:extLst>
                        <a:ext uri="{28A0092B-C50C-407E-A947-70E740481C1C}">
                          <a14:useLocalDpi xmlns:a14="http://schemas.microsoft.com/office/drawing/2010/main" val="0"/>
                        </a:ext>
                      </a:extLst>
                    </a:blip>
                    <a:stretch>
                      <a:fillRect/>
                    </a:stretch>
                  </pic:blipFill>
                  <pic:spPr>
                    <a:xfrm>
                      <a:off x="0" y="0"/>
                      <a:ext cx="4229100" cy="3314700"/>
                    </a:xfrm>
                    <a:prstGeom prst="rect">
                      <a:avLst/>
                    </a:prstGeom>
                  </pic:spPr>
                </pic:pic>
              </a:graphicData>
            </a:graphic>
          </wp:inline>
        </w:drawing>
      </w:r>
    </w:p>
    <w:p w14:paraId="492B5E44" w14:textId="1FCC2A8D" w:rsidR="00CD75AF" w:rsidRPr="00CD75AF" w:rsidRDefault="00CD75AF" w:rsidP="00CD75AF">
      <w:pPr>
        <w:jc w:val="both"/>
        <w:rPr>
          <w:rFonts w:asciiTheme="majorHAnsi" w:hAnsiTheme="majorHAnsi" w:cstheme="majorHAnsi"/>
          <w:sz w:val="20"/>
          <w:szCs w:val="20"/>
        </w:rPr>
      </w:pPr>
    </w:p>
    <w:p w14:paraId="05F06927" w14:textId="7D1E4640" w:rsidR="00CD75AF" w:rsidRPr="00CD75AF" w:rsidRDefault="00CD75AF" w:rsidP="00CD75AF">
      <w:pPr>
        <w:jc w:val="both"/>
        <w:rPr>
          <w:rFonts w:asciiTheme="majorHAnsi" w:hAnsiTheme="majorHAnsi" w:cstheme="majorHAnsi"/>
          <w:sz w:val="20"/>
          <w:szCs w:val="20"/>
        </w:rPr>
      </w:pPr>
      <w:r w:rsidRPr="00CD75AF">
        <w:rPr>
          <w:rFonts w:asciiTheme="majorHAnsi" w:hAnsiTheme="majorHAnsi" w:cstheme="majorHAnsi"/>
          <w:b/>
          <w:sz w:val="20"/>
          <w:szCs w:val="20"/>
        </w:rPr>
        <w:t>4. CHEN T (2020) China 113 patients that died and 161 patients who recovered.</w:t>
      </w:r>
    </w:p>
    <w:p w14:paraId="30F66E2A" w14:textId="77777777" w:rsidR="00CD75AF" w:rsidRPr="00CD75AF" w:rsidRDefault="00CD75AF" w:rsidP="00CD75AF">
      <w:pPr>
        <w:jc w:val="both"/>
        <w:rPr>
          <w:rFonts w:asciiTheme="majorHAnsi" w:hAnsiTheme="majorHAnsi" w:cstheme="majorHAnsi"/>
          <w:sz w:val="20"/>
          <w:szCs w:val="20"/>
        </w:rPr>
      </w:pPr>
    </w:p>
    <w:p w14:paraId="72C89E37" w14:textId="77777777" w:rsidR="00CD75AF" w:rsidRPr="00CD75AF" w:rsidRDefault="00CD75AF" w:rsidP="00CD75AF">
      <w:pPr>
        <w:jc w:val="both"/>
        <w:rPr>
          <w:rFonts w:asciiTheme="majorHAnsi" w:eastAsia="Times New Roman" w:hAnsiTheme="majorHAnsi" w:cstheme="majorHAnsi"/>
          <w:sz w:val="20"/>
          <w:szCs w:val="20"/>
        </w:rPr>
      </w:pPr>
      <w:hyperlink r:id="rId8" w:history="1">
        <w:r w:rsidRPr="00CD75AF">
          <w:rPr>
            <w:rFonts w:asciiTheme="majorHAnsi" w:eastAsia="Times New Roman" w:hAnsiTheme="majorHAnsi" w:cstheme="majorHAnsi"/>
            <w:color w:val="0000FF"/>
            <w:sz w:val="20"/>
            <w:szCs w:val="20"/>
            <w:u w:val="single"/>
          </w:rPr>
          <w:t>https://www.bmj.com/content/bmj/368/bmj.m1091.full.pdf</w:t>
        </w:r>
      </w:hyperlink>
    </w:p>
    <w:p w14:paraId="76892083" w14:textId="72FEB86F" w:rsidR="00CD75AF" w:rsidRPr="00CD75AF" w:rsidRDefault="00CD75AF" w:rsidP="00CD75AF">
      <w:pPr>
        <w:jc w:val="both"/>
        <w:rPr>
          <w:rFonts w:asciiTheme="majorHAnsi" w:hAnsiTheme="majorHAnsi" w:cstheme="majorHAnsi"/>
          <w:sz w:val="20"/>
          <w:szCs w:val="20"/>
        </w:rPr>
      </w:pPr>
      <w:r w:rsidRPr="00CD75AF">
        <w:rPr>
          <w:rFonts w:asciiTheme="majorHAnsi" w:hAnsiTheme="majorHAnsi" w:cstheme="majorHAnsi"/>
          <w:sz w:val="20"/>
          <w:szCs w:val="20"/>
        </w:rPr>
        <w:t xml:space="preserve"> </w:t>
      </w:r>
    </w:p>
    <w:p w14:paraId="4AA16E29" w14:textId="2E0C055E" w:rsidR="00CD75AF" w:rsidRPr="00CD75AF" w:rsidRDefault="00CD75AF" w:rsidP="00CD75AF">
      <w:pPr>
        <w:jc w:val="both"/>
        <w:rPr>
          <w:rFonts w:asciiTheme="majorHAnsi" w:hAnsiTheme="majorHAnsi" w:cstheme="majorHAnsi"/>
          <w:sz w:val="20"/>
          <w:szCs w:val="20"/>
        </w:rPr>
      </w:pPr>
    </w:p>
    <w:p w14:paraId="1E36C543" w14:textId="780239B9" w:rsidR="00CD75AF" w:rsidRPr="00CD75AF" w:rsidRDefault="00CD75AF" w:rsidP="00CD75AF">
      <w:pPr>
        <w:jc w:val="both"/>
        <w:rPr>
          <w:rFonts w:asciiTheme="majorHAnsi" w:hAnsiTheme="majorHAnsi" w:cstheme="majorHAnsi"/>
          <w:sz w:val="20"/>
          <w:szCs w:val="20"/>
        </w:rPr>
      </w:pPr>
      <w:r w:rsidRPr="00CD75AF">
        <w:rPr>
          <w:rFonts w:asciiTheme="majorHAnsi" w:hAnsiTheme="majorHAnsi" w:cstheme="majorHAnsi"/>
          <w:sz w:val="20"/>
          <w:szCs w:val="20"/>
        </w:rPr>
        <w:t>Total, deaths, recovered patients</w:t>
      </w:r>
    </w:p>
    <w:p w14:paraId="086D5C6E" w14:textId="667FA2ED" w:rsidR="00CD75AF" w:rsidRPr="00CD75AF" w:rsidRDefault="00CD75AF" w:rsidP="00CD75AF">
      <w:pPr>
        <w:jc w:val="both"/>
        <w:rPr>
          <w:rFonts w:asciiTheme="majorHAnsi" w:hAnsiTheme="majorHAnsi" w:cstheme="majorHAnsi"/>
          <w:sz w:val="20"/>
          <w:szCs w:val="20"/>
        </w:rPr>
      </w:pPr>
    </w:p>
    <w:p w14:paraId="499A5C6D" w14:textId="0D7A0BD3" w:rsidR="00CD75AF" w:rsidRPr="00CD75AF" w:rsidRDefault="00CD75AF" w:rsidP="00CD75AF">
      <w:pPr>
        <w:jc w:val="both"/>
        <w:rPr>
          <w:rFonts w:asciiTheme="majorHAnsi" w:hAnsiTheme="majorHAnsi" w:cstheme="majorHAnsi"/>
          <w:sz w:val="20"/>
          <w:szCs w:val="20"/>
        </w:rPr>
      </w:pPr>
      <w:r w:rsidRPr="00CD75AF">
        <w:rPr>
          <w:rFonts w:asciiTheme="majorHAnsi" w:hAnsiTheme="majorHAnsi" w:cstheme="majorHAnsi"/>
          <w:noProof/>
          <w:sz w:val="20"/>
          <w:szCs w:val="20"/>
        </w:rPr>
        <w:drawing>
          <wp:inline distT="0" distB="0" distL="0" distR="0" wp14:anchorId="71DF45A0" wp14:editId="326399E8">
            <wp:extent cx="5727700" cy="535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29 at 11.50.31.png"/>
                    <pic:cNvPicPr/>
                  </pic:nvPicPr>
                  <pic:blipFill>
                    <a:blip r:embed="rId9">
                      <a:extLst>
                        <a:ext uri="{28A0092B-C50C-407E-A947-70E740481C1C}">
                          <a14:useLocalDpi xmlns:a14="http://schemas.microsoft.com/office/drawing/2010/main" val="0"/>
                        </a:ext>
                      </a:extLst>
                    </a:blip>
                    <a:stretch>
                      <a:fillRect/>
                    </a:stretch>
                  </pic:blipFill>
                  <pic:spPr>
                    <a:xfrm>
                      <a:off x="0" y="0"/>
                      <a:ext cx="5727700" cy="535305"/>
                    </a:xfrm>
                    <a:prstGeom prst="rect">
                      <a:avLst/>
                    </a:prstGeom>
                  </pic:spPr>
                </pic:pic>
              </a:graphicData>
            </a:graphic>
          </wp:inline>
        </w:drawing>
      </w:r>
    </w:p>
    <w:p w14:paraId="1E2459D2" w14:textId="26234864" w:rsidR="00CD75AF" w:rsidRPr="00CD75AF" w:rsidRDefault="00CD75AF" w:rsidP="00CD75AF">
      <w:pPr>
        <w:jc w:val="both"/>
        <w:rPr>
          <w:rFonts w:asciiTheme="majorHAnsi" w:hAnsiTheme="majorHAnsi" w:cstheme="majorHAnsi"/>
          <w:sz w:val="20"/>
          <w:szCs w:val="20"/>
        </w:rPr>
      </w:pPr>
    </w:p>
    <w:p w14:paraId="7BDD9FF6" w14:textId="1FDE5380" w:rsidR="00CD75AF" w:rsidRPr="00CD75AF" w:rsidRDefault="00CD75AF" w:rsidP="00CD75AF">
      <w:pPr>
        <w:jc w:val="both"/>
        <w:rPr>
          <w:rFonts w:asciiTheme="majorHAnsi" w:eastAsia="Times New Roman" w:hAnsiTheme="majorHAnsi" w:cstheme="majorHAnsi"/>
          <w:b/>
          <w:sz w:val="20"/>
          <w:szCs w:val="20"/>
        </w:rPr>
      </w:pPr>
      <w:r w:rsidRPr="00CD75AF">
        <w:rPr>
          <w:rFonts w:asciiTheme="majorHAnsi" w:eastAsia="Times New Roman" w:hAnsiTheme="majorHAnsi" w:cstheme="majorHAnsi"/>
          <w:b/>
          <w:sz w:val="20"/>
          <w:szCs w:val="20"/>
        </w:rPr>
        <w:t xml:space="preserve">5. LI Q (2020) China 425 patients </w:t>
      </w:r>
    </w:p>
    <w:p w14:paraId="5D2C4652" w14:textId="77777777" w:rsidR="00CD75AF" w:rsidRPr="00CD75AF" w:rsidRDefault="00CD75AF" w:rsidP="00CD75AF">
      <w:pPr>
        <w:jc w:val="both"/>
        <w:rPr>
          <w:rFonts w:asciiTheme="majorHAnsi" w:eastAsia="Times New Roman" w:hAnsiTheme="majorHAnsi" w:cstheme="majorHAnsi"/>
          <w:sz w:val="20"/>
          <w:szCs w:val="20"/>
        </w:rPr>
      </w:pPr>
    </w:p>
    <w:p w14:paraId="3CB8C589" w14:textId="64465517" w:rsidR="00CD75AF" w:rsidRPr="00CD75AF" w:rsidRDefault="00CD75AF" w:rsidP="00CD75AF">
      <w:pPr>
        <w:jc w:val="both"/>
        <w:rPr>
          <w:rFonts w:asciiTheme="majorHAnsi" w:eastAsia="Times New Roman" w:hAnsiTheme="majorHAnsi" w:cstheme="majorHAnsi"/>
          <w:sz w:val="20"/>
          <w:szCs w:val="20"/>
        </w:rPr>
      </w:pPr>
      <w:hyperlink r:id="rId10" w:history="1">
        <w:r w:rsidRPr="00CD75AF">
          <w:rPr>
            <w:rStyle w:val="Hyperlink"/>
            <w:rFonts w:asciiTheme="majorHAnsi" w:eastAsia="Times New Roman" w:hAnsiTheme="majorHAnsi" w:cstheme="majorHAnsi"/>
            <w:sz w:val="20"/>
            <w:szCs w:val="20"/>
          </w:rPr>
          <w:t>https://www.nejm.org/doi/full/10.1056/NEJMoa2002032</w:t>
        </w:r>
      </w:hyperlink>
    </w:p>
    <w:p w14:paraId="329CE777" w14:textId="2756E2C9" w:rsidR="00CD75AF" w:rsidRPr="00CD75AF" w:rsidRDefault="00CD75AF" w:rsidP="00CD75AF">
      <w:pPr>
        <w:jc w:val="both"/>
        <w:rPr>
          <w:rFonts w:asciiTheme="majorHAnsi" w:hAnsiTheme="majorHAnsi" w:cstheme="majorHAnsi"/>
          <w:sz w:val="20"/>
          <w:szCs w:val="20"/>
        </w:rPr>
      </w:pPr>
    </w:p>
    <w:p w14:paraId="46429404" w14:textId="77777777" w:rsidR="00CD75AF" w:rsidRPr="00CD75AF" w:rsidRDefault="00CD75AF" w:rsidP="00CD75AF">
      <w:pPr>
        <w:jc w:val="both"/>
        <w:rPr>
          <w:rFonts w:asciiTheme="majorHAnsi" w:eastAsia="Times New Roman" w:hAnsiTheme="majorHAnsi" w:cstheme="majorHAnsi"/>
          <w:sz w:val="20"/>
          <w:szCs w:val="20"/>
        </w:rPr>
      </w:pPr>
      <w:r w:rsidRPr="00CD75AF">
        <w:rPr>
          <w:rFonts w:asciiTheme="majorHAnsi" w:eastAsia="Times New Roman" w:hAnsiTheme="majorHAnsi" w:cstheme="majorHAnsi"/>
          <w:color w:val="4D4D4D"/>
          <w:sz w:val="20"/>
          <w:szCs w:val="20"/>
          <w:shd w:val="clear" w:color="auto" w:fill="FFFFFF"/>
        </w:rPr>
        <w:t xml:space="preserve">We examined data on exposures among 10 confirmed cases, and we estimated the </w:t>
      </w:r>
      <w:r w:rsidRPr="00CD75AF">
        <w:rPr>
          <w:rFonts w:asciiTheme="majorHAnsi" w:eastAsia="Times New Roman" w:hAnsiTheme="majorHAnsi" w:cstheme="majorHAnsi"/>
          <w:b/>
          <w:color w:val="4D4D4D"/>
          <w:sz w:val="20"/>
          <w:szCs w:val="20"/>
          <w:shd w:val="clear" w:color="auto" w:fill="FFFFFF"/>
        </w:rPr>
        <w:t>mean incubation period to be 5.2 days (95% confidence interval [CI], 4.1 to 7.0); the 95th percentile of the distribution was 12.5 days (95% CI, 9.2 to 18)</w:t>
      </w:r>
      <w:r w:rsidRPr="00CD75AF">
        <w:rPr>
          <w:rFonts w:asciiTheme="majorHAnsi" w:eastAsia="Times New Roman" w:hAnsiTheme="majorHAnsi" w:cstheme="majorHAnsi"/>
          <w:color w:val="4D4D4D"/>
          <w:sz w:val="20"/>
          <w:szCs w:val="20"/>
          <w:shd w:val="clear" w:color="auto" w:fill="FFFFFF"/>
        </w:rPr>
        <w:t xml:space="preserve"> (</w:t>
      </w:r>
      <w:hyperlink r:id="rId11" w:tooltip="View full size" w:history="1">
        <w:r w:rsidRPr="00CD75AF">
          <w:rPr>
            <w:rFonts w:asciiTheme="majorHAnsi" w:eastAsia="Times New Roman" w:hAnsiTheme="majorHAnsi" w:cstheme="majorHAnsi"/>
            <w:color w:val="0B4F82"/>
            <w:sz w:val="20"/>
            <w:szCs w:val="20"/>
            <w:u w:val="single"/>
            <w:bdr w:val="none" w:sz="0" w:space="0" w:color="auto" w:frame="1"/>
            <w:shd w:val="clear" w:color="auto" w:fill="FFFFFF"/>
          </w:rPr>
          <w:t>Figure 2A</w:t>
        </w:r>
      </w:hyperlink>
      <w:r w:rsidRPr="00CD75AF">
        <w:rPr>
          <w:rFonts w:asciiTheme="majorHAnsi" w:eastAsia="Times New Roman" w:hAnsiTheme="majorHAnsi" w:cstheme="majorHAnsi"/>
          <w:color w:val="4D4D4D"/>
          <w:sz w:val="20"/>
          <w:szCs w:val="20"/>
          <w:shd w:val="clear" w:color="auto" w:fill="FFFFFF"/>
        </w:rPr>
        <w:t>). We obtained information on 5 clusters of cases, shown in </w:t>
      </w:r>
      <w:hyperlink r:id="rId12" w:tooltip="View full size" w:history="1">
        <w:r w:rsidRPr="00CD75AF">
          <w:rPr>
            <w:rFonts w:asciiTheme="majorHAnsi" w:eastAsia="Times New Roman" w:hAnsiTheme="majorHAnsi" w:cstheme="majorHAnsi"/>
            <w:color w:val="0B4F82"/>
            <w:sz w:val="20"/>
            <w:szCs w:val="20"/>
            <w:u w:val="single"/>
            <w:bdr w:val="none" w:sz="0" w:space="0" w:color="auto" w:frame="1"/>
            <w:shd w:val="clear" w:color="auto" w:fill="FFFFFF"/>
          </w:rPr>
          <w:t>Figure 3</w:t>
        </w:r>
      </w:hyperlink>
      <w:r w:rsidRPr="00CD75AF">
        <w:rPr>
          <w:rFonts w:asciiTheme="majorHAnsi" w:eastAsia="Times New Roman" w:hAnsiTheme="majorHAnsi" w:cstheme="majorHAnsi"/>
          <w:color w:val="4D4D4D"/>
          <w:sz w:val="20"/>
          <w:szCs w:val="20"/>
          <w:shd w:val="clear" w:color="auto" w:fill="FFFFFF"/>
        </w:rPr>
        <w:t>. On the basis of the dates of illness onset of 6 pairs of cases in these clusters, we estimated that the serial interval distribution had a mean (±SD) of 7.5±3.4 days (95% CI, 5.3 to 19) (</w:t>
      </w:r>
      <w:hyperlink r:id="rId13" w:tooltip="View full size" w:history="1">
        <w:r w:rsidRPr="00CD75AF">
          <w:rPr>
            <w:rFonts w:asciiTheme="majorHAnsi" w:eastAsia="Times New Roman" w:hAnsiTheme="majorHAnsi" w:cstheme="majorHAnsi"/>
            <w:color w:val="0B4F82"/>
            <w:sz w:val="20"/>
            <w:szCs w:val="20"/>
            <w:u w:val="single"/>
            <w:bdr w:val="none" w:sz="0" w:space="0" w:color="auto" w:frame="1"/>
            <w:shd w:val="clear" w:color="auto" w:fill="FFFFFF"/>
          </w:rPr>
          <w:t>Figure 2B</w:t>
        </w:r>
      </w:hyperlink>
      <w:r w:rsidRPr="00CD75AF">
        <w:rPr>
          <w:rFonts w:asciiTheme="majorHAnsi" w:eastAsia="Times New Roman" w:hAnsiTheme="majorHAnsi" w:cstheme="majorHAnsi"/>
          <w:color w:val="4D4D4D"/>
          <w:sz w:val="20"/>
          <w:szCs w:val="20"/>
          <w:shd w:val="clear" w:color="auto" w:fill="FFFFFF"/>
        </w:rPr>
        <w:t>).</w:t>
      </w:r>
    </w:p>
    <w:p w14:paraId="4B471388" w14:textId="03352FE1" w:rsidR="00CD75AF" w:rsidRPr="00CD75AF" w:rsidRDefault="00CD75AF" w:rsidP="00CD75AF">
      <w:pPr>
        <w:jc w:val="both"/>
        <w:rPr>
          <w:rFonts w:asciiTheme="majorHAnsi" w:hAnsiTheme="majorHAnsi" w:cstheme="majorHAnsi"/>
          <w:sz w:val="20"/>
          <w:szCs w:val="20"/>
        </w:rPr>
      </w:pPr>
    </w:p>
    <w:p w14:paraId="1DB04274" w14:textId="2F3618B6" w:rsidR="00CD75AF" w:rsidRDefault="00CD75AF" w:rsidP="00CD75AF">
      <w:pPr>
        <w:jc w:val="both"/>
        <w:rPr>
          <w:rFonts w:asciiTheme="majorHAnsi" w:eastAsia="Times New Roman" w:hAnsiTheme="majorHAnsi" w:cstheme="majorHAnsi"/>
          <w:color w:val="4D4D4D"/>
          <w:sz w:val="20"/>
          <w:szCs w:val="20"/>
          <w:shd w:val="clear" w:color="auto" w:fill="FFFFFF"/>
        </w:rPr>
      </w:pPr>
      <w:r w:rsidRPr="00CD75AF">
        <w:rPr>
          <w:rFonts w:asciiTheme="majorHAnsi" w:eastAsia="Times New Roman" w:hAnsiTheme="majorHAnsi" w:cstheme="majorHAnsi"/>
          <w:color w:val="4D4D4D"/>
          <w:sz w:val="20"/>
          <w:szCs w:val="20"/>
          <w:shd w:val="clear" w:color="auto" w:fill="FFFFFF"/>
        </w:rPr>
        <w:t xml:space="preserve">The </w:t>
      </w:r>
      <w:r w:rsidRPr="00CD75AF">
        <w:rPr>
          <w:rFonts w:asciiTheme="majorHAnsi" w:eastAsia="Times New Roman" w:hAnsiTheme="majorHAnsi" w:cstheme="majorHAnsi"/>
          <w:b/>
          <w:color w:val="4D4D4D"/>
          <w:sz w:val="20"/>
          <w:szCs w:val="20"/>
          <w:shd w:val="clear" w:color="auto" w:fill="FFFFFF"/>
        </w:rPr>
        <w:t>duration from illness onset to first medical</w:t>
      </w:r>
      <w:r w:rsidRPr="00CD75AF">
        <w:rPr>
          <w:rFonts w:asciiTheme="majorHAnsi" w:eastAsia="Times New Roman" w:hAnsiTheme="majorHAnsi" w:cstheme="majorHAnsi"/>
          <w:color w:val="4D4D4D"/>
          <w:sz w:val="20"/>
          <w:szCs w:val="20"/>
          <w:shd w:val="clear" w:color="auto" w:fill="FFFFFF"/>
        </w:rPr>
        <w:t xml:space="preserve"> visit for 45 patients with illness onset before January 1 was estimated to have a </w:t>
      </w:r>
      <w:r w:rsidRPr="00CD75AF">
        <w:rPr>
          <w:rFonts w:asciiTheme="majorHAnsi" w:eastAsia="Times New Roman" w:hAnsiTheme="majorHAnsi" w:cstheme="majorHAnsi"/>
          <w:b/>
          <w:color w:val="4D4D4D"/>
          <w:sz w:val="20"/>
          <w:szCs w:val="20"/>
          <w:shd w:val="clear" w:color="auto" w:fill="FFFFFF"/>
        </w:rPr>
        <w:t>mean of 5.8 days (95% CI, 4.3 to 7.5),</w:t>
      </w:r>
      <w:r w:rsidRPr="00CD75AF">
        <w:rPr>
          <w:rFonts w:asciiTheme="majorHAnsi" w:eastAsia="Times New Roman" w:hAnsiTheme="majorHAnsi" w:cstheme="majorHAnsi"/>
          <w:color w:val="4D4D4D"/>
          <w:sz w:val="20"/>
          <w:szCs w:val="20"/>
          <w:shd w:val="clear" w:color="auto" w:fill="FFFFFF"/>
        </w:rPr>
        <w:t xml:space="preserve"> which was similar to that for 207 patients with illness onset between January 1 and January 11, with a </w:t>
      </w:r>
      <w:r w:rsidRPr="00CD75AF">
        <w:rPr>
          <w:rFonts w:asciiTheme="majorHAnsi" w:eastAsia="Times New Roman" w:hAnsiTheme="majorHAnsi" w:cstheme="majorHAnsi"/>
          <w:b/>
          <w:color w:val="4D4D4D"/>
          <w:sz w:val="20"/>
          <w:szCs w:val="20"/>
          <w:shd w:val="clear" w:color="auto" w:fill="FFFFFF"/>
        </w:rPr>
        <w:t>mean of 4.6 days (95% CI, 4.1 to 5.1)</w:t>
      </w:r>
      <w:r w:rsidRPr="00CD75AF">
        <w:rPr>
          <w:rFonts w:asciiTheme="majorHAnsi" w:eastAsia="Times New Roman" w:hAnsiTheme="majorHAnsi" w:cstheme="majorHAnsi"/>
          <w:color w:val="4D4D4D"/>
          <w:sz w:val="20"/>
          <w:szCs w:val="20"/>
          <w:shd w:val="clear" w:color="auto" w:fill="FFFFFF"/>
        </w:rPr>
        <w:t xml:space="preserve"> (</w:t>
      </w:r>
      <w:hyperlink r:id="rId14" w:tooltip="View full size" w:history="1">
        <w:r w:rsidRPr="00CD75AF">
          <w:rPr>
            <w:rFonts w:asciiTheme="majorHAnsi" w:eastAsia="Times New Roman" w:hAnsiTheme="majorHAnsi" w:cstheme="majorHAnsi"/>
            <w:color w:val="0B4F82"/>
            <w:sz w:val="20"/>
            <w:szCs w:val="20"/>
            <w:u w:val="single"/>
            <w:bdr w:val="none" w:sz="0" w:space="0" w:color="auto" w:frame="1"/>
            <w:shd w:val="clear" w:color="auto" w:fill="FFFFFF"/>
          </w:rPr>
          <w:t>Figure 2C</w:t>
        </w:r>
      </w:hyperlink>
      <w:r w:rsidRPr="00CD75AF">
        <w:rPr>
          <w:rFonts w:asciiTheme="majorHAnsi" w:eastAsia="Times New Roman" w:hAnsiTheme="majorHAnsi" w:cstheme="majorHAnsi"/>
          <w:color w:val="4D4D4D"/>
          <w:sz w:val="20"/>
          <w:szCs w:val="20"/>
          <w:shd w:val="clear" w:color="auto" w:fill="FFFFFF"/>
        </w:rPr>
        <w:t xml:space="preserve">). The mean duration from </w:t>
      </w:r>
      <w:r w:rsidRPr="00CD75AF">
        <w:rPr>
          <w:rFonts w:asciiTheme="majorHAnsi" w:eastAsia="Times New Roman" w:hAnsiTheme="majorHAnsi" w:cstheme="majorHAnsi"/>
          <w:b/>
          <w:color w:val="4D4D4D"/>
          <w:sz w:val="20"/>
          <w:szCs w:val="20"/>
          <w:shd w:val="clear" w:color="auto" w:fill="FFFFFF"/>
        </w:rPr>
        <w:t>onset to hospital admission was estimated to be 12.5 days (95% CI, 10.3 to 14.8)</w:t>
      </w:r>
      <w:r w:rsidRPr="00CD75AF">
        <w:rPr>
          <w:rFonts w:asciiTheme="majorHAnsi" w:eastAsia="Times New Roman" w:hAnsiTheme="majorHAnsi" w:cstheme="majorHAnsi"/>
          <w:color w:val="4D4D4D"/>
          <w:sz w:val="20"/>
          <w:szCs w:val="20"/>
          <w:shd w:val="clear" w:color="auto" w:fill="FFFFFF"/>
        </w:rPr>
        <w:t xml:space="preserve"> among 44 cases with illness onset before January 1, which was longer than that among 189 patients with illness onset between January 1 and 11 </w:t>
      </w:r>
      <w:r w:rsidRPr="00CD75AF">
        <w:rPr>
          <w:rFonts w:asciiTheme="majorHAnsi" w:eastAsia="Times New Roman" w:hAnsiTheme="majorHAnsi" w:cstheme="majorHAnsi"/>
          <w:b/>
          <w:color w:val="4D4D4D"/>
          <w:sz w:val="20"/>
          <w:szCs w:val="20"/>
          <w:shd w:val="clear" w:color="auto" w:fill="FFFFFF"/>
        </w:rPr>
        <w:t>(mean, 9.1 days; 95% CI, 8.6 to 9.7)</w:t>
      </w:r>
      <w:r w:rsidRPr="00CD75AF">
        <w:rPr>
          <w:rFonts w:asciiTheme="majorHAnsi" w:eastAsia="Times New Roman" w:hAnsiTheme="majorHAnsi" w:cstheme="majorHAnsi"/>
          <w:color w:val="4D4D4D"/>
          <w:sz w:val="20"/>
          <w:szCs w:val="20"/>
          <w:shd w:val="clear" w:color="auto" w:fill="FFFFFF"/>
        </w:rPr>
        <w:t xml:space="preserve"> (</w:t>
      </w:r>
      <w:hyperlink r:id="rId15" w:tooltip="View full size" w:history="1">
        <w:r w:rsidRPr="00CD75AF">
          <w:rPr>
            <w:rFonts w:asciiTheme="majorHAnsi" w:eastAsia="Times New Roman" w:hAnsiTheme="majorHAnsi" w:cstheme="majorHAnsi"/>
            <w:color w:val="0B4F82"/>
            <w:sz w:val="20"/>
            <w:szCs w:val="20"/>
            <w:u w:val="single"/>
            <w:bdr w:val="none" w:sz="0" w:space="0" w:color="auto" w:frame="1"/>
            <w:shd w:val="clear" w:color="auto" w:fill="FFFFFF"/>
          </w:rPr>
          <w:t>Figure 2D</w:t>
        </w:r>
      </w:hyperlink>
      <w:r w:rsidRPr="00CD75AF">
        <w:rPr>
          <w:rFonts w:asciiTheme="majorHAnsi" w:eastAsia="Times New Roman" w:hAnsiTheme="majorHAnsi" w:cstheme="majorHAnsi"/>
          <w:color w:val="4D4D4D"/>
          <w:sz w:val="20"/>
          <w:szCs w:val="20"/>
          <w:shd w:val="clear" w:color="auto" w:fill="FFFFFF"/>
        </w:rPr>
        <w:t>).</w:t>
      </w:r>
    </w:p>
    <w:p w14:paraId="495ED555" w14:textId="562B0833" w:rsidR="00CD75AF" w:rsidRDefault="00CD75AF" w:rsidP="00CD75AF">
      <w:pPr>
        <w:jc w:val="both"/>
        <w:rPr>
          <w:rFonts w:asciiTheme="majorHAnsi" w:eastAsia="Times New Roman" w:hAnsiTheme="majorHAnsi" w:cstheme="majorHAnsi"/>
          <w:sz w:val="20"/>
          <w:szCs w:val="20"/>
        </w:rPr>
      </w:pPr>
    </w:p>
    <w:p w14:paraId="4BE68310" w14:textId="33F3781A" w:rsidR="00CD75AF" w:rsidRPr="00CD75AF" w:rsidRDefault="00CD75AF" w:rsidP="00CD75AF">
      <w:pPr>
        <w:jc w:val="both"/>
        <w:rPr>
          <w:rFonts w:asciiTheme="majorHAnsi" w:eastAsia="Times New Roman" w:hAnsiTheme="majorHAnsi" w:cstheme="majorHAnsi"/>
          <w:b/>
          <w:sz w:val="20"/>
          <w:szCs w:val="20"/>
        </w:rPr>
      </w:pPr>
      <w:r w:rsidRPr="00010EE8">
        <w:rPr>
          <w:rFonts w:asciiTheme="majorHAnsi" w:eastAsia="Times New Roman" w:hAnsiTheme="majorHAnsi" w:cstheme="majorHAnsi"/>
          <w:b/>
          <w:sz w:val="20"/>
          <w:szCs w:val="20"/>
        </w:rPr>
        <w:t xml:space="preserve">6. </w:t>
      </w:r>
      <w:r w:rsidR="00010EE8" w:rsidRPr="00010EE8">
        <w:rPr>
          <w:rFonts w:asciiTheme="majorHAnsi" w:eastAsia="Times New Roman" w:hAnsiTheme="majorHAnsi" w:cstheme="majorHAnsi"/>
          <w:b/>
          <w:sz w:val="20"/>
          <w:szCs w:val="20"/>
        </w:rPr>
        <w:t>Bi Q (2020) China 1286 patients</w:t>
      </w:r>
      <w:r w:rsidR="00010EE8">
        <w:rPr>
          <w:rFonts w:asciiTheme="majorHAnsi" w:eastAsia="Times New Roman" w:hAnsiTheme="majorHAnsi" w:cstheme="majorHAnsi"/>
          <w:b/>
          <w:sz w:val="20"/>
          <w:szCs w:val="20"/>
        </w:rPr>
        <w:t xml:space="preserve"> (Many more parameters but need to check the paper to see what is needed specifically) </w:t>
      </w:r>
    </w:p>
    <w:p w14:paraId="2A7A76B9" w14:textId="0360E2A9" w:rsidR="00CD75AF" w:rsidRDefault="00CD75AF" w:rsidP="00CD75AF">
      <w:pPr>
        <w:jc w:val="both"/>
        <w:rPr>
          <w:rFonts w:asciiTheme="majorHAnsi" w:hAnsiTheme="majorHAnsi" w:cstheme="majorHAnsi"/>
          <w:sz w:val="20"/>
          <w:szCs w:val="20"/>
        </w:rPr>
      </w:pPr>
    </w:p>
    <w:p w14:paraId="6720AC49" w14:textId="77777777" w:rsidR="00CD75AF" w:rsidRPr="00CD75AF" w:rsidRDefault="00CD75AF" w:rsidP="00CD75AF">
      <w:pPr>
        <w:jc w:val="both"/>
        <w:rPr>
          <w:rFonts w:asciiTheme="majorHAnsi" w:hAnsiTheme="majorHAnsi" w:cstheme="majorHAnsi"/>
          <w:sz w:val="20"/>
          <w:szCs w:val="20"/>
        </w:rPr>
      </w:pPr>
      <w:hyperlink r:id="rId16" w:history="1">
        <w:r w:rsidRPr="00CD75AF">
          <w:rPr>
            <w:rStyle w:val="Hyperlink"/>
            <w:rFonts w:asciiTheme="majorHAnsi" w:hAnsiTheme="majorHAnsi" w:cstheme="majorHAnsi"/>
            <w:sz w:val="20"/>
            <w:szCs w:val="20"/>
          </w:rPr>
          <w:t>https://www.thelancet.com/action/showPdf?pii=S1473-3099%2820%2930287-5</w:t>
        </w:r>
      </w:hyperlink>
    </w:p>
    <w:p w14:paraId="36E42A89" w14:textId="19D41977" w:rsidR="00CD75AF" w:rsidRDefault="00CD75AF" w:rsidP="00CD75AF">
      <w:pPr>
        <w:jc w:val="both"/>
        <w:rPr>
          <w:rFonts w:asciiTheme="majorHAnsi" w:hAnsiTheme="majorHAnsi" w:cstheme="majorHAnsi"/>
          <w:sz w:val="20"/>
          <w:szCs w:val="20"/>
        </w:rPr>
      </w:pPr>
    </w:p>
    <w:p w14:paraId="05486167" w14:textId="77777777" w:rsidR="00010EE8" w:rsidRPr="00010EE8" w:rsidRDefault="00010EE8" w:rsidP="00010EE8">
      <w:pPr>
        <w:jc w:val="both"/>
        <w:rPr>
          <w:rFonts w:asciiTheme="majorHAnsi" w:hAnsiTheme="majorHAnsi" w:cstheme="majorHAnsi"/>
          <w:b/>
          <w:sz w:val="20"/>
          <w:szCs w:val="20"/>
        </w:rPr>
      </w:pPr>
      <w:r w:rsidRPr="00010EE8">
        <w:rPr>
          <w:rFonts w:asciiTheme="majorHAnsi" w:hAnsiTheme="majorHAnsi" w:cstheme="majorHAnsi"/>
          <w:sz w:val="20"/>
          <w:szCs w:val="20"/>
        </w:rPr>
        <w:lastRenderedPageBreak/>
        <w:t>Based on 183 cases with a well</w:t>
      </w:r>
      <w:r>
        <w:rPr>
          <w:rFonts w:asciiTheme="majorHAnsi" w:hAnsiTheme="majorHAnsi" w:cstheme="majorHAnsi"/>
          <w:sz w:val="20"/>
          <w:szCs w:val="20"/>
        </w:rPr>
        <w:t>-</w:t>
      </w:r>
      <w:r w:rsidRPr="00010EE8">
        <w:rPr>
          <w:rFonts w:asciiTheme="majorHAnsi" w:hAnsiTheme="majorHAnsi" w:cstheme="majorHAnsi"/>
          <w:sz w:val="20"/>
          <w:szCs w:val="20"/>
        </w:rPr>
        <w:t xml:space="preserve">defined period of exposure and symptom onset (appendix 2 p 8), we estimated the </w:t>
      </w:r>
      <w:r w:rsidRPr="00010EE8">
        <w:rPr>
          <w:rFonts w:asciiTheme="majorHAnsi" w:hAnsiTheme="majorHAnsi" w:cstheme="majorHAnsi"/>
          <w:b/>
          <w:sz w:val="20"/>
          <w:szCs w:val="20"/>
        </w:rPr>
        <w:t>median incubation period for COVID-19 to be 4·8 days (95% CI 4·2–5·4</w:t>
      </w:r>
      <w:r w:rsidRPr="00010EE8">
        <w:rPr>
          <w:rFonts w:asciiTheme="majorHAnsi" w:hAnsiTheme="majorHAnsi" w:cstheme="majorHAnsi"/>
          <w:sz w:val="20"/>
          <w:szCs w:val="20"/>
        </w:rPr>
        <w:t xml:space="preserve">; figure 1, appendix 2 p 2), and estimated that 95% of </w:t>
      </w:r>
      <w:r w:rsidRPr="00010EE8">
        <w:rPr>
          <w:rFonts w:asciiTheme="majorHAnsi" w:hAnsiTheme="majorHAnsi" w:cstheme="majorHAnsi"/>
          <w:b/>
          <w:sz w:val="20"/>
          <w:szCs w:val="20"/>
        </w:rPr>
        <w:t xml:space="preserve">those who develop symptoms will do so within 14·0 days (95% CI 12·2–15·9) of infection. </w:t>
      </w:r>
      <w:r>
        <w:rPr>
          <w:rFonts w:asciiTheme="majorHAnsi" w:hAnsiTheme="majorHAnsi" w:cstheme="majorHAnsi"/>
          <w:b/>
          <w:sz w:val="20"/>
          <w:szCs w:val="20"/>
        </w:rPr>
        <w:t xml:space="preserve"> </w:t>
      </w:r>
      <w:r w:rsidRPr="00010EE8">
        <w:rPr>
          <w:rFonts w:asciiTheme="majorHAnsi" w:hAnsiTheme="majorHAnsi" w:cstheme="majorHAnsi"/>
          <w:sz w:val="20"/>
          <w:szCs w:val="20"/>
        </w:rPr>
        <w:t>We estimated that about 5·0% of cases who develop symptoms would not show symptoms until 14 days after infection.</w:t>
      </w:r>
    </w:p>
    <w:p w14:paraId="1A48A72A" w14:textId="18010D8E" w:rsidR="00010EE8" w:rsidRDefault="00010EE8" w:rsidP="00010EE8">
      <w:pPr>
        <w:jc w:val="both"/>
        <w:rPr>
          <w:rFonts w:asciiTheme="majorHAnsi" w:hAnsiTheme="majorHAnsi" w:cstheme="majorHAnsi"/>
          <w:b/>
          <w:sz w:val="20"/>
          <w:szCs w:val="20"/>
        </w:rPr>
      </w:pPr>
    </w:p>
    <w:p w14:paraId="5AB97564" w14:textId="77777777" w:rsidR="00010EE8" w:rsidRPr="00010EE8" w:rsidRDefault="00010EE8" w:rsidP="00010EE8">
      <w:pPr>
        <w:jc w:val="both"/>
        <w:rPr>
          <w:rFonts w:asciiTheme="majorHAnsi" w:hAnsiTheme="majorHAnsi" w:cstheme="majorHAnsi"/>
          <w:sz w:val="20"/>
          <w:szCs w:val="20"/>
        </w:rPr>
      </w:pPr>
      <w:r w:rsidRPr="00010EE8">
        <w:rPr>
          <w:rFonts w:asciiTheme="majorHAnsi" w:hAnsiTheme="majorHAnsi" w:cstheme="majorHAnsi"/>
          <w:b/>
          <w:sz w:val="20"/>
          <w:szCs w:val="20"/>
        </w:rPr>
        <w:t>Based on 228 cases with known outcomes, we estimated that median time to recovery was 20·8 days (95% CI 20·1–21·5).</w:t>
      </w:r>
      <w:r w:rsidRPr="00010EE8">
        <w:rPr>
          <w:rFonts w:asciiTheme="majorHAnsi" w:hAnsiTheme="majorHAnsi" w:cstheme="majorHAnsi"/>
          <w:sz w:val="20"/>
          <w:szCs w:val="20"/>
        </w:rPr>
        <w:t xml:space="preserve"> We estimated that the median time to recovery was 22·4 days (95% CI 20·8–24·1) in individuals aged 50–59 years, and was estimated to be significantly shorter in younger adults (</w:t>
      </w:r>
      <w:proofErr w:type="spellStart"/>
      <w:r w:rsidRPr="00010EE8">
        <w:rPr>
          <w:rFonts w:asciiTheme="majorHAnsi" w:hAnsiTheme="majorHAnsi" w:cstheme="majorHAnsi"/>
          <w:sz w:val="20"/>
          <w:szCs w:val="20"/>
        </w:rPr>
        <w:t>eg</w:t>
      </w:r>
      <w:proofErr w:type="spellEnd"/>
      <w:r w:rsidRPr="00010EE8">
        <w:rPr>
          <w:rFonts w:asciiTheme="majorHAnsi" w:hAnsiTheme="majorHAnsi" w:cstheme="majorHAnsi"/>
          <w:sz w:val="20"/>
          <w:szCs w:val="20"/>
        </w:rPr>
        <w:t>, 19·2 days in individuals aged 20–29 years; appendix 2 pp 3, 10).</w:t>
      </w:r>
    </w:p>
    <w:p w14:paraId="7B71AC1E" w14:textId="1BFCCEFF" w:rsidR="00010EE8" w:rsidRDefault="00010EE8" w:rsidP="00010EE8">
      <w:pPr>
        <w:jc w:val="both"/>
        <w:rPr>
          <w:rFonts w:asciiTheme="majorHAnsi" w:hAnsiTheme="majorHAnsi" w:cstheme="majorHAnsi"/>
          <w:b/>
          <w:sz w:val="20"/>
          <w:szCs w:val="20"/>
        </w:rPr>
      </w:pPr>
    </w:p>
    <w:p w14:paraId="67A45C29" w14:textId="77777777" w:rsidR="00010EE8" w:rsidRPr="00010EE8" w:rsidRDefault="00010EE8" w:rsidP="00010EE8">
      <w:pPr>
        <w:jc w:val="both"/>
        <w:rPr>
          <w:rFonts w:asciiTheme="majorHAnsi" w:hAnsiTheme="majorHAnsi" w:cstheme="majorHAnsi"/>
          <w:sz w:val="20"/>
          <w:szCs w:val="20"/>
        </w:rPr>
      </w:pPr>
      <w:r w:rsidRPr="00010EE8">
        <w:rPr>
          <w:rFonts w:asciiTheme="majorHAnsi" w:hAnsiTheme="majorHAnsi" w:cstheme="majorHAnsi"/>
          <w:b/>
          <w:sz w:val="20"/>
          <w:szCs w:val="20"/>
        </w:rPr>
        <w:t>Compared to cases with mild symptoms, those with severe symptoms had a 41% (95% CI 24–60) longer time to recovery</w:t>
      </w:r>
      <w:r w:rsidRPr="00010EE8">
        <w:rPr>
          <w:rFonts w:asciiTheme="majorHAnsi" w:hAnsiTheme="majorHAnsi" w:cstheme="majorHAnsi"/>
          <w:sz w:val="20"/>
          <w:szCs w:val="20"/>
        </w:rPr>
        <w:t xml:space="preserve"> (appendix 2 p 3). As of Feb 22, 2020, three cases had died. These deaths occurred 35–44 days from symptom onset and 27–33 days from confirmation</w:t>
      </w:r>
    </w:p>
    <w:p w14:paraId="4C9DDB16" w14:textId="77777777" w:rsidR="00010EE8" w:rsidRPr="00010EE8" w:rsidRDefault="00010EE8" w:rsidP="00010EE8">
      <w:pPr>
        <w:jc w:val="both"/>
        <w:rPr>
          <w:rFonts w:asciiTheme="majorHAnsi" w:hAnsiTheme="majorHAnsi" w:cstheme="majorHAnsi"/>
          <w:b/>
          <w:sz w:val="20"/>
          <w:szCs w:val="20"/>
        </w:rPr>
      </w:pPr>
    </w:p>
    <w:p w14:paraId="78E1AC77" w14:textId="7CC37C61" w:rsidR="00010EE8" w:rsidRDefault="00D14906" w:rsidP="00CD75AF">
      <w:pPr>
        <w:jc w:val="both"/>
        <w:rPr>
          <w:rFonts w:asciiTheme="majorHAnsi" w:hAnsiTheme="majorHAnsi" w:cstheme="majorHAnsi"/>
          <w:b/>
          <w:sz w:val="20"/>
          <w:szCs w:val="20"/>
        </w:rPr>
      </w:pPr>
      <w:r>
        <w:rPr>
          <w:rFonts w:asciiTheme="majorHAnsi" w:hAnsiTheme="majorHAnsi" w:cstheme="majorHAnsi"/>
          <w:b/>
          <w:sz w:val="20"/>
          <w:szCs w:val="20"/>
        </w:rPr>
        <w:t>7.</w:t>
      </w:r>
      <w:r w:rsidR="00DD02FC">
        <w:rPr>
          <w:rFonts w:asciiTheme="majorHAnsi" w:hAnsiTheme="majorHAnsi" w:cstheme="majorHAnsi"/>
          <w:b/>
          <w:sz w:val="20"/>
          <w:szCs w:val="20"/>
        </w:rPr>
        <w:t xml:space="preserve"> </w:t>
      </w:r>
      <w:r>
        <w:rPr>
          <w:rFonts w:asciiTheme="majorHAnsi" w:hAnsiTheme="majorHAnsi" w:cstheme="majorHAnsi"/>
          <w:b/>
          <w:sz w:val="20"/>
          <w:szCs w:val="20"/>
        </w:rPr>
        <w:t xml:space="preserve"> </w:t>
      </w:r>
      <w:r w:rsidR="00DD02FC">
        <w:rPr>
          <w:rFonts w:asciiTheme="majorHAnsi" w:hAnsiTheme="majorHAnsi" w:cstheme="majorHAnsi"/>
          <w:b/>
          <w:sz w:val="20"/>
          <w:szCs w:val="20"/>
        </w:rPr>
        <w:t>RICHARDSON S (2000) USA 5700 patients</w:t>
      </w:r>
    </w:p>
    <w:p w14:paraId="38A5022D" w14:textId="2D515C27" w:rsidR="00DD02FC" w:rsidRDefault="00DD02FC" w:rsidP="00CD75AF">
      <w:pPr>
        <w:jc w:val="both"/>
        <w:rPr>
          <w:rFonts w:asciiTheme="majorHAnsi" w:hAnsiTheme="majorHAnsi" w:cstheme="majorHAnsi"/>
          <w:b/>
          <w:sz w:val="20"/>
          <w:szCs w:val="20"/>
        </w:rPr>
      </w:pPr>
    </w:p>
    <w:p w14:paraId="47794547" w14:textId="77777777" w:rsidR="00DD02FC" w:rsidRPr="00DD02FC" w:rsidRDefault="00DD02FC" w:rsidP="00DD02FC">
      <w:pPr>
        <w:rPr>
          <w:rFonts w:ascii="Times New Roman" w:eastAsia="Times New Roman" w:hAnsi="Times New Roman" w:cs="Times New Roman"/>
        </w:rPr>
      </w:pPr>
      <w:hyperlink r:id="rId17" w:history="1">
        <w:r w:rsidRPr="00DD02FC">
          <w:rPr>
            <w:rFonts w:ascii="Times New Roman" w:eastAsia="Times New Roman" w:hAnsi="Times New Roman" w:cs="Times New Roman"/>
            <w:color w:val="0000FF"/>
            <w:u w:val="single"/>
          </w:rPr>
          <w:t>https://jamanetwork.com/journals/jama/fullarticle/2765184</w:t>
        </w:r>
      </w:hyperlink>
    </w:p>
    <w:p w14:paraId="25491BE9" w14:textId="77777777" w:rsidR="00DD02FC" w:rsidRDefault="00DD02FC" w:rsidP="00CD75AF">
      <w:pPr>
        <w:jc w:val="both"/>
        <w:rPr>
          <w:rFonts w:asciiTheme="majorHAnsi" w:hAnsiTheme="majorHAnsi" w:cstheme="majorHAnsi"/>
          <w:b/>
          <w:sz w:val="20"/>
          <w:szCs w:val="20"/>
        </w:rPr>
      </w:pPr>
    </w:p>
    <w:p w14:paraId="74079DD0" w14:textId="633E3AFB" w:rsidR="00DD02FC" w:rsidRDefault="00DD02FC" w:rsidP="00CD75AF">
      <w:pPr>
        <w:jc w:val="both"/>
        <w:rPr>
          <w:rFonts w:asciiTheme="majorHAnsi" w:hAnsiTheme="majorHAnsi" w:cstheme="majorHAnsi"/>
          <w:sz w:val="20"/>
          <w:szCs w:val="20"/>
        </w:rPr>
      </w:pPr>
    </w:p>
    <w:p w14:paraId="6569AA4A" w14:textId="7287960A" w:rsidR="00DD02FC" w:rsidRDefault="00DD02FC" w:rsidP="00CD75AF">
      <w:pPr>
        <w:jc w:val="both"/>
        <w:rPr>
          <w:rFonts w:asciiTheme="majorHAnsi" w:hAnsiTheme="majorHAnsi" w:cstheme="majorHAnsi"/>
          <w:sz w:val="20"/>
          <w:szCs w:val="20"/>
        </w:rPr>
      </w:pPr>
      <w:r>
        <w:rPr>
          <w:rFonts w:asciiTheme="majorHAnsi" w:hAnsiTheme="majorHAnsi" w:cstheme="majorHAnsi"/>
          <w:noProof/>
          <w:sz w:val="20"/>
          <w:szCs w:val="20"/>
        </w:rPr>
        <w:drawing>
          <wp:inline distT="0" distB="0" distL="0" distR="0" wp14:anchorId="7A204204" wp14:editId="7940D993">
            <wp:extent cx="5727700" cy="53962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29 at 13.44.28.png"/>
                    <pic:cNvPicPr/>
                  </pic:nvPicPr>
                  <pic:blipFill>
                    <a:blip r:embed="rId18">
                      <a:extLst>
                        <a:ext uri="{28A0092B-C50C-407E-A947-70E740481C1C}">
                          <a14:useLocalDpi xmlns:a14="http://schemas.microsoft.com/office/drawing/2010/main" val="0"/>
                        </a:ext>
                      </a:extLst>
                    </a:blip>
                    <a:stretch>
                      <a:fillRect/>
                    </a:stretch>
                  </pic:blipFill>
                  <pic:spPr>
                    <a:xfrm>
                      <a:off x="0" y="0"/>
                      <a:ext cx="5727700" cy="5396230"/>
                    </a:xfrm>
                    <a:prstGeom prst="rect">
                      <a:avLst/>
                    </a:prstGeom>
                  </pic:spPr>
                </pic:pic>
              </a:graphicData>
            </a:graphic>
          </wp:inline>
        </w:drawing>
      </w:r>
    </w:p>
    <w:p w14:paraId="5693E0C3" w14:textId="078DA071" w:rsidR="00DD02FC" w:rsidRDefault="00DD02FC" w:rsidP="00CD75AF">
      <w:pPr>
        <w:jc w:val="both"/>
        <w:rPr>
          <w:rFonts w:asciiTheme="majorHAnsi" w:hAnsiTheme="majorHAnsi" w:cstheme="majorHAnsi"/>
          <w:sz w:val="20"/>
          <w:szCs w:val="20"/>
        </w:rPr>
      </w:pPr>
    </w:p>
    <w:p w14:paraId="5F50CD77" w14:textId="3EA70057" w:rsidR="00DD02FC" w:rsidRPr="00CD75AF" w:rsidRDefault="00DD02FC" w:rsidP="00CD75AF">
      <w:pPr>
        <w:jc w:val="both"/>
        <w:rPr>
          <w:rFonts w:asciiTheme="majorHAnsi" w:hAnsiTheme="majorHAnsi" w:cstheme="majorHAnsi"/>
          <w:sz w:val="20"/>
          <w:szCs w:val="20"/>
        </w:rPr>
      </w:pPr>
    </w:p>
    <w:sectPr w:rsidR="00DD02FC" w:rsidRPr="00CD75AF" w:rsidSect="007B10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640"/>
    <w:rsid w:val="00010EE8"/>
    <w:rsid w:val="0018022C"/>
    <w:rsid w:val="00446194"/>
    <w:rsid w:val="004D08AB"/>
    <w:rsid w:val="004E1640"/>
    <w:rsid w:val="007B1098"/>
    <w:rsid w:val="00AC44E7"/>
    <w:rsid w:val="00B524AF"/>
    <w:rsid w:val="00CD75AF"/>
    <w:rsid w:val="00D14906"/>
    <w:rsid w:val="00DD02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1674547"/>
  <w15:chartTrackingRefBased/>
  <w15:docId w15:val="{F1527A24-6141-C74A-BF36-469DB1F0B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75AF"/>
    <w:rPr>
      <w:color w:val="0000FF"/>
      <w:u w:val="single"/>
    </w:rPr>
  </w:style>
  <w:style w:type="character" w:styleId="UnresolvedMention">
    <w:name w:val="Unresolved Mention"/>
    <w:basedOn w:val="DefaultParagraphFont"/>
    <w:uiPriority w:val="99"/>
    <w:semiHidden/>
    <w:unhideWhenUsed/>
    <w:rsid w:val="00CD75AF"/>
    <w:rPr>
      <w:color w:val="605E5C"/>
      <w:shd w:val="clear" w:color="auto" w:fill="E1DFDD"/>
    </w:rPr>
  </w:style>
  <w:style w:type="character" w:customStyle="1" w:styleId="holder">
    <w:name w:val="holder"/>
    <w:basedOn w:val="DefaultParagraphFont"/>
    <w:rsid w:val="00CD75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52414">
      <w:bodyDiv w:val="1"/>
      <w:marLeft w:val="0"/>
      <w:marRight w:val="0"/>
      <w:marTop w:val="0"/>
      <w:marBottom w:val="0"/>
      <w:divBdr>
        <w:top w:val="none" w:sz="0" w:space="0" w:color="auto"/>
        <w:left w:val="none" w:sz="0" w:space="0" w:color="auto"/>
        <w:bottom w:val="none" w:sz="0" w:space="0" w:color="auto"/>
        <w:right w:val="none" w:sz="0" w:space="0" w:color="auto"/>
      </w:divBdr>
    </w:div>
    <w:div w:id="305166360">
      <w:bodyDiv w:val="1"/>
      <w:marLeft w:val="0"/>
      <w:marRight w:val="0"/>
      <w:marTop w:val="0"/>
      <w:marBottom w:val="0"/>
      <w:divBdr>
        <w:top w:val="none" w:sz="0" w:space="0" w:color="auto"/>
        <w:left w:val="none" w:sz="0" w:space="0" w:color="auto"/>
        <w:bottom w:val="none" w:sz="0" w:space="0" w:color="auto"/>
        <w:right w:val="none" w:sz="0" w:space="0" w:color="auto"/>
      </w:divBdr>
    </w:div>
    <w:div w:id="334309188">
      <w:bodyDiv w:val="1"/>
      <w:marLeft w:val="0"/>
      <w:marRight w:val="0"/>
      <w:marTop w:val="0"/>
      <w:marBottom w:val="0"/>
      <w:divBdr>
        <w:top w:val="none" w:sz="0" w:space="0" w:color="auto"/>
        <w:left w:val="none" w:sz="0" w:space="0" w:color="auto"/>
        <w:bottom w:val="none" w:sz="0" w:space="0" w:color="auto"/>
        <w:right w:val="none" w:sz="0" w:space="0" w:color="auto"/>
      </w:divBdr>
    </w:div>
    <w:div w:id="341126315">
      <w:bodyDiv w:val="1"/>
      <w:marLeft w:val="0"/>
      <w:marRight w:val="0"/>
      <w:marTop w:val="0"/>
      <w:marBottom w:val="0"/>
      <w:divBdr>
        <w:top w:val="none" w:sz="0" w:space="0" w:color="auto"/>
        <w:left w:val="none" w:sz="0" w:space="0" w:color="auto"/>
        <w:bottom w:val="none" w:sz="0" w:space="0" w:color="auto"/>
        <w:right w:val="none" w:sz="0" w:space="0" w:color="auto"/>
      </w:divBdr>
    </w:div>
    <w:div w:id="434054874">
      <w:bodyDiv w:val="1"/>
      <w:marLeft w:val="0"/>
      <w:marRight w:val="0"/>
      <w:marTop w:val="0"/>
      <w:marBottom w:val="0"/>
      <w:divBdr>
        <w:top w:val="none" w:sz="0" w:space="0" w:color="auto"/>
        <w:left w:val="none" w:sz="0" w:space="0" w:color="auto"/>
        <w:bottom w:val="none" w:sz="0" w:space="0" w:color="auto"/>
        <w:right w:val="none" w:sz="0" w:space="0" w:color="auto"/>
      </w:divBdr>
    </w:div>
    <w:div w:id="660157377">
      <w:bodyDiv w:val="1"/>
      <w:marLeft w:val="0"/>
      <w:marRight w:val="0"/>
      <w:marTop w:val="0"/>
      <w:marBottom w:val="0"/>
      <w:divBdr>
        <w:top w:val="none" w:sz="0" w:space="0" w:color="auto"/>
        <w:left w:val="none" w:sz="0" w:space="0" w:color="auto"/>
        <w:bottom w:val="none" w:sz="0" w:space="0" w:color="auto"/>
        <w:right w:val="none" w:sz="0" w:space="0" w:color="auto"/>
      </w:divBdr>
    </w:div>
    <w:div w:id="841238810">
      <w:bodyDiv w:val="1"/>
      <w:marLeft w:val="0"/>
      <w:marRight w:val="0"/>
      <w:marTop w:val="0"/>
      <w:marBottom w:val="0"/>
      <w:divBdr>
        <w:top w:val="none" w:sz="0" w:space="0" w:color="auto"/>
        <w:left w:val="none" w:sz="0" w:space="0" w:color="auto"/>
        <w:bottom w:val="none" w:sz="0" w:space="0" w:color="auto"/>
        <w:right w:val="none" w:sz="0" w:space="0" w:color="auto"/>
      </w:divBdr>
    </w:div>
    <w:div w:id="983654838">
      <w:bodyDiv w:val="1"/>
      <w:marLeft w:val="0"/>
      <w:marRight w:val="0"/>
      <w:marTop w:val="0"/>
      <w:marBottom w:val="0"/>
      <w:divBdr>
        <w:top w:val="none" w:sz="0" w:space="0" w:color="auto"/>
        <w:left w:val="none" w:sz="0" w:space="0" w:color="auto"/>
        <w:bottom w:val="none" w:sz="0" w:space="0" w:color="auto"/>
        <w:right w:val="none" w:sz="0" w:space="0" w:color="auto"/>
      </w:divBdr>
    </w:div>
    <w:div w:id="1028482496">
      <w:bodyDiv w:val="1"/>
      <w:marLeft w:val="0"/>
      <w:marRight w:val="0"/>
      <w:marTop w:val="0"/>
      <w:marBottom w:val="0"/>
      <w:divBdr>
        <w:top w:val="none" w:sz="0" w:space="0" w:color="auto"/>
        <w:left w:val="none" w:sz="0" w:space="0" w:color="auto"/>
        <w:bottom w:val="none" w:sz="0" w:space="0" w:color="auto"/>
        <w:right w:val="none" w:sz="0" w:space="0" w:color="auto"/>
      </w:divBdr>
    </w:div>
    <w:div w:id="1092773421">
      <w:bodyDiv w:val="1"/>
      <w:marLeft w:val="0"/>
      <w:marRight w:val="0"/>
      <w:marTop w:val="0"/>
      <w:marBottom w:val="0"/>
      <w:divBdr>
        <w:top w:val="none" w:sz="0" w:space="0" w:color="auto"/>
        <w:left w:val="none" w:sz="0" w:space="0" w:color="auto"/>
        <w:bottom w:val="none" w:sz="0" w:space="0" w:color="auto"/>
        <w:right w:val="none" w:sz="0" w:space="0" w:color="auto"/>
      </w:divBdr>
    </w:div>
    <w:div w:id="1313755929">
      <w:bodyDiv w:val="1"/>
      <w:marLeft w:val="0"/>
      <w:marRight w:val="0"/>
      <w:marTop w:val="0"/>
      <w:marBottom w:val="0"/>
      <w:divBdr>
        <w:top w:val="none" w:sz="0" w:space="0" w:color="auto"/>
        <w:left w:val="none" w:sz="0" w:space="0" w:color="auto"/>
        <w:bottom w:val="none" w:sz="0" w:space="0" w:color="auto"/>
        <w:right w:val="none" w:sz="0" w:space="0" w:color="auto"/>
      </w:divBdr>
    </w:div>
    <w:div w:id="1462576848">
      <w:bodyDiv w:val="1"/>
      <w:marLeft w:val="0"/>
      <w:marRight w:val="0"/>
      <w:marTop w:val="0"/>
      <w:marBottom w:val="0"/>
      <w:divBdr>
        <w:top w:val="none" w:sz="0" w:space="0" w:color="auto"/>
        <w:left w:val="none" w:sz="0" w:space="0" w:color="auto"/>
        <w:bottom w:val="none" w:sz="0" w:space="0" w:color="auto"/>
        <w:right w:val="none" w:sz="0" w:space="0" w:color="auto"/>
      </w:divBdr>
    </w:div>
    <w:div w:id="1469056058">
      <w:bodyDiv w:val="1"/>
      <w:marLeft w:val="0"/>
      <w:marRight w:val="0"/>
      <w:marTop w:val="0"/>
      <w:marBottom w:val="0"/>
      <w:divBdr>
        <w:top w:val="none" w:sz="0" w:space="0" w:color="auto"/>
        <w:left w:val="none" w:sz="0" w:space="0" w:color="auto"/>
        <w:bottom w:val="none" w:sz="0" w:space="0" w:color="auto"/>
        <w:right w:val="none" w:sz="0" w:space="0" w:color="auto"/>
      </w:divBdr>
    </w:div>
    <w:div w:id="1604875009">
      <w:bodyDiv w:val="1"/>
      <w:marLeft w:val="0"/>
      <w:marRight w:val="0"/>
      <w:marTop w:val="0"/>
      <w:marBottom w:val="0"/>
      <w:divBdr>
        <w:top w:val="none" w:sz="0" w:space="0" w:color="auto"/>
        <w:left w:val="none" w:sz="0" w:space="0" w:color="auto"/>
        <w:bottom w:val="none" w:sz="0" w:space="0" w:color="auto"/>
        <w:right w:val="none" w:sz="0" w:space="0" w:color="auto"/>
      </w:divBdr>
    </w:div>
    <w:div w:id="1614357162">
      <w:bodyDiv w:val="1"/>
      <w:marLeft w:val="0"/>
      <w:marRight w:val="0"/>
      <w:marTop w:val="0"/>
      <w:marBottom w:val="0"/>
      <w:divBdr>
        <w:top w:val="none" w:sz="0" w:space="0" w:color="auto"/>
        <w:left w:val="none" w:sz="0" w:space="0" w:color="auto"/>
        <w:bottom w:val="none" w:sz="0" w:space="0" w:color="auto"/>
        <w:right w:val="none" w:sz="0" w:space="0" w:color="auto"/>
      </w:divBdr>
    </w:div>
    <w:div w:id="1749418831">
      <w:bodyDiv w:val="1"/>
      <w:marLeft w:val="0"/>
      <w:marRight w:val="0"/>
      <w:marTop w:val="0"/>
      <w:marBottom w:val="0"/>
      <w:divBdr>
        <w:top w:val="none" w:sz="0" w:space="0" w:color="auto"/>
        <w:left w:val="none" w:sz="0" w:space="0" w:color="auto"/>
        <w:bottom w:val="none" w:sz="0" w:space="0" w:color="auto"/>
        <w:right w:val="none" w:sz="0" w:space="0" w:color="auto"/>
      </w:divBdr>
    </w:div>
    <w:div w:id="1750614574">
      <w:bodyDiv w:val="1"/>
      <w:marLeft w:val="0"/>
      <w:marRight w:val="0"/>
      <w:marTop w:val="0"/>
      <w:marBottom w:val="0"/>
      <w:divBdr>
        <w:top w:val="none" w:sz="0" w:space="0" w:color="auto"/>
        <w:left w:val="none" w:sz="0" w:space="0" w:color="auto"/>
        <w:bottom w:val="none" w:sz="0" w:space="0" w:color="auto"/>
        <w:right w:val="none" w:sz="0" w:space="0" w:color="auto"/>
      </w:divBdr>
    </w:div>
    <w:div w:id="1787773369">
      <w:bodyDiv w:val="1"/>
      <w:marLeft w:val="0"/>
      <w:marRight w:val="0"/>
      <w:marTop w:val="0"/>
      <w:marBottom w:val="0"/>
      <w:divBdr>
        <w:top w:val="none" w:sz="0" w:space="0" w:color="auto"/>
        <w:left w:val="none" w:sz="0" w:space="0" w:color="auto"/>
        <w:bottom w:val="none" w:sz="0" w:space="0" w:color="auto"/>
        <w:right w:val="none" w:sz="0" w:space="0" w:color="auto"/>
      </w:divBdr>
    </w:div>
    <w:div w:id="1818304251">
      <w:bodyDiv w:val="1"/>
      <w:marLeft w:val="0"/>
      <w:marRight w:val="0"/>
      <w:marTop w:val="0"/>
      <w:marBottom w:val="0"/>
      <w:divBdr>
        <w:top w:val="none" w:sz="0" w:space="0" w:color="auto"/>
        <w:left w:val="none" w:sz="0" w:space="0" w:color="auto"/>
        <w:bottom w:val="none" w:sz="0" w:space="0" w:color="auto"/>
        <w:right w:val="none" w:sz="0" w:space="0" w:color="auto"/>
      </w:divBdr>
    </w:div>
    <w:div w:id="1866093852">
      <w:bodyDiv w:val="1"/>
      <w:marLeft w:val="0"/>
      <w:marRight w:val="0"/>
      <w:marTop w:val="0"/>
      <w:marBottom w:val="0"/>
      <w:divBdr>
        <w:top w:val="none" w:sz="0" w:space="0" w:color="auto"/>
        <w:left w:val="none" w:sz="0" w:space="0" w:color="auto"/>
        <w:bottom w:val="none" w:sz="0" w:space="0" w:color="auto"/>
        <w:right w:val="none" w:sz="0" w:space="0" w:color="auto"/>
      </w:divBdr>
    </w:div>
    <w:div w:id="200836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mj.com/content/bmj/368/bmj.m1091.full.pdf" TargetMode="External"/><Relationship Id="rId13" Type="http://schemas.openxmlformats.org/officeDocument/2006/relationships/hyperlink" Target="https://www.nejm.org/doi/full/10.1056/NEJMoa2001316" TargetMode="External"/><Relationship Id="rId1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nejm.org/doi/full/10.1056/NEJMoa2001316" TargetMode="External"/><Relationship Id="rId17" Type="http://schemas.openxmlformats.org/officeDocument/2006/relationships/hyperlink" Target="https://jamanetwork.com/journals/jama/fullarticle/2765184" TargetMode="External"/><Relationship Id="rId2" Type="http://schemas.openxmlformats.org/officeDocument/2006/relationships/settings" Target="settings.xml"/><Relationship Id="rId16" Type="http://schemas.openxmlformats.org/officeDocument/2006/relationships/hyperlink" Target="https://www.thelancet.com/action/showPdf?pii=S1473-3099%2820%2930287-5"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nejm.org/doi/full/10.1056/NEJMoa2001316" TargetMode="External"/><Relationship Id="rId5" Type="http://schemas.openxmlformats.org/officeDocument/2006/relationships/hyperlink" Target="https://jamanetwork.com/journals/jama/fullarticle/2761044" TargetMode="External"/><Relationship Id="rId15" Type="http://schemas.openxmlformats.org/officeDocument/2006/relationships/hyperlink" Target="https://www.nejm.org/doi/full/10.1056/NEJMoa2001316" TargetMode="External"/><Relationship Id="rId10" Type="http://schemas.openxmlformats.org/officeDocument/2006/relationships/hyperlink" Target="https://www.nejm.org/doi/full/10.1056/NEJMoa2002032" TargetMode="External"/><Relationship Id="rId19" Type="http://schemas.openxmlformats.org/officeDocument/2006/relationships/fontTable" Target="fontTable.xml"/><Relationship Id="rId4" Type="http://schemas.openxmlformats.org/officeDocument/2006/relationships/hyperlink" Target="https://www.nejm.org/doi/full/10.1056/NEJMoa2002032" TargetMode="External"/><Relationship Id="rId9" Type="http://schemas.openxmlformats.org/officeDocument/2006/relationships/image" Target="media/image3.png"/><Relationship Id="rId14" Type="http://schemas.openxmlformats.org/officeDocument/2006/relationships/hyperlink" Target="https://www.nejm.org/doi/full/10.1056/NEJMoa20013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2020-04-29T10:37:00Z</dcterms:created>
  <dcterms:modified xsi:type="dcterms:W3CDTF">2020-04-29T13:30:00Z</dcterms:modified>
</cp:coreProperties>
</file>