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MATTHEW BROWN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>Nashville, TN  |  matthewbrown.tn@gmail.com  |  linkedin.com/in/matthew-brown-tn</w:t>
      </w:r>
    </w:p>
    <w:p>
      <w:pPr>
        <w:pBdr>
          <w:bottom w:val="single" w:color="333333" w:sz="6" w:space="2"/>
        </w:pBdr>
        <w:spacing w:after="40" w:before="11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Summary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Implementation and customer success leader with 8 years across enterprise SaaS onboarding, account management, and operations architecture. Most recently took a field management platform (Fieldwire) from an unused license to the system of record for a commercial subcontractor — 1,000+ tracked work units, verification gates, and a field reporting cadence — then productized the method for outside clients. Repeatable pattern: enter an ambiguous environment, build the structure the platform is missing, and drive adoption at the field level, where it usually dies.</w:t>
      </w:r>
    </w:p>
    <w:p>
      <w:pPr>
        <w:pBdr>
          <w:bottom w:val="single" w:color="333333" w:sz="6" w:space="2"/>
        </w:pBdr>
        <w:spacing w:after="40" w:before="11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Manager</w:t>
      </w:r>
      <w:r>
        <w:rPr>
          <w:rFonts w:ascii="Calibri" w:cs="Calibri" w:eastAsia="Calibri" w:hAnsi="Calibri"/>
          <w:sz w:val="20"/>
          <w:szCs w:val="20"/>
        </w:rPr>
        <w:t xml:space="preserve"> | Haven Door Installation — Nashville, TN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2024 – Present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Implemented Fieldwire (Hilti) from an unused license to the operational system of record across multiple concurrent commercial projects — 1,000+ tracked openings with opening-level tasks, hardware checklists, and status reporting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Built automated submittal-to-task tooling that converts a supplier hardware schedule into import-ready project data, cutting per-package setup from a full day of manual formatting to minutes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Designed receiving and closeout QA/QC gates and a client-facing Build Brief (reconciliation counts, reviewer changes, holds with owners, deployment steps); the verification discipline caught ~$7,500 in false shortage claims before they became reorders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Drove field adoption through daily reporting, weekly stakeholder updates, and escalation workflows across field crews, suppliers, and GC teams — diagnosed coordination, not labor, as the primary bottleneck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>Ran the subcontractor side of the money on a 3,100-opening mixed-use project — rebuilt the quote line by line against reissued hardware schedules, flagged items still needing a rate and a six-figure contract-value discrepancy in the GC's portal before enrollment; captured $15K+ in change-order and T&amp;M revenue on a separate project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Fieldwire Implementation</w:t>
      </w:r>
      <w:r>
        <w:rPr>
          <w:rFonts w:ascii="Calibri" w:cs="Calibri" w:eastAsia="Calibri" w:hAnsi="Calibri"/>
          <w:sz w:val="20"/>
          <w:szCs w:val="20"/>
        </w:rPr>
        <w:t xml:space="preserve"> | Nashville, TN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2026 – Present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Productized the Haven methodology into a fixed-fee implementation offering — reusable Build Brief deliverable, automated submittal tooling, sanitized demo project — and scoped engagements for two referred contractors (door &amp; hardware; architectural millwork)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On a 209-opening school project, reconciled the hardware submittal against the client's Fieldwire and surfaced 10 unpinned openings and a dozen reviewer changes that had never reached the field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 Manager</w:t>
      </w:r>
      <w:r>
        <w:rPr>
          <w:rFonts w:ascii="Calibri" w:cs="Calibri" w:eastAsia="Calibri" w:hAnsi="Calibri"/>
          <w:sz w:val="20"/>
          <w:szCs w:val="20"/>
        </w:rPr>
        <w:t xml:space="preserve"> | FreightPOP —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Apr 2024 – Nov 2024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Owned a $1M ARR portfolio of 50–100 mid-market clients focused on platform optimization and retention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Renewed a high-risk account by rebuilding trust and demonstrating measurable value; closed a $90K expansion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Supported a 90%+ renewal rate through proactive customer management and cross-functional collaboration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Success Manager</w:t>
      </w:r>
      <w:r>
        <w:rPr>
          <w:rFonts w:ascii="Calibri" w:cs="Calibri" w:eastAsia="Calibri" w:hAnsi="Calibri"/>
          <w:sz w:val="20"/>
          <w:szCs w:val="20"/>
        </w:rPr>
        <w:t xml:space="preserve"> | AutoRABIT —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2022 – Apr 2024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Led onboarding and strategic success planning for enterprise DevOps and compliance accounts, tying implementation milestones to renewal outcomes (93% renewal rate)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Managed a $2M ARR portfolio of 30–40 enterprise accounts, driving adoption and ROI; secured a $50K expansion by aligning product capabilities with evolving customer goals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Facilitated QBRs for executive alignment; resolved escalations with 95%+ SLA adherence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Customer Success Manager</w:t>
      </w:r>
      <w:r>
        <w:rPr>
          <w:rFonts w:ascii="Calibri" w:cs="Calibri" w:eastAsia="Calibri" w:hAnsi="Calibri"/>
          <w:sz w:val="20"/>
          <w:szCs w:val="20"/>
        </w:rPr>
        <w:t xml:space="preserve"> | Valenz Bluebook (formerly Healthcare Bluebook)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Oct 2020 – Jul 2022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 xml:space="preserve">Led implementation and adoption for new customers on a healthcare cost-transparency SaaS platform; increased user engagement 20% through training and targeted outreach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Freight Broker</w:t>
      </w:r>
      <w:r>
        <w:rPr>
          <w:rFonts w:ascii="Calibri" w:cs="Calibri" w:eastAsia="Calibri" w:hAnsi="Calibri"/>
          <w:sz w:val="20"/>
          <w:szCs w:val="20"/>
        </w:rPr>
        <w:t xml:space="preserve"> | Longship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Jan 2020 – Oct 2020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>High-volume outbound prospecting; negotiated and booked freight on a live load board; coordinated carriers and shippers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Technology Advisor</w:t>
      </w:r>
      <w:r>
        <w:rPr>
          <w:rFonts w:ascii="Calibri" w:cs="Calibri" w:eastAsia="Calibri" w:hAnsi="Calibri"/>
          <w:sz w:val="20"/>
          <w:szCs w:val="20"/>
        </w:rPr>
        <w:t xml:space="preserve"> | Novatech — Nashville, TN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2018 – Nov 2019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20"/>
          <w:szCs w:val="20"/>
        </w:rPr>
        <w:t>Outside B2B technology sales, deals $10K–$50K; company-wide incentive trip in first year; Salesforce pipeline management</w:t>
      </w:r>
    </w:p>
    <w:p>
      <w:pPr>
        <w:pBdr>
          <w:bottom w:val="single" w:color="333333" w:sz="6" w:space="2"/>
        </w:pBdr>
        <w:spacing w:after="40" w:before="11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B.S., Multidisciplinary Studies — Tennessee State University, 2017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NCAA Division I Men's Tennis — competed at the No. 1 position in the team lineup</w:t>
      </w:r>
    </w:p>
    <w:p>
      <w:pPr>
        <w:spacing w:after="40" w:line="252"/>
      </w:pPr>
      <w:r>
        <w:rPr>
          <w:rFonts w:ascii="Calibri" w:cs="Calibri" w:eastAsia="Calibri" w:hAnsi="Calibri"/>
          <w:sz w:val="19"/>
          <w:szCs w:val="19"/>
        </w:rPr>
        <w:t>Volunteer — Aerial Recovery Group, Nashville, 2023–2024: three tiers of disaster-response training; local Middle Tennessee deployments</w:t>
      </w:r>
    </w:p>
    <w:p>
      <w:pPr>
        <w:pBdr>
          <w:bottom w:val="single" w:color="333333" w:sz="6" w:space="2"/>
        </w:pBdr>
        <w:spacing w:after="40" w:before="11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Skills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>Implementation &amp; Onboarding  ·  Workflow Design &amp; Platform Configuration  ·  Field Adoption &amp; Change Management  ·  Construction Financial Workflows (T&amp;M, change orders, quote revisions)  ·  QA/QC Gates  ·  Customer Success &amp; Renewals  ·  Escalation Management  ·  Fieldwire  ·  Salesforce  ·  Submittal-to-Import Automation</w:t>
      </w:r>
    </w:p>
    <w:sectPr>
      <w:pgSz w:w="12240" w:h="15840" w:orient="portrait"/>
      <w:pgMar w:top="600" w:right="760" w:bottom="5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2026-09-25T22:33:49.202Z</dcterms:created>
  <dcterms:modified xsi:type="dcterms:W3CDTF">2026-09-25T22:33:49.211Z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