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MATTHEW BROWN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19"/>
          <w:szCs w:val="19"/>
        </w:rPr>
        <w:t>Nashville, TN  |  matthewbrown.tn@gmail.com  |  linkedin.com/in/matthew-brown-tn</w:t>
      </w:r>
    </w:p>
    <w:p>
      <w:pPr>
        <w:pBdr>
          <w:bottom w:val="single" w:color="333333" w:sz="6" w:space="2"/>
        </w:pBdr>
        <w:spacing w:after="40" w:before="110"/>
      </w:pPr>
      <w:r>
        <w:rPr>
          <w:rFonts w:ascii="Calibri" w:cs="Calibri" w:eastAsia="Calibri" w:hAnsi="Calibri"/>
          <w:b/>
          <w:bCs/>
          <w:caps/>
          <w:sz w:val="21"/>
          <w:szCs w:val="21"/>
        </w:rPr>
        <w:t xml:space="preserve">Summary</w:t>
      </w:r>
    </w:p>
    <w:p>
      <w:pPr>
        <w:spacing w:after="40" w:line="252"/>
      </w:pPr>
      <w:r>
        <w:rPr>
          <w:rFonts w:ascii="Calibri" w:cs="Calibri" w:eastAsia="Calibri" w:hAnsi="Calibri"/>
          <w:sz w:val="20"/>
          <w:szCs w:val="20"/>
        </w:rPr>
        <w:t>Implementation and customer success leader with 8 years across B2B sales, SaaS customer success and onboarding, and operations. Most recently took a field management platform (Fieldwire) from an unused license to the system of record for a commercial subcontractor — 1,000+ tracked work units, verification gates, and a field reporting cadence — then productized the method for outside contractors. Repeatable pattern: enter an ambiguous environment, build the structure the platform is missing, and drive adoption at the field level, where it usually dies.</w:t>
      </w:r>
    </w:p>
    <w:p>
      <w:pPr>
        <w:pBdr>
          <w:bottom w:val="single" w:color="333333" w:sz="6" w:space="2"/>
        </w:pBdr>
        <w:spacing w:after="40" w:before="110"/>
      </w:pPr>
      <w:r>
        <w:rPr>
          <w:rFonts w:ascii="Calibri" w:cs="Calibri" w:eastAsia="Calibri" w:hAnsi="Calibri"/>
          <w:b/>
          <w:bCs/>
          <w:caps/>
          <w:sz w:val="21"/>
          <w:szCs w:val="21"/>
        </w:rPr>
        <w:t xml:space="preserve">Experience</w:t>
      </w:r>
    </w:p>
    <w:p>
      <w:pPr>
        <w:tabs>
          <w:tab w:val="right" w:pos="9026"/>
        </w:tabs>
        <w:spacing w:after="10" w:before="7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Project Manager</w:t>
      </w:r>
      <w:r>
        <w:rPr>
          <w:rFonts w:ascii="Calibri" w:cs="Calibri" w:eastAsia="Calibri" w:hAnsi="Calibri"/>
          <w:sz w:val="20"/>
          <w:szCs w:val="20"/>
        </w:rPr>
        <w:t xml:space="preserve"> | Haven Door Installation — Nashville, TN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Nov 2024 – Present</w:t>
      </w:r>
    </w:p>
    <w:p>
      <w:pPr>
        <w:pStyle w:val="ListParagraph"/>
        <w:numPr>
          <w:ilvl w:val="0"/>
          <w:numId w:val="2"/>
        </w:numPr>
        <w:spacing w:after="16" w:line="240"/>
      </w:pPr>
      <w:r>
        <w:rPr>
          <w:rFonts w:ascii="Calibri" w:cs="Calibri" w:eastAsia="Calibri" w:hAnsi="Calibri"/>
          <w:sz w:val="20"/>
          <w:szCs w:val="20"/>
        </w:rPr>
        <w:t xml:space="preserve">Implemented Fieldwire (Hilti) from an unused license to the operational system of record across multiple concurrent commercial projects — 1,000+ tracked openings with opening-level tasks, hardware checklists, and status reporting</w:t>
      </w:r>
    </w:p>
    <w:p>
      <w:pPr>
        <w:pStyle w:val="ListParagraph"/>
        <w:numPr>
          <w:ilvl w:val="0"/>
          <w:numId w:val="2"/>
        </w:numPr>
        <w:spacing w:after="16" w:line="240"/>
      </w:pPr>
      <w:r>
        <w:rPr>
          <w:rFonts w:ascii="Calibri" w:cs="Calibri" w:eastAsia="Calibri" w:hAnsi="Calibri"/>
          <w:sz w:val="20"/>
          <w:szCs w:val="20"/>
        </w:rPr>
        <w:t xml:space="preserve">Built automated submittal-to-task tooling that converts a supplier hardware schedule into import-ready project data, cutting per-package setup from a full day of manual formatting to minutes</w:t>
      </w:r>
    </w:p>
    <w:p>
      <w:pPr>
        <w:pStyle w:val="ListParagraph"/>
        <w:numPr>
          <w:ilvl w:val="0"/>
          <w:numId w:val="2"/>
        </w:numPr>
        <w:spacing w:after="16" w:line="240"/>
      </w:pPr>
      <w:r>
        <w:rPr>
          <w:rFonts w:ascii="Calibri" w:cs="Calibri" w:eastAsia="Calibri" w:hAnsi="Calibri"/>
          <w:sz w:val="20"/>
          <w:szCs w:val="20"/>
        </w:rPr>
        <w:t xml:space="preserve">Designed receiving and closeout QA/QC gates and a client-facing Build Brief (reconciliation counts, reviewer changes, holds with owners, deployment steps); the verification discipline caught ~$7,500 in false shortage claims before they became reorders</w:t>
      </w:r>
    </w:p>
    <w:p>
      <w:pPr>
        <w:pStyle w:val="ListParagraph"/>
        <w:numPr>
          <w:ilvl w:val="0"/>
          <w:numId w:val="2"/>
        </w:numPr>
        <w:spacing w:after="16" w:line="240"/>
      </w:pPr>
      <w:r>
        <w:rPr>
          <w:rFonts w:ascii="Calibri" w:cs="Calibri" w:eastAsia="Calibri" w:hAnsi="Calibri"/>
          <w:sz w:val="20"/>
          <w:szCs w:val="20"/>
        </w:rPr>
        <w:t xml:space="preserve">Drove field adoption through daily reporting, weekly stakeholder updates, and escalation workflows across field crews, suppliers, and GC teams — diagnosed coordination, not labor, as the primary bottleneck</w:t>
      </w:r>
    </w:p>
    <w:p>
      <w:pPr>
        <w:pStyle w:val="ListParagraph"/>
        <w:numPr>
          <w:ilvl w:val="0"/>
          <w:numId w:val="2"/>
        </w:numPr>
        <w:spacing w:after="16" w:line="240"/>
      </w:pPr>
      <w:r>
        <w:rPr>
          <w:rFonts w:ascii="Calibri" w:cs="Calibri" w:eastAsia="Calibri" w:hAnsi="Calibri"/>
          <w:sz w:val="20"/>
          <w:szCs w:val="20"/>
        </w:rPr>
        <w:t>Ran the subcontractor side of the money on a 3,100-opening mixed-use project — rebuilt the quote line by line against reissued hardware schedules, flagged items still needing a rate and a six-figure contract-value discrepancy in the GC's portal before enrollment; captured $15K+ in change-order and T&amp;M revenue on a separate project</w:t>
      </w:r>
    </w:p>
    <w:p>
      <w:pPr>
        <w:tabs>
          <w:tab w:val="right" w:pos="9026"/>
        </w:tabs>
        <w:spacing w:after="10" w:before="7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Fieldwire Implementation</w:t>
      </w:r>
      <w:r>
        <w:rPr>
          <w:rFonts w:ascii="Calibri" w:cs="Calibri" w:eastAsia="Calibri" w:hAnsi="Calibri"/>
          <w:sz w:val="20"/>
          <w:szCs w:val="20"/>
        </w:rPr>
        <w:t xml:space="preserve"> | Nashville, TN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Sep 2026 – Present</w:t>
      </w:r>
    </w:p>
    <w:p>
      <w:pPr>
        <w:pStyle w:val="ListParagraph"/>
        <w:numPr>
          <w:ilvl w:val="0"/>
          <w:numId w:val="2"/>
        </w:numPr>
        <w:spacing w:after="16" w:line="240"/>
      </w:pPr>
      <w:r>
        <w:rPr>
          <w:rFonts w:ascii="Calibri" w:cs="Calibri" w:eastAsia="Calibri" w:hAnsi="Calibri"/>
          <w:sz w:val="20"/>
          <w:szCs w:val="20"/>
        </w:rPr>
        <w:t xml:space="preserve">Productized the Haven methodology into a fixed-fee implementation offering — reusable Build Brief deliverable, automated submittal tooling, sanitized demo project — and scoped engagements for two referred contractors (door &amp; hardware; architectural millwork)</w:t>
      </w:r>
    </w:p>
    <w:p>
      <w:pPr>
        <w:pStyle w:val="ListParagraph"/>
        <w:numPr>
          <w:ilvl w:val="0"/>
          <w:numId w:val="2"/>
        </w:numPr>
        <w:spacing w:after="16" w:line="240"/>
      </w:pPr>
      <w:r>
        <w:rPr>
          <w:rFonts w:ascii="Calibri" w:cs="Calibri" w:eastAsia="Calibri" w:hAnsi="Calibri"/>
          <w:sz w:val="20"/>
          <w:szCs w:val="20"/>
        </w:rPr>
        <w:t xml:space="preserve">On a 209-opening school project, reconciled the hardware submittal against the client's Fieldwire and surfaced 10 unpinned openings and a dozen reviewer changes that had never reached the field</w:t>
      </w:r>
    </w:p>
    <w:p>
      <w:pPr>
        <w:tabs>
          <w:tab w:val="right" w:pos="9026"/>
        </w:tabs>
        <w:spacing w:after="10" w:before="7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Account Manager</w:t>
      </w:r>
      <w:r>
        <w:rPr>
          <w:rFonts w:ascii="Calibri" w:cs="Calibri" w:eastAsia="Calibri" w:hAnsi="Calibri"/>
          <w:sz w:val="20"/>
          <w:szCs w:val="20"/>
        </w:rPr>
        <w:t xml:space="preserve"> | FreightPOP — Remote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Apr 2024 – Nov 2024</w:t>
      </w:r>
    </w:p>
    <w:p>
      <w:pPr>
        <w:pStyle w:val="ListParagraph"/>
        <w:numPr>
          <w:ilvl w:val="0"/>
          <w:numId w:val="2"/>
        </w:numPr>
        <w:spacing w:after="16" w:line="240"/>
      </w:pPr>
      <w:r>
        <w:rPr>
          <w:rFonts w:ascii="Calibri" w:cs="Calibri" w:eastAsia="Calibri" w:hAnsi="Calibri"/>
          <w:sz w:val="20"/>
          <w:szCs w:val="20"/>
        </w:rPr>
        <w:t xml:space="preserve">Owned a $1M ARR portfolio of 50–100 mid-market clients focused on platform optimization and retention</w:t>
      </w:r>
    </w:p>
    <w:p>
      <w:pPr>
        <w:pStyle w:val="ListParagraph"/>
        <w:numPr>
          <w:ilvl w:val="0"/>
          <w:numId w:val="2"/>
        </w:numPr>
        <w:spacing w:after="16" w:line="240"/>
      </w:pPr>
      <w:r>
        <w:rPr>
          <w:rFonts w:ascii="Calibri" w:cs="Calibri" w:eastAsia="Calibri" w:hAnsi="Calibri"/>
          <w:sz w:val="20"/>
          <w:szCs w:val="20"/>
        </w:rPr>
        <w:t xml:space="preserve">Renewed a high-risk account by rebuilding trust and demonstrating measurable value; closed a $90K expansion</w:t>
      </w:r>
    </w:p>
    <w:p>
      <w:pPr>
        <w:pStyle w:val="ListParagraph"/>
        <w:numPr>
          <w:ilvl w:val="0"/>
          <w:numId w:val="2"/>
        </w:numPr>
        <w:spacing w:after="16" w:line="240"/>
      </w:pPr>
      <w:r>
        <w:rPr>
          <w:rFonts w:ascii="Calibri" w:cs="Calibri" w:eastAsia="Calibri" w:hAnsi="Calibri"/>
          <w:sz w:val="20"/>
          <w:szCs w:val="20"/>
        </w:rPr>
        <w:t xml:space="preserve">Supported a 90%+ renewal rate through proactive customer management and cross-functional collaboration</w:t>
      </w:r>
    </w:p>
    <w:p>
      <w:pPr>
        <w:tabs>
          <w:tab w:val="right" w:pos="9026"/>
        </w:tabs>
        <w:spacing w:after="10" w:before="7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Customer Success Manager</w:t>
      </w:r>
      <w:r>
        <w:rPr>
          <w:rFonts w:ascii="Calibri" w:cs="Calibri" w:eastAsia="Calibri" w:hAnsi="Calibri"/>
          <w:sz w:val="20"/>
          <w:szCs w:val="20"/>
        </w:rPr>
        <w:t xml:space="preserve"> | AutoRABIT — Remote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Jul 2022 – Apr 2024</w:t>
      </w:r>
    </w:p>
    <w:p>
      <w:pPr>
        <w:pStyle w:val="ListParagraph"/>
        <w:numPr>
          <w:ilvl w:val="0"/>
          <w:numId w:val="2"/>
        </w:numPr>
        <w:spacing w:after="16" w:line="240"/>
      </w:pPr>
      <w:r>
        <w:rPr>
          <w:rFonts w:ascii="Calibri" w:cs="Calibri" w:eastAsia="Calibri" w:hAnsi="Calibri"/>
          <w:sz w:val="20"/>
          <w:szCs w:val="20"/>
        </w:rPr>
        <w:t xml:space="preserve">Led onboarding and strategic success planning for enterprise DevOps and compliance accounts, tying implementation milestones to renewal outcomes (93% renewal rate)</w:t>
      </w:r>
    </w:p>
    <w:p>
      <w:pPr>
        <w:pStyle w:val="ListParagraph"/>
        <w:numPr>
          <w:ilvl w:val="0"/>
          <w:numId w:val="2"/>
        </w:numPr>
        <w:spacing w:after="16" w:line="240"/>
      </w:pPr>
      <w:r>
        <w:rPr>
          <w:rFonts w:ascii="Calibri" w:cs="Calibri" w:eastAsia="Calibri" w:hAnsi="Calibri"/>
          <w:sz w:val="20"/>
          <w:szCs w:val="20"/>
        </w:rPr>
        <w:t xml:space="preserve">Managed a $2M ARR portfolio of 30–40 enterprise accounts, driving adoption and ROI; secured a $50K expansion by aligning product capabilities with evolving customer goals</w:t>
      </w:r>
    </w:p>
    <w:p>
      <w:pPr>
        <w:pStyle w:val="ListParagraph"/>
        <w:numPr>
          <w:ilvl w:val="0"/>
          <w:numId w:val="2"/>
        </w:numPr>
        <w:spacing w:after="16" w:line="240"/>
      </w:pPr>
      <w:r>
        <w:rPr>
          <w:rFonts w:ascii="Calibri" w:cs="Calibri" w:eastAsia="Calibri" w:hAnsi="Calibri"/>
          <w:sz w:val="20"/>
          <w:szCs w:val="20"/>
        </w:rPr>
        <w:t xml:space="preserve">Facilitated QBRs for executive alignment; resolved escalations with 95%+ SLA adherence</w:t>
      </w:r>
    </w:p>
    <w:p>
      <w:pPr>
        <w:tabs>
          <w:tab w:val="right" w:pos="9026"/>
        </w:tabs>
        <w:spacing w:after="10" w:before="7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Associate Customer Success Manager</w:t>
      </w:r>
      <w:r>
        <w:rPr>
          <w:rFonts w:ascii="Calibri" w:cs="Calibri" w:eastAsia="Calibri" w:hAnsi="Calibri"/>
          <w:sz w:val="20"/>
          <w:szCs w:val="20"/>
        </w:rPr>
        <w:t xml:space="preserve"> | Valenz Bluebook (formerly Healthcare Bluebook)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Oct 2020 – Jul 2022</w:t>
      </w:r>
    </w:p>
    <w:p>
      <w:pPr>
        <w:pStyle w:val="ListParagraph"/>
        <w:numPr>
          <w:ilvl w:val="0"/>
          <w:numId w:val="2"/>
        </w:numPr>
        <w:spacing w:after="16" w:line="240"/>
      </w:pPr>
      <w:r>
        <w:rPr>
          <w:rFonts w:ascii="Calibri" w:cs="Calibri" w:eastAsia="Calibri" w:hAnsi="Calibri"/>
          <w:sz w:val="20"/>
          <w:szCs w:val="20"/>
        </w:rPr>
        <w:t xml:space="preserve">Led implementation and adoption for new customers on a healthcare cost-transparency SaaS platform; increased user engagement 20% through training and targeted outreach</w:t>
      </w:r>
    </w:p>
    <w:p>
      <w:pPr>
        <w:tabs>
          <w:tab w:val="right" w:pos="9026"/>
        </w:tabs>
        <w:spacing w:after="10" w:before="7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Freight Broker</w:t>
      </w:r>
      <w:r>
        <w:rPr>
          <w:rFonts w:ascii="Calibri" w:cs="Calibri" w:eastAsia="Calibri" w:hAnsi="Calibri"/>
          <w:sz w:val="20"/>
          <w:szCs w:val="20"/>
        </w:rPr>
        <w:t xml:space="preserve"> | Longship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Jan 2020 – Oct 2020</w:t>
      </w:r>
    </w:p>
    <w:p>
      <w:pPr>
        <w:pStyle w:val="ListParagraph"/>
        <w:numPr>
          <w:ilvl w:val="0"/>
          <w:numId w:val="2"/>
        </w:numPr>
        <w:spacing w:after="16" w:line="240"/>
      </w:pPr>
      <w:r>
        <w:rPr>
          <w:rFonts w:ascii="Calibri" w:cs="Calibri" w:eastAsia="Calibri" w:hAnsi="Calibri"/>
          <w:sz w:val="20"/>
          <w:szCs w:val="20"/>
        </w:rPr>
        <w:t>High-volume outbound prospecting; negotiated and booked freight on a live load board; coordinated carriers and shippers</w:t>
      </w:r>
    </w:p>
    <w:p>
      <w:pPr>
        <w:tabs>
          <w:tab w:val="right" w:pos="9026"/>
        </w:tabs>
        <w:spacing w:after="10" w:before="7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Business Technology Advisor</w:t>
      </w:r>
      <w:r>
        <w:rPr>
          <w:rFonts w:ascii="Calibri" w:cs="Calibri" w:eastAsia="Calibri" w:hAnsi="Calibri"/>
          <w:sz w:val="20"/>
          <w:szCs w:val="20"/>
        </w:rPr>
        <w:t xml:space="preserve"> | Novatech — Nashville, TN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	May 2018 – Nov 2019</w:t>
      </w:r>
    </w:p>
    <w:p>
      <w:pPr>
        <w:pStyle w:val="ListParagraph"/>
        <w:numPr>
          <w:ilvl w:val="0"/>
          <w:numId w:val="2"/>
        </w:numPr>
        <w:spacing w:after="16" w:line="240"/>
      </w:pPr>
      <w:r>
        <w:rPr>
          <w:rFonts w:ascii="Calibri" w:cs="Calibri" w:eastAsia="Calibri" w:hAnsi="Calibri"/>
          <w:sz w:val="20"/>
          <w:szCs w:val="20"/>
        </w:rPr>
        <w:t>Outside B2B technology sales, deals $10K–$50K; company-wide incentive trip in first year; Salesforce pipeline management</w:t>
      </w:r>
    </w:p>
    <w:p>
      <w:pPr>
        <w:pBdr>
          <w:bottom w:val="single" w:color="333333" w:sz="6" w:space="2"/>
        </w:pBdr>
        <w:spacing w:after="40" w:before="110"/>
      </w:pPr>
      <w:r>
        <w:rPr>
          <w:rFonts w:ascii="Calibri" w:cs="Calibri" w:eastAsia="Calibri" w:hAnsi="Calibri"/>
          <w:b/>
          <w:bCs/>
          <w:caps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Multidisciplinary Studies — Tennessee State University, 2017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NCAA Division I Men's Tennis — competed at the No. 1 position in the team lineup</w:t>
      </w:r>
    </w:p>
    <w:p>
      <w:pPr>
        <w:spacing w:after="40" w:line="252"/>
      </w:pPr>
      <w:r>
        <w:rPr>
          <w:rFonts w:ascii="Calibri" w:cs="Calibri" w:eastAsia="Calibri" w:hAnsi="Calibri"/>
          <w:sz w:val="19"/>
          <w:szCs w:val="19"/>
        </w:rPr>
        <w:t>Volunteer — Aerial Recovery Group, Nashville, 2023–2024: three tiers of disaster-response training; local Middle Tennessee deployments</w:t>
      </w:r>
    </w:p>
    <w:p>
      <w:pPr>
        <w:pBdr>
          <w:bottom w:val="single" w:color="333333" w:sz="6" w:space="2"/>
        </w:pBdr>
        <w:spacing w:after="40" w:before="110"/>
      </w:pPr>
      <w:r>
        <w:rPr>
          <w:rFonts w:ascii="Calibri" w:cs="Calibri" w:eastAsia="Calibri" w:hAnsi="Calibri"/>
          <w:b/>
          <w:bCs/>
          <w:caps/>
          <w:sz w:val="21"/>
          <w:szCs w:val="21"/>
        </w:rPr>
        <w:t xml:space="preserve">Skills</w:t>
      </w:r>
    </w:p>
    <w:p>
      <w:pPr>
        <w:spacing w:after="40" w:line="252"/>
      </w:pPr>
      <w:r>
        <w:rPr>
          <w:rFonts w:ascii="Calibri" w:cs="Calibri" w:eastAsia="Calibri" w:hAnsi="Calibri"/>
          <w:sz w:val="20"/>
          <w:szCs w:val="20"/>
        </w:rPr>
        <w:t>Implementation &amp; Onboarding  ·  Workflow Design &amp; Platform Configuration  ·  Field Adoption &amp; Change Management  ·  Construction Financial Workflows (T&amp;M, change orders, quote revisions)  ·  QA/QC Gates  ·  Customer Success &amp; Renewals  ·  Escalation Management  ·  Fieldwire  ·  Salesforce  ·  Submittal-to-Import Automation</w:t>
      </w:r>
    </w:p>
    <w:sectPr>
      <w:pgSz w:w="12240" w:h="15840" w:orient="portrait"/>
      <w:pgMar w:top="600" w:right="760" w:bottom="52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2026-09-25T22:33:49.202Z</dcterms:created>
  <dcterms:modified xsi:type="dcterms:W3CDTF">2026-09-25T22:33:49.211Z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