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pPr>
      <w:r>
        <w:rPr>
          <w:rFonts w:ascii="Calibri" w:cs="Calibri" w:eastAsia="Calibri" w:hAnsi="Calibri"/>
          <w:b/>
          <w:bCs/>
          <w:caps/>
          <w:color w:val="C9A84C"/>
          <w:sz w:val="17"/>
          <w:szCs w:val="17"/>
        </w:rPr>
        <w:t xml:space="preserve">READINESS OS  ·  VaughnMartin  ·  Seed Round  ·  July 2026</w:t>
      </w:r>
    </w:p>
    <w:p>
      <w:pPr>
        <w:spacing w:after="120" w:before="0"/>
      </w:pPr>
      <w:r>
        <w:rPr>
          <w:rFonts w:ascii="Cambria" w:cs="Cambria" w:eastAsia="Cambria" w:hAnsi="Cambria"/>
          <w:b/>
          <w:bCs/>
          <w:color w:val="0A0F2E"/>
          <w:sz w:val="40"/>
          <w:szCs w:val="40"/>
        </w:rPr>
        <w:t xml:space="preserve">Investor One-Pager</w:t>
      </w:r>
    </w:p>
    <w:p>
      <w:pPr>
        <w:pBdr>
          <w:bottom w:val="single" w:color="C9A84C" w:sz="6"/>
        </w:pBdr>
        <w:spacing w:after="160" w:before="160"/>
      </w:pPr>
    </w:p>
    <w:p>
      <w:pPr>
        <w:pBdr>
          <w:bottom w:val="single" w:color="C9A84C" w:sz="6"/>
        </w:pBdr>
        <w:spacing w:after="100" w:before="320"/>
      </w:pPr>
      <w:r>
        <w:rPr>
          <w:rFonts w:ascii="Cambria" w:cs="Cambria" w:eastAsia="Cambria" w:hAnsi="Cambria"/>
          <w:b/>
          <w:bCs/>
          <w:color w:val="0A0F2E"/>
          <w:sz w:val="28"/>
          <w:szCs w:val="28"/>
        </w:rPr>
        <w:t xml:space="preserve">THE PATTERN INVESTORS PAY ATTENTION TO</w:t>
      </w:r>
    </w:p>
    <w:p>
      <w:pPr>
        <w:spacing w:after="100" w:before="40"/>
      </w:pPr>
      <w:r>
        <w:rPr>
          <w:rFonts w:ascii="Arial" w:cs="Arial" w:eastAsia="Arial" w:hAnsi="Arial"/>
          <w:color w:val="222222"/>
          <w:sz w:val="20"/>
          <w:szCs w:val="20"/>
        </w:rPr>
        <w:t xml:space="preserve">Most enterprise software: a better way to do existing work.</w:t>
      </w:r>
    </w:p>
    <w:p>
      <w:pPr>
        <w:spacing w:after="100" w:before="40"/>
      </w:pPr>
      <w:r>
        <w:rPr>
          <w:rFonts w:ascii="Arial" w:cs="Arial" w:eastAsia="Arial" w:hAnsi="Arial"/>
          <w:color w:val="222222"/>
          <w:sz w:val="20"/>
          <w:szCs w:val="20"/>
        </w:rPr>
        <w:t xml:space="preserve">Readiness OS: a new category based on a structural organizational flaw that has never had a platform.</w:t>
      </w:r>
    </w:p>
    <w:p>
      <w:pPr>
        <w:pBdr>
          <w:left w:val="single" w:color="C9A84C" w:sz="16"/>
        </w:pBdr>
        <w:shd w:fill="F0F8F5" w:val="clear"/>
        <w:spacing w:after="80" w:before="80"/>
        <w:ind w:left="360"/>
      </w:pPr>
      <w:r>
        <w:rPr>
          <w:rFonts w:ascii="Calibri" w:cs="Calibri" w:eastAsia="Calibri" w:hAnsi="Calibri"/>
          <w:color w:val="111111"/>
          <w:sz w:val="20"/>
          <w:szCs w:val="20"/>
        </w:rPr>
        <w:t xml:space="preserve">Mobilization is work. Every enterprise software company has treated it as overhead. Readiness OS is the first platform to engineer it.</w:t>
      </w:r>
    </w:p>
    <w:p>
      <w:pPr>
        <w:spacing w:after="100" w:before="40"/>
      </w:pPr>
      <w:r>
        <w:rPr>
          <w:rFonts w:ascii="Arial" w:cs="Arial" w:eastAsia="Arial" w:hAnsi="Arial"/>
          <w:i/>
          <w:iCs/>
          <w:color w:val="444444"/>
          <w:sz w:val="20"/>
          <w:szCs w:val="20"/>
        </w:rPr>
        <w:t xml:space="preserve">The structural flaw: every organization faces 15 to 20 strategic situations annually that require a coordinated response. Each one gets mobilized from scratch. No pre-staged authority. No pre-built response. No institutional memory from the last time. The cost of that mobilization cycle averages $1.7M per situation. Across 15 to 20 situations annually that is $25M to $34M per year in organizational drag that has no line item and appears on no balance sheet.</w:t>
      </w:r>
    </w:p>
    <w:p>
      <w:pPr>
        <w:pBdr>
          <w:bottom w:val="single" w:color="E8E0CC" w:sz="6"/>
        </w:pBdr>
        <w:spacing w:after="160" w:before="160"/>
      </w:pPr>
    </w:p>
    <w:p>
      <w:pPr>
        <w:pBdr>
          <w:bottom w:val="single" w:color="C9A84C" w:sz="6"/>
        </w:pBdr>
        <w:spacing w:after="100" w:before="320"/>
      </w:pPr>
      <w:r>
        <w:rPr>
          <w:rFonts w:ascii="Cambria" w:cs="Cambria" w:eastAsia="Cambria" w:hAnsi="Cambria"/>
          <w:b/>
          <w:bCs/>
          <w:color w:val="0A0F2E"/>
          <w:sz w:val="28"/>
          <w:szCs w:val="28"/>
        </w:rPr>
        <w:t xml:space="preserve">WHAT READINESS OS DOES</w:t>
      </w:r>
    </w:p>
    <w:p>
      <w:pPr>
        <w:pBdr>
          <w:left w:val="single" w:color="C9A84C" w:sz="16"/>
        </w:pBdr>
        <w:shd w:fill="FBF8F0" w:val="clear"/>
        <w:spacing w:after="80" w:before="80"/>
        <w:ind w:left="360"/>
      </w:pPr>
      <w:r>
        <w:rPr>
          <w:rFonts w:ascii="Calibri" w:cs="Calibri" w:eastAsia="Calibri" w:hAnsi="Calibri"/>
          <w:color w:val="111111"/>
          <w:sz w:val="20"/>
          <w:szCs w:val="20"/>
        </w:rPr>
        <w:t xml:space="preserve">Readiness OS pre-stages the organizational response before the strategic situation presents itself. 180 situations across 9 strategic domains. 231 trigger patterns monitored continuously across 39 live data sources. When a situation presents itself, the response activates in 12 minutes instead of 30 days. 3,600x Execution Head Start.</w:t>
      </w:r>
    </w:p>
    <w:p>
      <w:pPr>
        <w:spacing w:after="60" w:before="60"/>
      </w:pPr>
      <w:r>
        <w:t xml:space="preserve"/>
      </w:r>
    </w:p>
    <w:p>
      <w:pPr>
        <w:spacing w:after="60" w:before="200"/>
      </w:pPr>
      <w:r>
        <w:rPr>
          <w:rFonts w:ascii="Arial" w:cs="Arial" w:eastAsia="Arial" w:hAnsi="Arial"/>
          <w:b/>
          <w:bCs/>
          <w:color w:val="0A0F2E"/>
          <w:sz w:val="22"/>
          <w:szCs w:val="22"/>
        </w:rPr>
        <w:t xml:space="preserve">The 12 Mobilization Gaps it closes</w:t>
      </w:r>
    </w:p>
    <w:p>
      <w:pPr>
        <w:spacing w:after="100" w:before="40"/>
      </w:pPr>
      <w:r>
        <w:rPr>
          <w:rFonts w:ascii="Arial" w:cs="Arial" w:eastAsia="Arial" w:hAnsi="Arial"/>
          <w:color w:val="222222"/>
          <w:sz w:val="20"/>
          <w:szCs w:val="20"/>
        </w:rPr>
        <w:t xml:space="preserve">Detection. Recognition. Authority. Team Assembly. Budget. External Resources. Sequencing. Systems. Communication. Compliance. Governance Record. Learning. Every strategic situation exposes some or all of these. Readiness OS closes all 12 before the situation arrives.</w:t>
      </w:r>
    </w:p>
    <w:p>
      <w:pPr>
        <w:spacing w:after="60" w:before="60"/>
      </w:pPr>
      <w:r>
        <w:t xml:space="preserve"/>
      </w:r>
    </w:p>
    <w:p>
      <w:pPr>
        <w:spacing w:after="60" w:before="200"/>
      </w:pPr>
      <w:r>
        <w:rPr>
          <w:rFonts w:ascii="Arial" w:cs="Arial" w:eastAsia="Arial" w:hAnsi="Arial"/>
          <w:b/>
          <w:bCs/>
          <w:color w:val="0A0F2E"/>
          <w:sz w:val="22"/>
          <w:szCs w:val="22"/>
        </w:rPr>
        <w:t xml:space="preserve">The operating model layer above Microsoft</w:t>
      </w:r>
    </w:p>
    <w:p>
      <w:pPr>
        <w:spacing w:after="100" w:before="40"/>
      </w:pPr>
      <w:r>
        <w:rPr>
          <w:rFonts w:ascii="Arial" w:cs="Arial" w:eastAsia="Arial" w:hAnsi="Arial"/>
          <w:color w:val="222222"/>
          <w:sz w:val="20"/>
          <w:szCs w:val="20"/>
        </w:rPr>
        <w:t xml:space="preserve">Every enterprise has Microsoft's AI stack. Azure OpenAI. Copilot. Teams. SharePoint. None have the operating model to act on it when a strategic situation presents itself. Readiness OS is that layer. Not a replacement. An orchestrator. 55+ pre-built connectors deploy into whatever stack the organization already uses.</w:t>
      </w:r>
    </w:p>
    <w:p>
      <w:pPr>
        <w:pBdr>
          <w:bottom w:val="single" w:color="E8E0CC" w:sz="6"/>
        </w:pBdr>
        <w:spacing w:after="160" w:before="160"/>
      </w:pPr>
    </w:p>
    <w:p>
      <w:pPr>
        <w:pBdr>
          <w:bottom w:val="single" w:color="C9A84C" w:sz="6"/>
        </w:pBdr>
        <w:spacing w:after="100" w:before="320"/>
      </w:pPr>
      <w:r>
        <w:rPr>
          <w:rFonts w:ascii="Cambria" w:cs="Cambria" w:eastAsia="Cambria" w:hAnsi="Cambria"/>
          <w:b/>
          <w:bCs/>
          <w:color w:val="0A0F2E"/>
          <w:sz w:val="28"/>
          <w:szCs w:val="28"/>
        </w:rPr>
        <w:t xml:space="preserve">THE MOAT</w:t>
      </w:r>
    </w:p>
    <w:p>
      <w:pPr>
        <w:pBdr>
          <w:left w:val="single" w:color="2B8A6E" w:sz="16"/>
        </w:pBdr>
        <w:shd w:fill="F0F8F5" w:val="clear"/>
        <w:spacing w:after="80" w:before="80"/>
        <w:ind w:left="360"/>
      </w:pPr>
      <w:r>
        <w:rPr>
          <w:rFonts w:ascii="Calibri" w:cs="Calibri" w:eastAsia="Calibri" w:hAnsi="Calibri"/>
          <w:color w:val="111111"/>
          <w:sz w:val="20"/>
          <w:szCs w:val="20"/>
        </w:rPr>
        <w:t xml:space="preserve">The protocol library can be copied. The UI can be copied. The learning network becomes much harder to copy.
The ADVANCE loop classifies every protocol update as proven or disproven after three activations. Every Founding Partner who activates builds an institutional memory their competitors cannot replicate from scratch. The moat compounds with every situation.</w:t>
      </w:r>
    </w:p>
    <w:p>
      <w:pPr>
        <w:spacing w:after="60" w:before="60"/>
      </w:pPr>
      <w:r>
        <w:t xml:space="preserve"/>
      </w:r>
    </w:p>
    <w:p>
      <w:pPr>
        <w:spacing w:after="100" w:before="40"/>
      </w:pPr>
      <w:r>
        <w:rPr>
          <w:rFonts w:ascii="Arial" w:cs="Arial" w:eastAsia="Arial" w:hAnsi="Arial"/>
          <w:color w:val="222222"/>
          <w:sz w:val="20"/>
          <w:szCs w:val="20"/>
        </w:rPr>
        <w:t xml:space="preserve">McKinsey, IBM, and Stanford all published the same diagnosis in Q2 2026: the operating model gap is the primary barrier to enterprise AI value. $2.5B and 6,000 engineers from Microsoft confirm the market is real. No vendor has built the preparation architecture layer. First mover.</w:t>
      </w:r>
    </w:p>
    <w:p>
      <w:pPr>
        <w:pBdr>
          <w:bottom w:val="single" w:color="E8E0CC" w:sz="6"/>
        </w:pBdr>
        <w:spacing w:after="160" w:before="160"/>
      </w:pPr>
    </w:p>
    <w:p>
      <w:pPr>
        <w:pBdr>
          <w:bottom w:val="single" w:color="C9A84C" w:sz="6"/>
        </w:pBdr>
        <w:spacing w:after="100" w:before="320"/>
      </w:pPr>
      <w:r>
        <w:rPr>
          <w:rFonts w:ascii="Cambria" w:cs="Cambria" w:eastAsia="Cambria" w:hAnsi="Cambria"/>
          <w:b/>
          <w:bCs/>
          <w:color w:val="0A0F2E"/>
          <w:sz w:val="28"/>
          <w:szCs w:val="28"/>
        </w:rPr>
        <w:t xml:space="preserve">THE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Borders>
              <w:top w:val="single" w:color="E8E0CC" w:sz="4"/>
              <w:left w:val="single" w:color="E8E0CC" w:sz="4"/>
              <w:bottom w:val="single" w:color="E8E0CC" w:sz="4"/>
              <w:right w:val="single" w:color="E8E0CC" w:sz="4"/>
            </w:tcBorders>
            <w:shd w:fill="0A0F2E" w:val="clear"/>
            <w:tcMar>
              <w:top w:type="dxa" w:w="80"/>
              <w:left w:type="dxa" w:w="120"/>
              <w:bottom w:type="dxa" w:w="80"/>
              <w:right w:type="dxa" w:w="120"/>
            </w:tcMar>
          </w:tcPr>
          <w:p>
            <w:r>
              <w:rPr>
                <w:rFonts w:ascii="Arial" w:cs="Arial" w:eastAsia="Arial" w:hAnsi="Arial"/>
                <w:b/>
                <w:bCs/>
                <w:color w:val="C9A84C"/>
                <w:sz w:val="17"/>
                <w:szCs w:val="17"/>
              </w:rPr>
              <w:t xml:space="preserve">METRIC</w:t>
            </w:r>
          </w:p>
        </w:tc>
        <w:tc>
          <w:tcPr>
            <w:tcBorders>
              <w:top w:val="single" w:color="E8E0CC" w:sz="4"/>
              <w:left w:val="single" w:color="E8E0CC" w:sz="4"/>
              <w:bottom w:val="single" w:color="E8E0CC" w:sz="4"/>
              <w:right w:val="single" w:color="E8E0CC" w:sz="4"/>
            </w:tcBorders>
            <w:shd w:fill="0A0F2E" w:val="clear"/>
            <w:tcMar>
              <w:top w:type="dxa" w:w="80"/>
              <w:left w:type="dxa" w:w="120"/>
              <w:bottom w:type="dxa" w:w="80"/>
              <w:right w:type="dxa" w:w="120"/>
            </w:tcMar>
          </w:tcPr>
          <w:p>
            <w:r>
              <w:rPr>
                <w:rFonts w:ascii="Arial" w:cs="Arial" w:eastAsia="Arial" w:hAnsi="Arial"/>
                <w:b/>
                <w:bCs/>
                <w:color w:val="C9A84C"/>
                <w:sz w:val="17"/>
                <w:szCs w:val="17"/>
              </w:rPr>
              <w:t xml:space="preserve">VALUE</w:t>
            </w:r>
          </w:p>
        </w:tc>
      </w:tr>
      <w:tr>
        <w:tc>
          <w:tcPr>
            <w:tcBorders>
              <w:top w:val="single" w:color="E8E0CC" w:sz="4"/>
              <w:left w:val="single" w:color="E8E0CC" w:sz="4"/>
              <w:bottom w:val="single" w:color="E8E0CC" w:sz="4"/>
              <w:right w:val="single" w:color="E8E0CC" w:sz="4"/>
            </w:tcBorders>
            <w:tcMar>
              <w:top w:type="dxa" w:w="80"/>
              <w:left w:type="dxa" w:w="120"/>
              <w:bottom w:type="dxa" w:w="80"/>
              <w:right w:type="dxa" w:w="120"/>
            </w:tcMar>
          </w:tcPr>
          <w:p>
            <w:r>
              <w:rPr>
                <w:rFonts w:ascii="Arial" w:cs="Arial" w:eastAsia="Arial" w:hAnsi="Arial"/>
                <w:b/>
                <w:bCs/>
                <w:color w:val="0A0F2E"/>
                <w:sz w:val="19"/>
                <w:szCs w:val="19"/>
              </w:rPr>
              <w:t xml:space="preserve">TAM</w:t>
            </w:r>
          </w:p>
        </w:tc>
        <w:tc>
          <w:tcPr>
            <w:tcBorders>
              <w:top w:val="single" w:color="E8E0CC" w:sz="4"/>
              <w:left w:val="single" w:color="E8E0CC" w:sz="4"/>
              <w:bottom w:val="single" w:color="E8E0CC" w:sz="4"/>
              <w:right w:val="single" w:color="E8E0CC" w:sz="4"/>
            </w:tcBorders>
            <w:tcMar>
              <w:top w:type="dxa" w:w="80"/>
              <w:left w:type="dxa" w:w="120"/>
              <w:bottom w:type="dxa" w:w="80"/>
              <w:right w:type="dxa" w:w="120"/>
            </w:tcMar>
          </w:tcPr>
          <w:p>
            <w:r>
              <w:rPr>
                <w:rFonts w:ascii="Arial" w:cs="Arial" w:eastAsia="Arial" w:hAnsi="Arial"/>
                <w:color w:val="222222"/>
                <w:sz w:val="19"/>
                <w:szCs w:val="19"/>
              </w:rPr>
              <w:t xml:space="preserve">47,000 enterprises $100M+ revenue × $150K Core = $7B+ at Core pricing alone</w:t>
            </w:r>
          </w:p>
        </w:tc>
      </w:tr>
      <w:tr>
        <w:tc>
          <w:tcPr>
            <w:tcBorders>
              <w:top w:val="single" w:color="E8E0CC" w:sz="4"/>
              <w:left w:val="single" w:color="E8E0CC" w:sz="4"/>
              <w:bottom w:val="single" w:color="E8E0CC" w:sz="4"/>
              <w:right w:val="single" w:color="E8E0CC" w:sz="4"/>
            </w:tcBorders>
            <w:tcMar>
              <w:top w:type="dxa" w:w="80"/>
              <w:left w:type="dxa" w:w="120"/>
              <w:bottom w:type="dxa" w:w="80"/>
              <w:right w:type="dxa" w:w="120"/>
            </w:tcMar>
          </w:tcPr>
          <w:p>
            <w:r>
              <w:rPr>
                <w:rFonts w:ascii="Arial" w:cs="Arial" w:eastAsia="Arial" w:hAnsi="Arial"/>
                <w:b/>
                <w:bCs/>
                <w:color w:val="0A0F2E"/>
                <w:sz w:val="19"/>
                <w:szCs w:val="19"/>
              </w:rPr>
              <w:t xml:space="preserve">Seed round</w:t>
            </w:r>
          </w:p>
        </w:tc>
        <w:tc>
          <w:tcPr>
            <w:tcBorders>
              <w:top w:val="single" w:color="E8E0CC" w:sz="4"/>
              <w:left w:val="single" w:color="E8E0CC" w:sz="4"/>
              <w:bottom w:val="single" w:color="E8E0CC" w:sz="4"/>
              <w:right w:val="single" w:color="E8E0CC" w:sz="4"/>
            </w:tcBorders>
            <w:tcMar>
              <w:top w:type="dxa" w:w="80"/>
              <w:left w:type="dxa" w:w="120"/>
              <w:bottom w:type="dxa" w:w="80"/>
              <w:right w:type="dxa" w:w="120"/>
            </w:tcMar>
          </w:tcPr>
          <w:p>
            <w:r>
              <w:rPr>
                <w:rFonts w:ascii="Arial" w:cs="Arial" w:eastAsia="Arial" w:hAnsi="Arial"/>
                <w:color w:val="222222"/>
                <w:sz w:val="19"/>
                <w:szCs w:val="19"/>
              </w:rPr>
              <w:t xml:space="preserve">$500,000  ·  July 2026</w:t>
            </w:r>
          </w:p>
        </w:tc>
      </w:tr>
      <w:tr>
        <w:tc>
          <w:tcPr>
            <w:tcBorders>
              <w:top w:val="single" w:color="E8E0CC" w:sz="4"/>
              <w:left w:val="single" w:color="E8E0CC" w:sz="4"/>
              <w:bottom w:val="single" w:color="E8E0CC" w:sz="4"/>
              <w:right w:val="single" w:color="E8E0CC" w:sz="4"/>
            </w:tcBorders>
            <w:tcMar>
              <w:top w:type="dxa" w:w="80"/>
              <w:left w:type="dxa" w:w="120"/>
              <w:bottom w:type="dxa" w:w="80"/>
              <w:right w:type="dxa" w:w="120"/>
            </w:tcMar>
          </w:tcPr>
          <w:p>
            <w:r>
              <w:rPr>
                <w:rFonts w:ascii="Arial" w:cs="Arial" w:eastAsia="Arial" w:hAnsi="Arial"/>
                <w:b/>
                <w:bCs/>
                <w:color w:val="0A0F2E"/>
                <w:sz w:val="19"/>
                <w:szCs w:val="19"/>
              </w:rPr>
              <w:t xml:space="preserve">Use of funds</w:t>
            </w:r>
          </w:p>
        </w:tc>
        <w:tc>
          <w:tcPr>
            <w:tcBorders>
              <w:top w:val="single" w:color="E8E0CC" w:sz="4"/>
              <w:left w:val="single" w:color="E8E0CC" w:sz="4"/>
              <w:bottom w:val="single" w:color="E8E0CC" w:sz="4"/>
              <w:right w:val="single" w:color="E8E0CC" w:sz="4"/>
            </w:tcBorders>
            <w:tcMar>
              <w:top w:type="dxa" w:w="80"/>
              <w:left w:type="dxa" w:w="120"/>
              <w:bottom w:type="dxa" w:w="80"/>
              <w:right w:type="dxa" w:w="120"/>
            </w:tcMar>
          </w:tcPr>
          <w:p>
            <w:r>
              <w:rPr>
                <w:rFonts w:ascii="Arial" w:cs="Arial" w:eastAsia="Arial" w:hAnsi="Arial"/>
                <w:color w:val="222222"/>
                <w:sz w:val="19"/>
                <w:szCs w:val="19"/>
              </w:rPr>
              <w:t xml:space="preserve">First two Founding Partner closes + signal intelligence pipeline expansion + enterprise SSO</w:t>
            </w:r>
          </w:p>
        </w:tc>
      </w:tr>
      <w:tr>
        <w:tc>
          <w:tcPr>
            <w:tcBorders>
              <w:top w:val="single" w:color="E8E0CC" w:sz="4"/>
              <w:left w:val="single" w:color="E8E0CC" w:sz="4"/>
              <w:bottom w:val="single" w:color="E8E0CC" w:sz="4"/>
              <w:right w:val="single" w:color="E8E0CC" w:sz="4"/>
            </w:tcBorders>
            <w:tcMar>
              <w:top w:type="dxa" w:w="80"/>
              <w:left w:type="dxa" w:w="120"/>
              <w:bottom w:type="dxa" w:w="80"/>
              <w:right w:type="dxa" w:w="120"/>
            </w:tcMar>
          </w:tcPr>
          <w:p>
            <w:r>
              <w:rPr>
                <w:rFonts w:ascii="Arial" w:cs="Arial" w:eastAsia="Arial" w:hAnsi="Arial"/>
                <w:b/>
                <w:bCs/>
                <w:color w:val="0A0F2E"/>
                <w:sz w:val="19"/>
                <w:szCs w:val="19"/>
              </w:rPr>
              <w:t xml:space="preserve">Founding Partner program</w:t>
            </w:r>
          </w:p>
        </w:tc>
        <w:tc>
          <w:tcPr>
            <w:tcBorders>
              <w:top w:val="single" w:color="E8E0CC" w:sz="4"/>
              <w:left w:val="single" w:color="E8E0CC" w:sz="4"/>
              <w:bottom w:val="single" w:color="E8E0CC" w:sz="4"/>
              <w:right w:val="single" w:color="E8E0CC" w:sz="4"/>
            </w:tcBorders>
            <w:tcMar>
              <w:top w:type="dxa" w:w="80"/>
              <w:left w:type="dxa" w:w="120"/>
              <w:bottom w:type="dxa" w:w="80"/>
              <w:right w:type="dxa" w:w="120"/>
            </w:tcMar>
          </w:tcPr>
          <w:p>
            <w:r>
              <w:rPr>
                <w:rFonts w:ascii="Arial" w:cs="Arial" w:eastAsia="Arial" w:hAnsi="Arial"/>
                <w:color w:val="222222"/>
                <w:sz w:val="19"/>
                <w:szCs w:val="19"/>
              </w:rPr>
              <w:t xml:space="preserve">12 seats  ·  $75K each  ·  100% credited to Year 1  ·  Applications open</w:t>
            </w:r>
          </w:p>
        </w:tc>
      </w:tr>
      <w:tr>
        <w:tc>
          <w:tcPr>
            <w:tcBorders>
              <w:top w:val="single" w:color="E8E0CC" w:sz="4"/>
              <w:left w:val="single" w:color="E8E0CC" w:sz="4"/>
              <w:bottom w:val="single" w:color="E8E0CC" w:sz="4"/>
              <w:right w:val="single" w:color="E8E0CC" w:sz="4"/>
            </w:tcBorders>
            <w:tcMar>
              <w:top w:type="dxa" w:w="80"/>
              <w:left w:type="dxa" w:w="120"/>
              <w:bottom w:type="dxa" w:w="80"/>
              <w:right w:type="dxa" w:w="120"/>
            </w:tcMar>
          </w:tcPr>
          <w:p>
            <w:r>
              <w:rPr>
                <w:rFonts w:ascii="Arial" w:cs="Arial" w:eastAsia="Arial" w:hAnsi="Arial"/>
                <w:b/>
                <w:bCs/>
                <w:color w:val="0A0F2E"/>
                <w:sz w:val="19"/>
                <w:szCs w:val="19"/>
              </w:rPr>
              <w:t xml:space="preserve">Pricing tiers</w:t>
            </w:r>
          </w:p>
        </w:tc>
        <w:tc>
          <w:tcPr>
            <w:tcBorders>
              <w:top w:val="single" w:color="E8E0CC" w:sz="4"/>
              <w:left w:val="single" w:color="E8E0CC" w:sz="4"/>
              <w:bottom w:val="single" w:color="E8E0CC" w:sz="4"/>
              <w:right w:val="single" w:color="E8E0CC" w:sz="4"/>
            </w:tcBorders>
            <w:tcMar>
              <w:top w:type="dxa" w:w="80"/>
              <w:left w:type="dxa" w:w="120"/>
              <w:bottom w:type="dxa" w:w="80"/>
              <w:right w:type="dxa" w:w="120"/>
            </w:tcMar>
          </w:tcPr>
          <w:p>
            <w:r>
              <w:rPr>
                <w:rFonts w:ascii="Arial" w:cs="Arial" w:eastAsia="Arial" w:hAnsi="Arial"/>
                <w:color w:val="222222"/>
                <w:sz w:val="19"/>
                <w:szCs w:val="19"/>
              </w:rPr>
              <w:t xml:space="preserve">Core $150K/yr  ·  Foresight $250K/yr  ·  Enterprise $450K/yr  ·  Growth $75K–$250K/yr</w:t>
            </w:r>
          </w:p>
        </w:tc>
      </w:tr>
      <w:tr>
        <w:tc>
          <w:tcPr>
            <w:tcBorders>
              <w:top w:val="single" w:color="E8E0CC" w:sz="4"/>
              <w:left w:val="single" w:color="E8E0CC" w:sz="4"/>
              <w:bottom w:val="single" w:color="E8E0CC" w:sz="4"/>
              <w:right w:val="single" w:color="E8E0CC" w:sz="4"/>
            </w:tcBorders>
            <w:tcMar>
              <w:top w:type="dxa" w:w="80"/>
              <w:left w:type="dxa" w:w="120"/>
              <w:bottom w:type="dxa" w:w="80"/>
              <w:right w:type="dxa" w:w="120"/>
            </w:tcMar>
          </w:tcPr>
          <w:p>
            <w:r>
              <w:rPr>
                <w:rFonts w:ascii="Arial" w:cs="Arial" w:eastAsia="Arial" w:hAnsi="Arial"/>
                <w:b/>
                <w:bCs/>
                <w:color w:val="0A0F2E"/>
                <w:sz w:val="19"/>
                <w:szCs w:val="19"/>
              </w:rPr>
              <w:t xml:space="preserve">Platform status</w:t>
            </w:r>
          </w:p>
        </w:tc>
        <w:tc>
          <w:tcPr>
            <w:tcBorders>
              <w:top w:val="single" w:color="E8E0CC" w:sz="4"/>
              <w:left w:val="single" w:color="E8E0CC" w:sz="4"/>
              <w:bottom w:val="single" w:color="E8E0CC" w:sz="4"/>
              <w:right w:val="single" w:color="E8E0CC" w:sz="4"/>
            </w:tcBorders>
            <w:tcMar>
              <w:top w:type="dxa" w:w="80"/>
              <w:left w:type="dxa" w:w="120"/>
              <w:bottom w:type="dxa" w:w="80"/>
              <w:right w:type="dxa" w:w="120"/>
            </w:tcMar>
          </w:tcPr>
          <w:p>
            <w:r>
              <w:rPr>
                <w:rFonts w:ascii="Arial" w:cs="Arial" w:eastAsia="Arial" w:hAnsi="Arial"/>
                <w:color w:val="222222"/>
                <w:sz w:val="19"/>
                <w:szCs w:val="19"/>
              </w:rPr>
              <w:t xml:space="preserve">Live and demonstrable  ·  210 protocols  ·  231 triggers confirmed in DB  ·  208/208 tests passing</w:t>
            </w:r>
          </w:p>
        </w:tc>
      </w:tr>
      <w:tr>
        <w:tc>
          <w:tcPr>
            <w:tcBorders>
              <w:top w:val="single" w:color="E8E0CC" w:sz="4"/>
              <w:left w:val="single" w:color="E8E0CC" w:sz="4"/>
              <w:bottom w:val="single" w:color="E8E0CC" w:sz="4"/>
              <w:right w:val="single" w:color="E8E0CC" w:sz="4"/>
            </w:tcBorders>
            <w:tcMar>
              <w:top w:type="dxa" w:w="80"/>
              <w:left w:type="dxa" w:w="120"/>
              <w:bottom w:type="dxa" w:w="80"/>
              <w:right w:type="dxa" w:w="120"/>
            </w:tcMar>
          </w:tcPr>
          <w:p>
            <w:r>
              <w:rPr>
                <w:rFonts w:ascii="Arial" w:cs="Arial" w:eastAsia="Arial" w:hAnsi="Arial"/>
                <w:b/>
                <w:bCs/>
                <w:color w:val="0A0F2E"/>
                <w:sz w:val="19"/>
                <w:szCs w:val="19"/>
              </w:rPr>
              <w:t xml:space="preserve">Product assessment</w:t>
            </w:r>
          </w:p>
        </w:tc>
        <w:tc>
          <w:tcPr>
            <w:tcBorders>
              <w:top w:val="single" w:color="E8E0CC" w:sz="4"/>
              <w:left w:val="single" w:color="E8E0CC" w:sz="4"/>
              <w:bottom w:val="single" w:color="E8E0CC" w:sz="4"/>
              <w:right w:val="single" w:color="E8E0CC" w:sz="4"/>
            </w:tcBorders>
            <w:tcMar>
              <w:top w:type="dxa" w:w="80"/>
              <w:left w:type="dxa" w:w="120"/>
              <w:bottom w:type="dxa" w:w="80"/>
              <w:right w:type="dxa" w:w="120"/>
            </w:tcMar>
          </w:tcPr>
          <w:p>
            <w:r>
              <w:rPr>
                <w:rFonts w:ascii="Arial" w:cs="Arial" w:eastAsia="Arial" w:hAnsi="Arial"/>
                <w:color w:val="222222"/>
                <w:sz w:val="19"/>
                <w:szCs w:val="19"/>
              </w:rPr>
              <w:t xml:space="preserve">9.2/10 independent assessment  ·  Category Originality 9.5/10  ·  Strategic Insight 10/10</w:t>
            </w:r>
          </w:p>
        </w:tc>
      </w:tr>
    </w:tbl>
    <w:p>
      <w:pPr>
        <w:pBdr>
          <w:bottom w:val="single" w:color="E8E0CC" w:sz="6"/>
        </w:pBdr>
        <w:spacing w:after="160" w:before="160"/>
      </w:pPr>
    </w:p>
    <w:p>
      <w:pPr>
        <w:pBdr>
          <w:bottom w:val="single" w:color="C9A84C" w:sz="6"/>
        </w:pBdr>
        <w:spacing w:after="100" w:before="320"/>
      </w:pPr>
      <w:r>
        <w:rPr>
          <w:rFonts w:ascii="Cambria" w:cs="Cambria" w:eastAsia="Cambria" w:hAnsi="Cambria"/>
          <w:b/>
          <w:bCs/>
          <w:color w:val="0A0F2E"/>
          <w:sz w:val="28"/>
          <w:szCs w:val="28"/>
        </w:rPr>
        <w:t xml:space="preserve">THE ONLY THING THAT CHANGES EVERYTHING</w:t>
      </w:r>
    </w:p>
    <w:p>
      <w:pPr>
        <w:spacing w:after="100" w:before="40"/>
      </w:pPr>
      <w:r>
        <w:rPr>
          <w:rFonts w:ascii="Arial" w:cs="Arial" w:eastAsia="Arial" w:hAnsi="Arial"/>
          <w:b/>
          <w:bCs/>
          <w:color w:val="222222"/>
          <w:sz w:val="20"/>
          <w:szCs w:val="20"/>
        </w:rPr>
        <w:t xml:space="preserve">One signed Founding Partner converts the story from 'new category based on a structural flaw' to 'first customer validates the category.' That is the milestone $500K unlocks in six months.</w:t>
      </w:r>
    </w:p>
    <w:p>
      <w:pPr>
        <w:spacing w:after="60" w:before="60"/>
      </w:pPr>
      <w:r>
        <w:t xml:space="preserve"/>
      </w:r>
    </w:p>
    <w:p>
      <w:pPr>
        <w:pBdr>
          <w:bottom w:val="single" w:color="C9A84C" w:sz="6"/>
        </w:pBdr>
        <w:spacing w:after="100" w:before="320"/>
      </w:pPr>
      <w:r>
        <w:rPr>
          <w:rFonts w:ascii="Cambria" w:cs="Cambria" w:eastAsia="Cambria" w:hAnsi="Cambria"/>
          <w:b/>
          <w:bCs/>
          <w:color w:val="0A0F2E"/>
          <w:sz w:val="28"/>
          <w:szCs w:val="28"/>
        </w:rPr>
        <w:t xml:space="preserve">THE FOUNDER</w:t>
      </w:r>
    </w:p>
    <w:p>
      <w:pPr>
        <w:spacing w:after="100" w:before="40"/>
      </w:pPr>
      <w:r>
        <w:rPr>
          <w:rFonts w:ascii="Arial" w:cs="Arial" w:eastAsia="Arial" w:hAnsi="Arial"/>
          <w:color w:val="222222"/>
          <w:sz w:val="20"/>
          <w:szCs w:val="20"/>
        </w:rPr>
        <w:t xml:space="preserve">Martin Brunke. 20+ years Fortune 500 operations across Ford, Lockheed Martin, Charles Schwab, Vantiv/Worldpay, Boyd Gaming. Five years coaching major college football at Stanford. The 40-second play clock taught me what enterprises still have not figured out — the response has to be ready before the moment arrives. VaughnMartin is named for my father, Vaughn, who gave me that framework in third grade. Preparation. Readiness. Fearless.</w:t>
      </w:r>
    </w:p>
    <w:p>
      <w:pPr>
        <w:spacing w:after="60" w:before="60"/>
      </w:pPr>
      <w:r>
        <w:t xml:space="preserve"/>
      </w:r>
    </w:p>
    <w:p>
      <w:pPr>
        <w:spacing w:after="40" w:before="180"/>
      </w:pPr>
      <w:r>
        <w:rPr>
          <w:rFonts w:ascii="Arial" w:cs="Arial" w:eastAsia="Arial" w:hAnsi="Arial"/>
          <w:b/>
          <w:bCs/>
          <w:caps/>
          <w:color w:val="C9A84C"/>
          <w:sz w:val="15"/>
          <w:szCs w:val="15"/>
        </w:rPr>
        <w:t xml:space="preserve">CONTACT</w:t>
      </w:r>
    </w:p>
    <w:p>
      <w:pPr>
        <w:spacing w:after="100" w:before="40"/>
      </w:pPr>
      <w:r>
        <w:rPr>
          <w:rFonts w:ascii="Arial" w:cs="Arial" w:eastAsia="Arial" w:hAnsi="Arial"/>
          <w:color w:val="222222"/>
          <w:sz w:val="20"/>
          <w:szCs w:val="20"/>
        </w:rPr>
        <w:t xml:space="preserve">Martin Brunke  ·  founder@vaughnmartin.com  ·  investor@vaughnmartin.com  ·  vaughnmartin.com/investor-landing</w:t>
      </w:r>
    </w:p>
    <w:p>
      <w:pPr>
        <w:pBdr>
          <w:bottom w:val="single" w:color="C9A84C" w:sz="6"/>
        </w:pBdr>
        <w:spacing w:after="160" w:before="160"/>
      </w:pPr>
    </w:p>
    <w:p>
      <w:pPr>
        <w:spacing w:after="40" w:before="80"/>
      </w:pPr>
      <w:r>
        <w:rPr>
          <w:rFonts w:ascii="Arial" w:cs="Arial" w:eastAsia="Arial" w:hAnsi="Arial"/>
          <w:color w:val="999999"/>
          <w:sz w:val="16"/>
          <w:szCs w:val="16"/>
        </w:rPr>
        <w:t xml:space="preserve">VaughnMartin  ·  Readiness OS  ·  Seed Round $500K  ·  July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2026-07-09T19:03:31.621Z</dcterms:created>
  <dcterms:modified xsi:type="dcterms:W3CDTF">2026-07-09T19:03:31.621Z</dcterms:modified>
</cp:coreProperties>
</file>

<file path=docProps/custom.xml><?xml version="1.0" encoding="utf-8"?>
<Properties xmlns="http://schemas.openxmlformats.org/officeDocument/2006/custom-properties" xmlns:vt="http://schemas.openxmlformats.org/officeDocument/2006/docPropsVTypes"/>
</file>