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Arial" w:cs="Arial" w:eastAsia="Arial" w:hAnsi="Arial"/>
          <w:b/>
          <w:bCs/>
          <w:color w:val="0A0F2E"/>
          <w:sz w:val="52"/>
          <w:szCs w:val="52"/>
        </w:rPr>
        <w:t xml:space="preserve">VaughnMartin</w:t>
      </w:r>
    </w:p>
    <w:p>
      <w:pPr>
        <w:spacing w:after="200" w:before="0"/>
        <w:jc w:val="center"/>
      </w:pPr>
      <w:r>
        <w:rPr>
          <w:rFonts w:ascii="Arial" w:cs="Arial" w:eastAsia="Arial" w:hAnsi="Arial"/>
          <w:i/>
          <w:iCs/>
          <w:color w:val="2B8A6E"/>
          <w:sz w:val="38"/>
          <w:szCs w:val="38"/>
        </w:rPr>
        <w:t xml:space="preserve">Readiness OS</w:t>
      </w:r>
    </w:p>
    <w:p>
      <w:pPr>
        <w:spacing w:after="120" w:before="0"/>
        <w:jc w:val="center"/>
      </w:pPr>
      <w:r>
        <w:rPr>
          <w:rFonts w:ascii="Arial" w:cs="Arial" w:eastAsia="Arial" w:hAnsi="Arial"/>
          <w:b/>
          <w:bCs/>
          <w:color w:val="0A0F2E"/>
          <w:sz w:val="32"/>
          <w:szCs w:val="32"/>
        </w:rPr>
        <w:t xml:space="preserve">Product &amp; Website Change Request</w:t>
      </w:r>
    </w:p>
    <w:p>
      <w:pPr>
        <w:spacing w:after="80" w:before="0"/>
        <w:jc w:val="center"/>
      </w:pPr>
      <w:r>
        <w:rPr>
          <w:rFonts w:ascii="Arial" w:cs="Arial" w:eastAsia="Arial" w:hAnsi="Arial"/>
          <w:i/>
          <w:iCs/>
          <w:color w:val="6B7280"/>
          <w:sz w:val="22"/>
          <w:szCs w:val="22"/>
        </w:rPr>
        <w:t xml:space="preserve">Derived from LinkedIn Practitioner Exchange · May 2026</w:t>
      </w:r>
    </w:p>
    <w:p>
      <w:pPr>
        <w:spacing w:after="800" w:before="0"/>
        <w:jc w:val="center"/>
      </w:pPr>
      <w:r>
        <w:rPr>
          <w:rFonts w:ascii="Arial" w:cs="Arial" w:eastAsia="Arial" w:hAnsi="Arial"/>
          <w:color w:val="6B7280"/>
          <w:sz w:val="20"/>
          <w:szCs w:val="20"/>
        </w:rPr>
        <w:t xml:space="preserve">Rev 28 Codebase · developer-reference.md</w:t>
      </w:r>
    </w:p>
    <w:p>
      <w:pPr>
        <w:pBdr>
          <w:bottom w:val="single" w:color="C9A84C" w:sz="4" w:space="1"/>
        </w:pBdr>
        <w:spacing w:after="200" w:before="200"/>
      </w:pPr>
    </w:p>
    <w:p>
      <w:pPr>
        <w:spacing w:after="100" w:before="200"/>
        <w:jc w:val="center"/>
      </w:pPr>
      <w:r>
        <w:rPr>
          <w:rFonts w:ascii="Arial" w:cs="Arial" w:eastAsia="Arial" w:hAnsi="Arial"/>
          <w:b/>
          <w:bCs/>
          <w:color w:val="C9A84C"/>
          <w:sz w:val="20"/>
          <w:szCs w:val="20"/>
        </w:rPr>
        <w:t xml:space="preserve">PURPOSE</w:t>
      </w:r>
    </w:p>
    <w:p>
      <w:pPr>
        <w:spacing w:after="200" w:before="0"/>
        <w:jc w:val="center"/>
      </w:pPr>
      <w:r>
        <w:rPr>
          <w:rFonts w:ascii="Arial" w:cs="Arial" w:eastAsia="Arial" w:hAnsi="Arial"/>
          <w:i/>
          <w:iCs/>
          <w:color w:val="333333"/>
          <w:sz w:val="21"/>
          <w:szCs w:val="21"/>
        </w:rPr>
        <w:t xml:space="preserve">This document translates six weeks of LinkedIn practitioner engagement into structured change instructions for the Replit codebase. Each change is referenced to the exact component file from the developer reference. Changes are organized by category and priority. Execute in order.</w:t>
      </w:r>
    </w:p>
    <w:p>
      <w:pPr>
        <w:pBdr>
          <w:bottom w:val="single" w:color="C9A84C" w:sz="4" w:space="1"/>
        </w:pBdr>
        <w:spacing w:after="200" w:before="200"/>
      </w:pPr>
    </w:p>
    <w:p>
      <w:pPr>
        <w:spacing w:after="140" w:before="240"/>
        <w:jc w:val="center"/>
      </w:pPr>
      <w:r>
        <w:rPr>
          <w:rFonts w:ascii="Arial" w:cs="Arial" w:eastAsia="Arial" w:hAnsi="Arial"/>
          <w:b/>
          <w:bCs/>
          <w:color w:val="0A0F2E"/>
          <w:sz w:val="20"/>
          <w:szCs w:val="20"/>
        </w:rPr>
        <w:t xml:space="preserve">PRIORITY LEVELS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tblGrid>
      <w:tr>
        <w:tc>
          <w:tcPr>
            <w:tcW w:type="dxa" w:w="1440"/>
            <w:tcBorders>
              <w:top w:val="single" w:color="E8E4DC" w:sz="1"/>
              <w:left w:val="single" w:color="E8E4DC" w:sz="1"/>
              <w:bottom w:val="single" w:color="E8E4DC" w:sz="1"/>
              <w:right w:val="single" w:color="E8E4DC" w:sz="1"/>
            </w:tcBorders>
            <w:shd w:fill="C0392B"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P1 — COPY</w:t>
            </w:r>
          </w:p>
        </w:tc>
        <w:tc>
          <w:tcPr>
            <w:tcW w:type="dxa" w:w="79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Replace existing text. No code changes. Execute immediately.</w:t>
            </w:r>
          </w:p>
        </w:tc>
      </w:tr>
      <w:tr>
        <w:tc>
          <w:tcPr>
            <w:tcW w:type="dxa" w:w="1440"/>
            <w:tcBorders>
              <w:top w:val="single" w:color="E8E4DC" w:sz="1"/>
              <w:left w:val="single" w:color="E8E4DC" w:sz="1"/>
              <w:bottom w:val="single" w:color="E8E4DC" w:sz="1"/>
              <w:right w:val="single" w:color="E8E4DC" w:sz="1"/>
            </w:tcBorders>
            <w:shd w:fill="2B8A6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P2 — SECTION</w:t>
            </w:r>
          </w:p>
        </w:tc>
        <w:tc>
          <w:tcPr>
            <w:tcW w:type="dxa" w:w="79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Add new section to existing page. Moderate complexity.</w:t>
            </w:r>
          </w:p>
        </w:tc>
      </w:tr>
      <w:tr>
        <w:tc>
          <w:tcPr>
            <w:tcW w:type="dxa" w:w="1440"/>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9"/>
                <w:szCs w:val="19"/>
              </w:rPr>
              <w:t xml:space="preserve">P3 — PAGE</w:t>
            </w:r>
          </w:p>
        </w:tc>
        <w:tc>
          <w:tcPr>
            <w:tcW w:type="dxa" w:w="7920"/>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New page and route. Full component required.</w:t>
            </w:r>
          </w:p>
        </w:tc>
      </w:tr>
    </w:tbl>
    <w:p>
      <w:pPr>
        <w:spacing w:before="600"/>
      </w:pPr>
    </w:p>
    <w:p>
      <w:pPr>
        <w:spacing w:after="80" w:before="400"/>
      </w:pPr>
      <w:r>
        <w:rPr>
          <w:rFonts w:ascii="Arial" w:cs="Arial" w:eastAsia="Arial" w:hAnsi="Arial"/>
          <w:b/>
          <w:bCs/>
          <w:caps/>
          <w:color w:val="C9A84C"/>
          <w:sz w:val="18"/>
          <w:szCs w:val="18"/>
        </w:rPr>
        <w:t xml:space="preserve">CATEGORY ONE</w:t>
      </w:r>
    </w:p>
    <w:p>
      <w:pPr>
        <w:pStyle w:val="Heading1"/>
        <w:spacing w:after="120" w:before="400"/>
      </w:pPr>
      <w:r>
        <w:rPr>
          <w:rFonts w:ascii="Arial" w:cs="Arial" w:eastAsia="Arial" w:hAnsi="Arial"/>
          <w:b/>
          <w:bCs/>
          <w:color w:val="0A0F2E"/>
          <w:sz w:val="32"/>
          <w:szCs w:val="32"/>
        </w:rPr>
        <w:t xml:space="preserve">P1 — Copy Changes</w:t>
      </w:r>
    </w:p>
    <w:p>
      <w:pPr>
        <w:spacing w:after="280" w:before="120"/>
        <w:jc w:val="left"/>
      </w:pPr>
      <w:r>
        <w:rPr>
          <w:rFonts w:ascii="Arial" w:cs="Arial" w:eastAsia="Arial" w:hAnsi="Arial"/>
          <w:b w:val="false"/>
          <w:bCs w:val="false"/>
          <w:i w:val="false"/>
          <w:iCs w:val="false"/>
          <w:color w:val="333333"/>
          <w:sz w:val="21"/>
          <w:szCs w:val="21"/>
        </w:rPr>
        <w:t xml:space="preserve">These are text replacements inside existing React component files. No new functionality. No database changes. Find the string and replace it. Execute all P1 changes before moving to P2.</w:t>
      </w:r>
    </w:p>
    <w:p>
      <w:pPr>
        <w:pStyle w:val="Heading2"/>
        <w:spacing w:after="120" w:before="280"/>
      </w:pPr>
      <w:r>
        <w:rPr>
          <w:rFonts w:ascii="Arial" w:cs="Arial" w:eastAsia="Arial" w:hAnsi="Arial"/>
          <w:b/>
          <w:bCs/>
          <w:color w:val="2B8A6E"/>
          <w:sz w:val="26"/>
          <w:szCs w:val="26"/>
        </w:rPr>
        <w:t xml:space="preserve">Change 1 · Close-Out Gate Description</w:t>
      </w:r>
    </w:p>
    <w:p>
      <w:pPr>
        <w:spacing w:after="80" w:before="80"/>
        <w:jc w:val="left"/>
      </w:pPr>
      <w:r>
        <w:rPr>
          <w:rFonts w:ascii="Arial" w:cs="Arial" w:eastAsia="Arial" w:hAnsi="Arial"/>
          <w:b/>
          <w:bCs/>
          <w:i w:val="false"/>
          <w:iCs w:val="false"/>
          <w:color w:val="0A0F2E"/>
          <w:sz w:val="20"/>
          <w:szCs w:val="20"/>
        </w:rPr>
        <w:t xml:space="preserve">File: client/src/pages/ActivationOutcome.tsx</w:t>
      </w:r>
    </w:p>
    <w:p>
      <w:pPr>
        <w:spacing w:after="120" w:before="40"/>
        <w:jc w:val="left"/>
      </w:pPr>
      <w:r>
        <w:rPr>
          <w:rFonts w:ascii="Arial" w:cs="Arial" w:eastAsia="Arial" w:hAnsi="Arial"/>
          <w:b w:val="false"/>
          <w:bCs w:val="false"/>
          <w:i w:val="false"/>
          <w:iCs w:val="false"/>
          <w:color w:val="6B7280"/>
          <w:sz w:val="20"/>
          <w:szCs w:val="20"/>
        </w:rPr>
        <w:t xml:space="preserve">Location: The card header and description text for the Close-Out Gate feature (Step 4 of the debrief flow)</w:t>
      </w:r>
    </w:p>
    <w:p>
      <w:pPr>
        <w:spacing w:after="80" w:before="140"/>
        <w:jc w:val="left"/>
      </w:pPr>
      <w:r>
        <w:rPr>
          <w:rFonts w:ascii="Arial" w:cs="Arial" w:eastAsia="Arial" w:hAnsi="Arial"/>
          <w:b/>
          <w:bCs/>
          <w:i w:val="false"/>
          <w:iCs w:val="false"/>
          <w:color w:val="0A0F2E"/>
          <w:sz w:val="20"/>
          <w:szCs w:val="20"/>
        </w:rPr>
        <w:t xml:space="preserve">FIND this text (or closest equivalent):</w:t>
      </w:r>
    </w:p>
    <w:p>
      <w:pPr>
        <w:pBdr>
          <w:left w:val="single" w:color="C0392B" w:sz="6" w:space="6"/>
        </w:pBdr>
        <w:shd w:fill="FFF5F5" w:val="clear"/>
        <w:spacing w:after="80" w:before="80"/>
        <w:ind w:left="240"/>
      </w:pPr>
      <w:r>
        <w:rPr>
          <w:rFonts w:ascii="Courier New" w:cs="Courier New" w:eastAsia="Courier New" w:hAnsi="Courier New"/>
          <w:color w:val="8B0000"/>
          <w:sz w:val="19"/>
          <w:szCs w:val="19"/>
        </w:rPr>
        <w:t xml:space="preserve">"What Has to Change" or "Learning Capture" or any variant describing why the gate exists</w:t>
      </w:r>
    </w:p>
    <w:p>
      <w:pPr>
        <w:spacing w:after="80" w:before="140"/>
        <w:jc w:val="left"/>
      </w:pPr>
      <w:r>
        <w:rPr>
          <w:rFonts w:ascii="Arial" w:cs="Arial" w:eastAsia="Arial" w:hAnsi="Arial"/>
          <w:b/>
          <w:bCs/>
          <w:i w:val="false"/>
          <w:iCs w:val="false"/>
          <w:color w:val="2B8A6E"/>
          <w:sz w:val="20"/>
          <w:szCs w:val="20"/>
        </w:rPr>
        <w:t xml:space="preserve">REPLACE WITH this description text:</w:t>
      </w:r>
    </w:p>
    <w:p>
      <w:pPr>
        <w:pBdr>
          <w:left w:val="single" w:color="2B8A6E" w:sz="6" w:space="6"/>
        </w:pBdr>
        <w:shd w:fill="F0FAF7" w:val="clear"/>
        <w:spacing w:after="80" w:before="80"/>
        <w:ind w:left="240"/>
      </w:pPr>
      <w:r>
        <w:rPr>
          <w:rFonts w:ascii="Courier New" w:cs="Courier New" w:eastAsia="Courier New" w:hAnsi="Courier New"/>
          <w:color w:val="0A4F3F"/>
          <w:sz w:val="19"/>
          <w:szCs w:val="19"/>
        </w:rPr>
        <w:t xml:space="preserve">The system does not retain the conditions that made the decision hold. This gate exists because naming the gap requires admitting the governance was not producing the retention it assumed it was. The debrief cannot close until that gap is named and encoded.</w:t>
      </w:r>
    </w:p>
    <w:p>
      <w:pPr>
        <w:spacing w:after="200" w:before="80"/>
        <w:jc w:val="left"/>
      </w:pPr>
      <w:r>
        <w:rPr>
          <w:rFonts w:ascii="Arial" w:cs="Arial" w:eastAsia="Arial" w:hAnsi="Arial"/>
          <w:b w:val="false"/>
          <w:bCs w:val="false"/>
          <w:i/>
          <w:iCs/>
          <w:color w:val="6B7280"/>
          <w:sz w:val="18"/>
          <w:szCs w:val="18"/>
        </w:rPr>
        <w:t xml:space="preserve">SOURCE: Jayashree Venkataraman — Leadership Systems Advisor, CoFounder NIYA. DM exchange April 25, 2026. Her exact observation: 'The system does not retain the conditions that made the decision hold.'</w:t>
      </w:r>
    </w:p>
    <w:p>
      <w:pPr>
        <w:pStyle w:val="Heading2"/>
        <w:spacing w:after="120" w:before="280"/>
      </w:pPr>
      <w:r>
        <w:rPr>
          <w:rFonts w:ascii="Arial" w:cs="Arial" w:eastAsia="Arial" w:hAnsi="Arial"/>
          <w:b/>
          <w:bCs/>
          <w:color w:val="2B8A6E"/>
          <w:sz w:val="26"/>
          <w:szCs w:val="26"/>
        </w:rPr>
        <w:t xml:space="preserve">Change 2 · Signal Accountability Report Description</w:t>
      </w:r>
    </w:p>
    <w:p>
      <w:pPr>
        <w:spacing w:after="80" w:before="80"/>
        <w:jc w:val="left"/>
      </w:pPr>
      <w:r>
        <w:rPr>
          <w:rFonts w:ascii="Arial" w:cs="Arial" w:eastAsia="Arial" w:hAnsi="Arial"/>
          <w:b/>
          <w:bCs/>
          <w:i w:val="false"/>
          <w:iCs w:val="false"/>
          <w:color w:val="0A0F2E"/>
          <w:sz w:val="20"/>
          <w:szCs w:val="20"/>
        </w:rPr>
        <w:t xml:space="preserve">File: client/src/pages/SignalAccountability.tsx</w:t>
      </w:r>
    </w:p>
    <w:p>
      <w:pPr>
        <w:spacing w:after="120" w:before="40"/>
        <w:jc w:val="left"/>
      </w:pPr>
      <w:r>
        <w:rPr>
          <w:rFonts w:ascii="Arial" w:cs="Arial" w:eastAsia="Arial" w:hAnsi="Arial"/>
          <w:b w:val="false"/>
          <w:bCs w:val="false"/>
          <w:i w:val="false"/>
          <w:iCs w:val="false"/>
          <w:color w:val="6B7280"/>
          <w:sz w:val="20"/>
          <w:szCs w:val="20"/>
        </w:rPr>
        <w:t xml:space="preserve">Location: The research attribution block at the bottom of the page (Dr. Huang reference)</w:t>
      </w:r>
    </w:p>
    <w:p>
      <w:pPr>
        <w:spacing w:after="80" w:before="140"/>
        <w:jc w:val="left"/>
      </w:pPr>
      <w:r>
        <w:rPr>
          <w:rFonts w:ascii="Arial" w:cs="Arial" w:eastAsia="Arial" w:hAnsi="Arial"/>
          <w:b/>
          <w:bCs/>
          <w:i w:val="false"/>
          <w:iCs w:val="false"/>
          <w:color w:val="0A0F2E"/>
          <w:sz w:val="20"/>
          <w:szCs w:val="20"/>
        </w:rPr>
        <w:t xml:space="preserve">FIND this text:</w:t>
      </w:r>
    </w:p>
    <w:p>
      <w:pPr>
        <w:pBdr>
          <w:left w:val="single" w:color="C0392B" w:sz="6" w:space="6"/>
        </w:pBdr>
        <w:shd w:fill="FFF5F5" w:val="clear"/>
        <w:spacing w:after="80" w:before="80"/>
        <w:ind w:left="240"/>
      </w:pPr>
      <w:r>
        <w:rPr>
          <w:rFonts w:ascii="Courier New" w:cs="Courier New" w:eastAsia="Courier New" w:hAnsi="Courier New"/>
          <w:color w:val="8B0000"/>
          <w:sz w:val="19"/>
          <w:szCs w:val="19"/>
        </w:rPr>
        <w:t xml:space="preserve">"Architecture creates the conditions where the choice to ignore is no longer invisible."</w:t>
      </w:r>
    </w:p>
    <w:p>
      <w:pPr>
        <w:spacing w:after="80" w:before="140"/>
        <w:jc w:val="left"/>
      </w:pPr>
      <w:r>
        <w:rPr>
          <w:rFonts w:ascii="Arial" w:cs="Arial" w:eastAsia="Arial" w:hAnsi="Arial"/>
          <w:b/>
          <w:bCs/>
          <w:i w:val="false"/>
          <w:iCs w:val="false"/>
          <w:color w:val="2B8A6E"/>
          <w:sz w:val="20"/>
          <w:szCs w:val="20"/>
        </w:rPr>
        <w:t xml:space="preserve">REPLACE WITH / EXPAND TO:</w:t>
      </w:r>
    </w:p>
    <w:p>
      <w:pPr>
        <w:pBdr>
          <w:left w:val="single" w:color="2B8A6E" w:sz="6" w:space="6"/>
        </w:pBdr>
        <w:shd w:fill="F0FAF7" w:val="clear"/>
        <w:spacing w:after="80" w:before="80"/>
        <w:ind w:left="240"/>
      </w:pPr>
      <w:r>
        <w:rPr>
          <w:rFonts w:ascii="Courier New" w:cs="Courier New" w:eastAsia="Courier New" w:hAnsi="Courier New"/>
          <w:color w:val="0A4F3F"/>
          <w:sz w:val="19"/>
          <w:szCs w:val="19"/>
        </w:rPr>
        <w:t xml:space="preserve">Architecture creates the conditions where the choice to ignore is no longer invisible. AwaCourage determines whether the person actually moves on what the system has made visible. Both functions have to work, or neither does. — Dr. Kerry Huang, ESI Top 1% Researcher, 408-firm governance study</w:t>
      </w:r>
    </w:p>
    <w:p>
      <w:pPr>
        <w:spacing w:after="200" w:before="80"/>
        <w:jc w:val="left"/>
      </w:pPr>
      <w:r>
        <w:rPr>
          <w:rFonts w:ascii="Arial" w:cs="Arial" w:eastAsia="Arial" w:hAnsi="Arial"/>
          <w:b w:val="false"/>
          <w:bCs w:val="false"/>
          <w:i/>
          <w:iCs/>
          <w:color w:val="6B7280"/>
          <w:sz w:val="18"/>
          <w:szCs w:val="18"/>
        </w:rPr>
        <w:t xml:space="preserve">SOURCE: Dr. Kerry Huang — LinkedIn repost April 20, 2026, naming Martin Brunke publicly. This is the full quote from his repost. The current copy uses only the first sentence. Add the full attribution.</w:t>
      </w:r>
    </w:p>
    <w:p>
      <w:pPr>
        <w:pStyle w:val="Heading2"/>
        <w:spacing w:after="120" w:before="280"/>
      </w:pPr>
      <w:r>
        <w:rPr>
          <w:rFonts w:ascii="Arial" w:cs="Arial" w:eastAsia="Arial" w:hAnsi="Arial"/>
          <w:b/>
          <w:bCs/>
          <w:color w:val="2B8A6E"/>
          <w:sz w:val="26"/>
          <w:szCs w:val="26"/>
        </w:rPr>
        <w:t xml:space="preserve">Change 3 · Preparation Gap Language (Platform-Wide)</w:t>
      </w:r>
    </w:p>
    <w:p>
      <w:pPr>
        <w:spacing w:after="80" w:before="80"/>
        <w:jc w:val="left"/>
      </w:pPr>
      <w:r>
        <w:rPr>
          <w:rFonts w:ascii="Arial" w:cs="Arial" w:eastAsia="Arial" w:hAnsi="Arial"/>
          <w:b/>
          <w:bCs/>
          <w:i w:val="false"/>
          <w:iCs w:val="false"/>
          <w:color w:val="0A0F2E"/>
          <w:sz w:val="20"/>
          <w:szCs w:val="20"/>
        </w:rPr>
        <w:t xml:space="preserve">Files: Any page that currently describes what happens when preparation architecture is missing. Priority targets: TryDemo.tsx (Chaos phase banner), GuidedStart.tsx, PlaybookActivationConsole.tsx (debrief language)</w:t>
      </w:r>
    </w:p>
    <w:p>
      <w:pPr>
        <w:spacing w:after="120" w:before="40"/>
        <w:jc w:val="left"/>
      </w:pPr>
      <w:r>
        <w:rPr>
          <w:rFonts w:ascii="Arial" w:cs="Arial" w:eastAsia="Arial" w:hAnsi="Arial"/>
          <w:b w:val="false"/>
          <w:bCs w:val="false"/>
          <w:i w:val="false"/>
          <w:iCs w:val="false"/>
          <w:color w:val="6B7280"/>
          <w:sz w:val="20"/>
          <w:szCs w:val="20"/>
        </w:rPr>
        <w:t xml:space="preserve">Location: Any sentence describing degraded or weakened capability without preparation</w:t>
      </w:r>
    </w:p>
    <w:p>
      <w:pPr>
        <w:spacing w:after="80" w:before="140"/>
        <w:jc w:val="left"/>
      </w:pPr>
      <w:r>
        <w:rPr>
          <w:rFonts w:ascii="Arial" w:cs="Arial" w:eastAsia="Arial" w:hAnsi="Arial"/>
          <w:b/>
          <w:bCs/>
          <w:i w:val="false"/>
          <w:iCs w:val="false"/>
          <w:color w:val="0A0F2E"/>
          <w:sz w:val="20"/>
          <w:szCs w:val="20"/>
        </w:rPr>
        <w:t xml:space="preserve">FIND language using:</w:t>
      </w:r>
    </w:p>
    <w:p>
      <w:pPr>
        <w:pBdr>
          <w:left w:val="single" w:color="C0392B" w:sz="6" w:space="6"/>
        </w:pBdr>
        <w:shd w:fill="FFF5F5" w:val="clear"/>
        <w:spacing w:after="80" w:before="80"/>
        <w:ind w:left="240"/>
      </w:pPr>
      <w:r>
        <w:rPr>
          <w:rFonts w:ascii="Courier New" w:cs="Courier New" w:eastAsia="Courier New" w:hAnsi="Courier New"/>
          <w:color w:val="8B0000"/>
          <w:sz w:val="19"/>
          <w:szCs w:val="19"/>
        </w:rPr>
        <w:t xml:space="preserve">"weakened" OR "degraded" OR "reduced capability" in the context of missing preparation architecture</w:t>
      </w:r>
    </w:p>
    <w:p>
      <w:pPr>
        <w:spacing w:after="80" w:before="140"/>
        <w:jc w:val="left"/>
      </w:pPr>
      <w:r>
        <w:rPr>
          <w:rFonts w:ascii="Arial" w:cs="Arial" w:eastAsia="Arial" w:hAnsi="Arial"/>
          <w:b/>
          <w:bCs/>
          <w:i w:val="false"/>
          <w:iCs w:val="false"/>
          <w:color w:val="2B8A6E"/>
          <w:sz w:val="20"/>
          <w:szCs w:val="20"/>
        </w:rPr>
        <w:t xml:space="preserve">REPLACE WITH:</w:t>
      </w:r>
    </w:p>
    <w:p>
      <w:pPr>
        <w:pBdr>
          <w:left w:val="single" w:color="2B8A6E" w:sz="6" w:space="6"/>
        </w:pBdr>
        <w:shd w:fill="F0FAF7" w:val="clear"/>
        <w:spacing w:after="80" w:before="80"/>
        <w:ind w:left="240"/>
      </w:pPr>
      <w:r>
        <w:rPr>
          <w:rFonts w:ascii="Courier New" w:cs="Courier New" w:eastAsia="Courier New" w:hAnsi="Courier New"/>
          <w:color w:val="0A4F3F"/>
          <w:sz w:val="19"/>
          <w:szCs w:val="19"/>
        </w:rPr>
        <w:t xml:space="preserve">"absent" — The capability to respond is not weakened without preparation. It is absent entirely. This is the precise clinical distinction.</w:t>
      </w:r>
    </w:p>
    <w:p>
      <w:pPr>
        <w:spacing w:after="200" w:before="80"/>
        <w:jc w:val="left"/>
      </w:pPr>
      <w:r>
        <w:rPr>
          <w:rFonts w:ascii="Arial" w:cs="Arial" w:eastAsia="Arial" w:hAnsi="Arial"/>
          <w:b w:val="false"/>
          <w:bCs w:val="false"/>
          <w:i/>
          <w:iCs/>
          <w:color w:val="6B7280"/>
          <w:sz w:val="18"/>
          <w:szCs w:val="18"/>
        </w:rPr>
        <w:t xml:space="preserve">SOURCE: Dr. Kulneet Suri — Applied Behavioral Scientist, Harvard alumna, Oxford Research Reviewer. Comment exchange May 6, 2026. Her exact observation: 'The capability to respond isn't just weakened — it's absent when it's needed most.'</w:t>
      </w:r>
    </w:p>
    <w:p>
      <w:pPr>
        <w:pStyle w:val="Heading2"/>
        <w:spacing w:after="120" w:before="280"/>
      </w:pPr>
      <w:r>
        <w:rPr>
          <w:rFonts w:ascii="Arial" w:cs="Arial" w:eastAsia="Arial" w:hAnsi="Arial"/>
          <w:b/>
          <w:bCs/>
          <w:color w:val="2B8A6E"/>
          <w:sz w:val="26"/>
          <w:szCs w:val="26"/>
        </w:rPr>
        <w:t xml:space="preserve">Change 4 · ADVANCE Phase Description</w:t>
      </w:r>
    </w:p>
    <w:p>
      <w:pPr>
        <w:spacing w:after="80" w:before="80"/>
        <w:jc w:val="left"/>
      </w:pPr>
      <w:r>
        <w:rPr>
          <w:rFonts w:ascii="Arial" w:cs="Arial" w:eastAsia="Arial" w:hAnsi="Arial"/>
          <w:b/>
          <w:bCs/>
          <w:i w:val="false"/>
          <w:iCs w:val="false"/>
          <w:color w:val="0A0F2E"/>
          <w:sz w:val="20"/>
          <w:szCs w:val="20"/>
        </w:rPr>
        <w:t xml:space="preserve">File: client/src/pages/WorkspaceAdvance.tsx AND IDEAFramework.tsx</w:t>
      </w:r>
    </w:p>
    <w:p>
      <w:pPr>
        <w:spacing w:after="120" w:before="40"/>
        <w:jc w:val="left"/>
      </w:pPr>
      <w:r>
        <w:rPr>
          <w:rFonts w:ascii="Arial" w:cs="Arial" w:eastAsia="Arial" w:hAnsi="Arial"/>
          <w:b w:val="false"/>
          <w:bCs w:val="false"/>
          <w:i w:val="false"/>
          <w:iCs w:val="false"/>
          <w:color w:val="6B7280"/>
          <w:sz w:val="20"/>
          <w:szCs w:val="20"/>
        </w:rPr>
        <w:t xml:space="preserve">Location: The section describing what the ADVANCE phase produces and why it matters</w:t>
      </w:r>
    </w:p>
    <w:p>
      <w:pPr>
        <w:spacing w:after="80" w:before="140"/>
        <w:jc w:val="left"/>
      </w:pPr>
      <w:r>
        <w:rPr>
          <w:rFonts w:ascii="Arial" w:cs="Arial" w:eastAsia="Arial" w:hAnsi="Arial"/>
          <w:b/>
          <w:bCs/>
          <w:i w:val="false"/>
          <w:iCs w:val="false"/>
          <w:color w:val="2B8A6E"/>
          <w:sz w:val="20"/>
          <w:szCs w:val="20"/>
        </w:rPr>
        <w:t xml:space="preserve">ADD this framing to the ADVANCE phase description:</w:t>
      </w:r>
    </w:p>
    <w:p>
      <w:pPr>
        <w:pBdr>
          <w:left w:val="single" w:color="2B8A6E" w:sz="6" w:space="6"/>
        </w:pBdr>
        <w:shd w:fill="F0FAF7" w:val="clear"/>
        <w:spacing w:after="80" w:before="80"/>
        <w:ind w:left="240"/>
      </w:pPr>
      <w:r>
        <w:rPr>
          <w:rFonts w:ascii="Courier New" w:cs="Courier New" w:eastAsia="Courier New" w:hAnsi="Courier New"/>
          <w:color w:val="0A4F3F"/>
          <w:sz w:val="19"/>
          <w:szCs w:val="19"/>
        </w:rPr>
        <w:t xml:space="preserve">Most organizations experience triggers. Very few encode them back into the system. So every trigger becomes a fresh reaction — the team mobilizes, figures it out under pressure, delivers a response, and then nothing gets formalized into updated decision rights, new escalation logic, or pre-staged responses. The next trigger arrives and they start from zero again. The ADVANCE phase closes that loop. Signal. Trigger. Response. Encoding. Updated architecture. Without encoding, it is just experience. With it, capability compounds.</w:t>
      </w:r>
    </w:p>
    <w:p>
      <w:pPr>
        <w:spacing w:after="200" w:before="80"/>
        <w:jc w:val="left"/>
      </w:pPr>
      <w:r>
        <w:rPr>
          <w:rFonts w:ascii="Arial" w:cs="Arial" w:eastAsia="Arial" w:hAnsi="Arial"/>
          <w:b w:val="false"/>
          <w:bCs w:val="false"/>
          <w:i/>
          <w:iCs/>
          <w:color w:val="6B7280"/>
          <w:sz w:val="18"/>
          <w:szCs w:val="18"/>
        </w:rPr>
        <w:t xml:space="preserve">SOURCE: Zhaohui Feng — Former CIO, 25+ years enterprise IT. Comment exchange May 7, 2026. His five-step chain (Signal → Trigger → Response → Encoding → Updated architecture) independently named the IDEA Framework from a CIO operational vantage.</w:t>
      </w:r>
    </w:p>
    <w:p>
      <w:pPr>
        <w:pStyle w:val="Heading2"/>
        <w:spacing w:after="120" w:before="280"/>
      </w:pPr>
      <w:r>
        <w:rPr>
          <w:rFonts w:ascii="Arial" w:cs="Arial" w:eastAsia="Arial" w:hAnsi="Arial"/>
          <w:b/>
          <w:bCs/>
          <w:color w:val="2B8A6E"/>
          <w:sz w:val="26"/>
          <w:szCs w:val="26"/>
        </w:rPr>
        <w:t xml:space="preserve">Change 5 · Microsoft Ecosystem Positioning Page</w:t>
      </w:r>
    </w:p>
    <w:p>
      <w:pPr>
        <w:spacing w:after="80" w:before="80"/>
        <w:jc w:val="left"/>
      </w:pPr>
      <w:r>
        <w:rPr>
          <w:rFonts w:ascii="Arial" w:cs="Arial" w:eastAsia="Arial" w:hAnsi="Arial"/>
          <w:b/>
          <w:bCs/>
          <w:i w:val="false"/>
          <w:iCs w:val="false"/>
          <w:color w:val="0A0F2E"/>
          <w:sz w:val="20"/>
          <w:szCs w:val="20"/>
        </w:rPr>
        <w:t xml:space="preserve">File: client/src/pages/EcosystemDiagramPage.tsx (route: /ecosystem)</w:t>
      </w:r>
    </w:p>
    <w:p>
      <w:pPr>
        <w:spacing w:after="120" w:before="40"/>
        <w:jc w:val="left"/>
      </w:pPr>
      <w:r>
        <w:rPr>
          <w:rFonts w:ascii="Arial" w:cs="Arial" w:eastAsia="Arial" w:hAnsi="Arial"/>
          <w:b w:val="false"/>
          <w:bCs w:val="false"/>
          <w:i w:val="false"/>
          <w:iCs w:val="false"/>
          <w:color w:val="6B7280"/>
          <w:sz w:val="20"/>
          <w:szCs w:val="20"/>
        </w:rPr>
        <w:t xml:space="preserve">Location: The problem statement section explaining why AI investment alone is insufficient</w:t>
      </w:r>
    </w:p>
    <w:p>
      <w:pPr>
        <w:spacing w:after="80" w:before="140"/>
        <w:jc w:val="left"/>
      </w:pPr>
      <w:r>
        <w:rPr>
          <w:rFonts w:ascii="Arial" w:cs="Arial" w:eastAsia="Arial" w:hAnsi="Arial"/>
          <w:b/>
          <w:bCs/>
          <w:i w:val="false"/>
          <w:iCs w:val="false"/>
          <w:color w:val="2B8A6E"/>
          <w:sz w:val="20"/>
          <w:szCs w:val="20"/>
        </w:rPr>
        <w:t xml:space="preserve">ADD this line to the problem statement section:</w:t>
      </w:r>
    </w:p>
    <w:p>
      <w:pPr>
        <w:pBdr>
          <w:left w:val="single" w:color="2B8A6E" w:sz="6" w:space="6"/>
        </w:pBdr>
        <w:shd w:fill="F0FAF7" w:val="clear"/>
        <w:spacing w:after="80" w:before="80"/>
        <w:ind w:left="240"/>
      </w:pPr>
      <w:r>
        <w:rPr>
          <w:rFonts w:ascii="Courier New" w:cs="Courier New" w:eastAsia="Courier New" w:hAnsi="Courier New"/>
          <w:color w:val="0A4F3F"/>
          <w:sz w:val="19"/>
          <w:szCs w:val="19"/>
        </w:rPr>
        <w:t xml:space="preserve">Technology amplifies whatever system it is applied to. If the coordination architecture does not exist before the trigger fires, AI accelerates the gap, not the response. The operating model layer has to be built before the signal appears.</w:t>
      </w:r>
    </w:p>
    <w:p>
      <w:pPr>
        <w:spacing w:after="200" w:before="80"/>
        <w:jc w:val="left"/>
      </w:pPr>
      <w:r>
        <w:rPr>
          <w:rFonts w:ascii="Arial" w:cs="Arial" w:eastAsia="Arial" w:hAnsi="Arial"/>
          <w:b w:val="false"/>
          <w:bCs w:val="false"/>
          <w:i/>
          <w:iCs/>
          <w:color w:val="6B7280"/>
          <w:sz w:val="18"/>
          <w:szCs w:val="18"/>
        </w:rPr>
        <w:t xml:space="preserve">SOURCE: Sabina Krzystolik — Former Unilever COO. Comment exchange May 6, 2026. Her exact line: 'Technology amplifies whatever system it is applied to.' Also applies to: WhyExecutionOS.tsx competitive positioning page, InvestorLanding.tsx Microsoft section.</w:t>
      </w:r>
    </w:p>
    <w:p>
      <w:pPr>
        <w:pBdr>
          <w:bottom w:val="single" w:color="C9A84C" w:sz="4" w:space="1"/>
        </w:pBdr>
        <w:spacing w:after="200" w:before="200"/>
      </w:pPr>
    </w:p>
    <w:p>
      <w:pPr>
        <w:spacing w:after="80" w:before="400"/>
      </w:pPr>
      <w:r>
        <w:rPr>
          <w:rFonts w:ascii="Arial" w:cs="Arial" w:eastAsia="Arial" w:hAnsi="Arial"/>
          <w:b/>
          <w:bCs/>
          <w:caps/>
          <w:color w:val="C9A84C"/>
          <w:sz w:val="18"/>
          <w:szCs w:val="18"/>
        </w:rPr>
        <w:t xml:space="preserve">CATEGORY TWO</w:t>
      </w:r>
    </w:p>
    <w:p>
      <w:pPr>
        <w:pStyle w:val="Heading1"/>
        <w:spacing w:after="120" w:before="400"/>
      </w:pPr>
      <w:r>
        <w:rPr>
          <w:rFonts w:ascii="Arial" w:cs="Arial" w:eastAsia="Arial" w:hAnsi="Arial"/>
          <w:b/>
          <w:bCs/>
          <w:color w:val="0A0F2E"/>
          <w:sz w:val="32"/>
          <w:szCs w:val="32"/>
        </w:rPr>
        <w:t xml:space="preserve">P2 — New Content Sections on Existing Pages</w:t>
      </w:r>
    </w:p>
    <w:p>
      <w:pPr>
        <w:spacing w:after="280" w:before="120"/>
        <w:jc w:val="left"/>
      </w:pPr>
      <w:r>
        <w:rPr>
          <w:rFonts w:ascii="Arial" w:cs="Arial" w:eastAsia="Arial" w:hAnsi="Arial"/>
          <w:b w:val="false"/>
          <w:bCs w:val="false"/>
          <w:i w:val="false"/>
          <w:iCs w:val="false"/>
          <w:color w:val="333333"/>
          <w:sz w:val="21"/>
          <w:szCs w:val="21"/>
        </w:rPr>
        <w:t xml:space="preserve">These changes add new sections to existing pages. Each requires creating a new JSX block inside an existing component and positioning it correctly in the render order. No new routes or database changes.</w:t>
      </w:r>
    </w:p>
    <w:p>
      <w:pPr>
        <w:pStyle w:val="Heading2"/>
        <w:spacing w:after="120" w:before="280"/>
      </w:pPr>
      <w:r>
        <w:rPr>
          <w:rFonts w:ascii="Arial" w:cs="Arial" w:eastAsia="Arial" w:hAnsi="Arial"/>
          <w:b/>
          <w:bCs/>
          <w:color w:val="2B8A6E"/>
          <w:sz w:val="26"/>
          <w:szCs w:val="26"/>
        </w:rPr>
        <w:t xml:space="preserve">Section Change 1 · Homepage Hero Pull Quote</w:t>
      </w:r>
    </w:p>
    <w:p>
      <w:pPr>
        <w:spacing w:after="80" w:before="80"/>
        <w:jc w:val="left"/>
      </w:pPr>
      <w:r>
        <w:rPr>
          <w:rFonts w:ascii="Arial" w:cs="Arial" w:eastAsia="Arial" w:hAnsi="Arial"/>
          <w:b/>
          <w:bCs/>
          <w:i w:val="false"/>
          <w:iCs w:val="false"/>
          <w:color w:val="0A0F2E"/>
          <w:sz w:val="20"/>
          <w:szCs w:val="20"/>
        </w:rPr>
        <w:t xml:space="preserve">File: client/src/pages/Homepage.tsx</w:t>
      </w:r>
    </w:p>
    <w:p>
      <w:pPr>
        <w:spacing w:after="120" w:before="40"/>
        <w:jc w:val="left"/>
      </w:pPr>
      <w:r>
        <w:rPr>
          <w:rFonts w:ascii="Arial" w:cs="Arial" w:eastAsia="Arial" w:hAnsi="Arial"/>
          <w:b w:val="false"/>
          <w:bCs w:val="false"/>
          <w:i w:val="false"/>
          <w:iCs w:val="false"/>
          <w:color w:val="6B7280"/>
          <w:sz w:val="20"/>
          <w:szCs w:val="20"/>
        </w:rPr>
        <w:t xml:space="preserve">Location: Insert immediately after the HeroSection and before the ProblemSection</w:t>
      </w:r>
    </w:p>
    <w:p>
      <w:pPr>
        <w:spacing w:after="80" w:before="140"/>
        <w:jc w:val="left"/>
      </w:pPr>
      <w:r>
        <w:rPr>
          <w:rFonts w:ascii="Arial" w:cs="Arial" w:eastAsia="Arial" w:hAnsi="Arial"/>
          <w:b/>
          <w:bCs/>
          <w:i w:val="false"/>
          <w:iCs w:val="false"/>
          <w:color w:val="2B8A6E"/>
          <w:sz w:val="20"/>
          <w:szCs w:val="20"/>
        </w:rPr>
        <w:t xml:space="preserve">ADD this pull quote block:</w:t>
      </w:r>
    </w:p>
    <w:p>
      <w:pPr>
        <w:pBdr>
          <w:left w:val="single" w:color="2B8A6E" w:sz="6" w:space="6"/>
        </w:pBdr>
        <w:shd w:fill="F0FAF7" w:val="clear"/>
        <w:spacing w:after="80" w:before="80"/>
        <w:ind w:left="240"/>
      </w:pPr>
      <w:r>
        <w:rPr>
          <w:rFonts w:ascii="Courier New" w:cs="Courier New" w:eastAsia="Courier New" w:hAnsi="Courier New"/>
          <w:color w:val="0A4F3F"/>
          <w:sz w:val="19"/>
          <w:szCs w:val="19"/>
        </w:rPr>
        <w:t xml:space="preserve">Visual treatment: Navy background, gold left border (3px), ivory text. Single sentence centered in the block.
Copy: "The twelve minutes happens because the other 29 days and 23 hours of work were done before the trigger ever fired."</w:t>
      </w:r>
    </w:p>
    <w:p>
      <w:pPr>
        <w:spacing w:after="200" w:before="80"/>
        <w:jc w:val="left"/>
      </w:pPr>
      <w:r>
        <w:rPr>
          <w:rFonts w:ascii="Arial" w:cs="Arial" w:eastAsia="Arial" w:hAnsi="Arial"/>
          <w:b w:val="false"/>
          <w:bCs w:val="false"/>
          <w:i/>
          <w:iCs/>
          <w:color w:val="6B7280"/>
          <w:sz w:val="18"/>
          <w:szCs w:val="18"/>
        </w:rPr>
        <w:t xml:space="preserve">SOURCE: William Milne — Managing Director, Racanaa Energy. Comment on the Twelve Minutes post, May 7, 2026. This is the clearest single-sentence compression of the preparation advantage that any practitioner has produced. It belongs on the homepage.</w:t>
      </w:r>
    </w:p>
    <w:p>
      <w:pPr>
        <w:pStyle w:val="Heading2"/>
        <w:spacing w:after="120" w:before="280"/>
      </w:pPr>
      <w:r>
        <w:rPr>
          <w:rFonts w:ascii="Arial" w:cs="Arial" w:eastAsia="Arial" w:hAnsi="Arial"/>
          <w:b/>
          <w:bCs/>
          <w:color w:val="2B8A6E"/>
          <w:sz w:val="26"/>
          <w:szCs w:val="26"/>
        </w:rPr>
        <w:t xml:space="preserve">Section Change 2 · ADVANCE Phase Compounding Visual</w:t>
      </w:r>
    </w:p>
    <w:p>
      <w:pPr>
        <w:spacing w:after="80" w:before="80"/>
        <w:jc w:val="left"/>
      </w:pPr>
      <w:r>
        <w:rPr>
          <w:rFonts w:ascii="Arial" w:cs="Arial" w:eastAsia="Arial" w:hAnsi="Arial"/>
          <w:b/>
          <w:bCs/>
          <w:i w:val="false"/>
          <w:iCs w:val="false"/>
          <w:color w:val="0A0F2E"/>
          <w:sz w:val="20"/>
          <w:szCs w:val="20"/>
        </w:rPr>
        <w:t xml:space="preserve">File: client/src/pages/IDEAFramework.tsx (route: /how-it-works-idea)</w:t>
      </w:r>
    </w:p>
    <w:p>
      <w:pPr>
        <w:spacing w:after="120" w:before="40"/>
        <w:jc w:val="left"/>
      </w:pPr>
      <w:r>
        <w:rPr>
          <w:rFonts w:ascii="Arial" w:cs="Arial" w:eastAsia="Arial" w:hAnsi="Arial"/>
          <w:b w:val="false"/>
          <w:bCs w:val="false"/>
          <w:i w:val="false"/>
          <w:iCs w:val="false"/>
          <w:color w:val="6B7280"/>
          <w:sz w:val="20"/>
          <w:szCs w:val="20"/>
        </w:rPr>
        <w:t xml:space="preserve">Location: The Compounding Advantage section (already exists between coaching analogy and Governing Principle). Update the 4-cell strip.</w:t>
      </w:r>
    </w:p>
    <w:p>
      <w:pPr>
        <w:spacing w:after="80" w:before="140"/>
        <w:jc w:val="left"/>
      </w:pPr>
      <w:r>
        <w:rPr>
          <w:rFonts w:ascii="Arial" w:cs="Arial" w:eastAsia="Arial" w:hAnsi="Arial"/>
          <w:b/>
          <w:bCs/>
          <w:i w:val="false"/>
          <w:iCs w:val="false"/>
          <w:color w:val="2B8A6E"/>
          <w:sz w:val="20"/>
          <w:szCs w:val="20"/>
        </w:rPr>
        <w:t xml:space="preserve">UPDATE the ADVANCE cell in the compound flywheel to include:</w:t>
      </w:r>
    </w:p>
    <w:p>
      <w:pPr>
        <w:pBdr>
          <w:left w:val="single" w:color="2B8A6E" w:sz="6" w:space="6"/>
        </w:pBdr>
        <w:shd w:fill="F0FAF7" w:val="clear"/>
        <w:spacing w:after="80" w:before="80"/>
        <w:ind w:left="240"/>
      </w:pPr>
      <w:r>
        <w:rPr>
          <w:rFonts w:ascii="Courier New" w:cs="Courier New" w:eastAsia="Courier New" w:hAnsi="Courier New"/>
          <w:color w:val="0A4F3F"/>
          <w:sz w:val="19"/>
          <w:szCs w:val="19"/>
        </w:rPr>
        <w:t xml:space="preserve">ADVANCE cell copy:
Headline: "Encoding Makes It Compound"
Body: "Signal. Trigger. Response. Encoding. Updated architecture. Most platforms address the first three. The encoding and the updated architecture are where the preparation compounds. Without those two steps the organization is just collecting experience. With them it is building capability."
Attribution line (small, italic): "— Framework independently named by Zhaohui Feng, Former CIO, 25+ years enterprise IT"</w:t>
      </w:r>
    </w:p>
    <w:p>
      <w:pPr>
        <w:spacing w:after="200" w:before="60"/>
        <w:jc w:val="left"/>
      </w:pPr>
      <w:r>
        <w:rPr>
          <w:rFonts w:ascii="Arial" w:cs="Arial" w:eastAsia="Arial" w:hAnsi="Arial"/>
          <w:b w:val="false"/>
          <w:bCs w:val="false"/>
          <w:i/>
          <w:iCs/>
          <w:color w:val="8B6914"/>
          <w:sz w:val="18"/>
          <w:szCs w:val="18"/>
        </w:rPr>
        <w:t xml:space="preserve">NOTE: Attribution is optional. The language itself is what matters. Founder to decide whether to attribute.</w:t>
      </w:r>
    </w:p>
    <w:p>
      <w:pPr>
        <w:pStyle w:val="Heading2"/>
        <w:spacing w:after="120" w:before="280"/>
      </w:pPr>
      <w:r>
        <w:rPr>
          <w:rFonts w:ascii="Arial" w:cs="Arial" w:eastAsia="Arial" w:hAnsi="Arial"/>
          <w:b/>
          <w:bCs/>
          <w:color w:val="2B8A6E"/>
          <w:sz w:val="26"/>
          <w:szCs w:val="26"/>
        </w:rPr>
        <w:t xml:space="preserve">Section Change 3 · Close-Out Gate Four Questions</w:t>
      </w:r>
    </w:p>
    <w:p>
      <w:pPr>
        <w:spacing w:after="80" w:before="80"/>
        <w:jc w:val="left"/>
      </w:pPr>
      <w:r>
        <w:rPr>
          <w:rFonts w:ascii="Arial" w:cs="Arial" w:eastAsia="Arial" w:hAnsi="Arial"/>
          <w:b/>
          <w:bCs/>
          <w:i w:val="false"/>
          <w:iCs w:val="false"/>
          <w:color w:val="0A0F2E"/>
          <w:sz w:val="20"/>
          <w:szCs w:val="20"/>
        </w:rPr>
        <w:t xml:space="preserve">File: client/src/pages/ActivationOutcome.tsx</w:t>
      </w:r>
    </w:p>
    <w:p>
      <w:pPr>
        <w:spacing w:after="120" w:before="40"/>
        <w:jc w:val="left"/>
      </w:pPr>
      <w:r>
        <w:rPr>
          <w:rFonts w:ascii="Arial" w:cs="Arial" w:eastAsia="Arial" w:hAnsi="Arial"/>
          <w:b w:val="false"/>
          <w:bCs w:val="false"/>
          <w:i w:val="false"/>
          <w:iCs w:val="false"/>
          <w:color w:val="6B7280"/>
          <w:sz w:val="20"/>
          <w:szCs w:val="20"/>
        </w:rPr>
        <w:t xml:space="preserve">Location: The Close-Out Gate card (Step 4). The four required field labels.</w:t>
      </w:r>
    </w:p>
    <w:p>
      <w:pPr>
        <w:spacing w:after="80" w:before="140"/>
        <w:jc w:val="left"/>
      </w:pPr>
      <w:r>
        <w:rPr>
          <w:rFonts w:ascii="Arial" w:cs="Arial" w:eastAsia="Arial" w:hAnsi="Arial"/>
          <w:b/>
          <w:bCs/>
          <w:i w:val="false"/>
          <w:iCs w:val="false"/>
          <w:color w:val="2B8A6E"/>
          <w:sz w:val="20"/>
          <w:szCs w:val="20"/>
        </w:rPr>
        <w:t xml:space="preserve">UPDATE the four required field labels to align precisely with practitioner language:</w:t>
      </w:r>
    </w:p>
    <w:p>
      <w:pPr>
        <w:pBdr>
          <w:left w:val="single" w:color="2B8A6E" w:sz="6" w:space="6"/>
        </w:pBdr>
        <w:shd w:fill="F0FAF7" w:val="clear"/>
        <w:spacing w:after="80" w:before="80"/>
        <w:ind w:left="240"/>
      </w:pPr>
      <w:r>
        <w:rPr>
          <w:rFonts w:ascii="Courier New" w:cs="Courier New" w:eastAsia="Courier New" w:hAnsi="Courier New"/>
          <w:color w:val="0A4F3F"/>
          <w:sz w:val="19"/>
          <w:szCs w:val="19"/>
        </w:rPr>
        <w:t xml:space="preserve">Field 1 (whatHeld): "What held under live conditions" → Keep as is. Already precise.
Field 2 (whatDidntHold): "Where did the preparation fail to hold under pressure" → Update subtext to: "The system does not retain the conditions that made the decision hold. Name the specific moment it did not."
Field 3 (preparationGap): "What conditions or actors the playbook did not anticipate" → Update subtext to: "Where was the preparation built around the assumed owner rather than the actual one."
Field 4 (oneThingToEncode): "The single change encoded back into the architecture before the next trigger fires" → This field IS the gate. Update the help text to: "This is what turns experience into capability. Without this answer the organization starts from zero next time."</w:t>
      </w:r>
    </w:p>
    <w:p>
      <w:pPr>
        <w:spacing w:after="200" w:before="80"/>
        <w:jc w:val="left"/>
      </w:pPr>
      <w:r>
        <w:rPr>
          <w:rFonts w:ascii="Arial" w:cs="Arial" w:eastAsia="Arial" w:hAnsi="Arial"/>
          <w:b w:val="false"/>
          <w:bCs w:val="false"/>
          <w:i/>
          <w:iCs/>
          <w:color w:val="6B7280"/>
          <w:sz w:val="18"/>
          <w:szCs w:val="18"/>
        </w:rPr>
        <w:t xml:space="preserve">SOURCE: Zhaohui Feng's four encoding questions (May 7) and Jayashree Venkataraman's decision-holding mechanism (April 25) combined to produce this precise language. The four fields already exist in the database schema (Section 38 of developer reference). This is copy only.</w:t>
      </w:r>
    </w:p>
    <w:p>
      <w:pPr>
        <w:pStyle w:val="Heading2"/>
        <w:spacing w:after="120" w:before="280"/>
      </w:pPr>
      <w:r>
        <w:rPr>
          <w:rFonts w:ascii="Arial" w:cs="Arial" w:eastAsia="Arial" w:hAnsi="Arial"/>
          <w:b/>
          <w:bCs/>
          <w:color w:val="2B8A6E"/>
          <w:sz w:val="26"/>
          <w:szCs w:val="26"/>
        </w:rPr>
        <w:t xml:space="preserve">Section Change 4 · AI Operating Model Framing (WhyExecutionOS)</w:t>
      </w:r>
    </w:p>
    <w:p>
      <w:pPr>
        <w:spacing w:after="80" w:before="80"/>
        <w:jc w:val="left"/>
      </w:pPr>
      <w:r>
        <w:rPr>
          <w:rFonts w:ascii="Arial" w:cs="Arial" w:eastAsia="Arial" w:hAnsi="Arial"/>
          <w:b/>
          <w:bCs/>
          <w:i w:val="false"/>
          <w:iCs w:val="false"/>
          <w:color w:val="0A0F2E"/>
          <w:sz w:val="20"/>
          <w:szCs w:val="20"/>
        </w:rPr>
        <w:t xml:space="preserve">File: client/src/pages/WhyExecutionOS.tsx (route: /why-execution-os)</w:t>
      </w:r>
    </w:p>
    <w:p>
      <w:pPr>
        <w:spacing w:after="120" w:before="40"/>
        <w:jc w:val="left"/>
      </w:pPr>
      <w:r>
        <w:rPr>
          <w:rFonts w:ascii="Arial" w:cs="Arial" w:eastAsia="Arial" w:hAnsi="Arial"/>
          <w:b w:val="false"/>
          <w:bCs w:val="false"/>
          <w:i w:val="false"/>
          <w:iCs w:val="false"/>
          <w:color w:val="6B7280"/>
          <w:sz w:val="20"/>
          <w:szCs w:val="20"/>
        </w:rPr>
        <w:t xml:space="preserve">Location: The opening problem statement section before the competitive 2x2 grid</w:t>
      </w:r>
    </w:p>
    <w:p>
      <w:pPr>
        <w:spacing w:after="80" w:before="140"/>
        <w:jc w:val="left"/>
      </w:pPr>
      <w:r>
        <w:rPr>
          <w:rFonts w:ascii="Arial" w:cs="Arial" w:eastAsia="Arial" w:hAnsi="Arial"/>
          <w:b/>
          <w:bCs/>
          <w:i w:val="false"/>
          <w:iCs w:val="false"/>
          <w:color w:val="2B8A6E"/>
          <w:sz w:val="20"/>
          <w:szCs w:val="20"/>
        </w:rPr>
        <w:t xml:space="preserve">ADD this paragraph to the opening problem statement:</w:t>
      </w:r>
    </w:p>
    <w:p>
      <w:pPr>
        <w:pBdr>
          <w:left w:val="single" w:color="2B8A6E" w:sz="6" w:space="6"/>
        </w:pBdr>
        <w:shd w:fill="F0FAF7" w:val="clear"/>
        <w:spacing w:after="80" w:before="80"/>
        <w:ind w:left="240"/>
      </w:pPr>
      <w:r>
        <w:rPr>
          <w:rFonts w:ascii="Courier New" w:cs="Courier New" w:eastAsia="Courier New" w:hAnsi="Courier New"/>
          <w:color w:val="0A4F3F"/>
          <w:sz w:val="19"/>
          <w:szCs w:val="19"/>
        </w:rPr>
        <w:t xml:space="preserve">"AI does not create the gap. It removes the time buffer that used to hide it. Organizations were always unready. AI just accelerated the moment of exposure. The coordination architecture had to be built before the signal appeared. Most organizations discover it was never built at the worst possible moment."</w:t>
      </w:r>
    </w:p>
    <w:p>
      <w:pPr>
        <w:spacing w:after="200" w:before="80"/>
        <w:jc w:val="left"/>
      </w:pPr>
      <w:r>
        <w:rPr>
          <w:rFonts w:ascii="Arial" w:cs="Arial" w:eastAsia="Arial" w:hAnsi="Arial"/>
          <w:b w:val="false"/>
          <w:bCs w:val="false"/>
          <w:i/>
          <w:iCs/>
          <w:color w:val="6B7280"/>
          <w:sz w:val="18"/>
          <w:szCs w:val="18"/>
        </w:rPr>
        <w:t xml:space="preserve">SOURCE: Zhaohui Feng — Former CIO. Comment exchange May 6-7, 2026. His exact line: 'AI does not create the gap — it removes the time buffer that used to hide it.' This is the clearest external framing of why AI accelerates the need for Readiness OS.</w:t>
      </w:r>
    </w:p>
    <w:p>
      <w:pPr>
        <w:pBdr>
          <w:bottom w:val="single" w:color="C9A84C" w:sz="4" w:space="1"/>
        </w:pBdr>
        <w:spacing w:after="200" w:before="200"/>
      </w:pPr>
    </w:p>
    <w:p>
      <w:pPr>
        <w:spacing w:after="80" w:before="400"/>
      </w:pPr>
      <w:r>
        <w:rPr>
          <w:rFonts w:ascii="Arial" w:cs="Arial" w:eastAsia="Arial" w:hAnsi="Arial"/>
          <w:b/>
          <w:bCs/>
          <w:caps/>
          <w:color w:val="C9A84C"/>
          <w:sz w:val="18"/>
          <w:szCs w:val="18"/>
        </w:rPr>
        <w:t xml:space="preserve">CATEGORY THREE</w:t>
      </w:r>
    </w:p>
    <w:p>
      <w:pPr>
        <w:pStyle w:val="Heading1"/>
        <w:spacing w:after="120" w:before="400"/>
      </w:pPr>
      <w:r>
        <w:rPr>
          <w:rFonts w:ascii="Arial" w:cs="Arial" w:eastAsia="Arial" w:hAnsi="Arial"/>
          <w:b/>
          <w:bCs/>
          <w:color w:val="0A0F2E"/>
          <w:sz w:val="32"/>
          <w:szCs w:val="32"/>
        </w:rPr>
        <w:t xml:space="preserve">P3 — New Pages</w:t>
      </w:r>
    </w:p>
    <w:p>
      <w:pPr>
        <w:spacing w:after="280" w:before="120"/>
        <w:jc w:val="left"/>
      </w:pPr>
      <w:r>
        <w:rPr>
          <w:rFonts w:ascii="Arial" w:cs="Arial" w:eastAsia="Arial" w:hAnsi="Arial"/>
          <w:b w:val="false"/>
          <w:bCs w:val="false"/>
          <w:i w:val="false"/>
          <w:iCs w:val="false"/>
          <w:color w:val="333333"/>
          <w:sz w:val="21"/>
          <w:szCs w:val="21"/>
        </w:rPr>
        <w:t xml:space="preserve">These require new React component files, new routes in App.tsx, and potential navigation entries. Execute after all P1 and P2 changes are complete and tested.</w:t>
      </w:r>
    </w:p>
    <w:p>
      <w:pPr>
        <w:pStyle w:val="Heading2"/>
        <w:spacing w:after="120" w:before="280"/>
      </w:pPr>
      <w:r>
        <w:rPr>
          <w:rFonts w:ascii="Arial" w:cs="Arial" w:eastAsia="Arial" w:hAnsi="Arial"/>
          <w:b/>
          <w:bCs/>
          <w:color w:val="2B8A6E"/>
          <w:sz w:val="26"/>
          <w:szCs w:val="26"/>
        </w:rPr>
        <w:t xml:space="preserve">New Page 1 · Research &amp; Validation Page</w:t>
      </w:r>
    </w:p>
    <w:p>
      <w:pPr>
        <w:spacing w:after="80" w:before="80"/>
        <w:jc w:val="left"/>
      </w:pPr>
      <w:r>
        <w:rPr>
          <w:rFonts w:ascii="Arial" w:cs="Arial" w:eastAsia="Arial" w:hAnsi="Arial"/>
          <w:b/>
          <w:bCs/>
          <w:i w:val="false"/>
          <w:iCs w:val="false"/>
          <w:color w:val="0A0F2E"/>
          <w:sz w:val="20"/>
          <w:szCs w:val="20"/>
        </w:rPr>
        <w:t xml:space="preserve">New file: client/src/pages/Research.tsx</w:t>
      </w:r>
    </w:p>
    <w:p>
      <w:pPr>
        <w:spacing w:after="80" w:before="80"/>
        <w:jc w:val="left"/>
      </w:pPr>
      <w:r>
        <w:rPr>
          <w:rFonts w:ascii="Arial" w:cs="Arial" w:eastAsia="Arial" w:hAnsi="Arial"/>
          <w:b/>
          <w:bCs/>
          <w:i w:val="false"/>
          <w:iCs w:val="false"/>
          <w:color w:val="0A0F2E"/>
          <w:sz w:val="20"/>
          <w:szCs w:val="20"/>
        </w:rPr>
        <w:t xml:space="preserve">New route: /research</w:t>
      </w:r>
    </w:p>
    <w:p>
      <w:pPr>
        <w:spacing w:after="120" w:before="40"/>
        <w:jc w:val="left"/>
      </w:pPr>
      <w:r>
        <w:rPr>
          <w:rFonts w:ascii="Arial" w:cs="Arial" w:eastAsia="Arial" w:hAnsi="Arial"/>
          <w:b w:val="false"/>
          <w:bCs w:val="false"/>
          <w:i w:val="false"/>
          <w:iCs w:val="false"/>
          <w:color w:val="6B7280"/>
          <w:sz w:val="20"/>
          <w:szCs w:val="20"/>
        </w:rPr>
        <w:t xml:space="preserve">Navigation: Add to StandardNav Evidence dropdown alongside Why Execution OS and Executive Brief. Label: 'Research Foundation'</w:t>
      </w:r>
    </w:p>
    <w:p>
      <w:pPr>
        <w:spacing w:after="160" w:before="120"/>
        <w:jc w:val="left"/>
      </w:pPr>
      <w:r>
        <w:rPr>
          <w:rFonts w:ascii="Arial" w:cs="Arial" w:eastAsia="Arial" w:hAnsi="Arial"/>
          <w:b w:val="false"/>
          <w:bCs w:val="false"/>
          <w:i w:val="false"/>
          <w:iCs w:val="false"/>
          <w:color w:val="333333"/>
          <w:sz w:val="21"/>
          <w:szCs w:val="21"/>
        </w:rPr>
        <w:t xml:space="preserve">PURPOSE: Documents the intellectual lineage of Readiness OS. Shows investors and enterprise buyers that the platform is built at the intersection of 20 years of operational experience and active peer validation from researchers and practitioners who arrived at the same architecture independently.</w:t>
      </w:r>
    </w:p>
    <w:p>
      <w:pPr>
        <w:spacing w:after="80" w:before="140"/>
        <w:jc w:val="left"/>
      </w:pPr>
      <w:r>
        <w:rPr>
          <w:rFonts w:ascii="Arial" w:cs="Arial" w:eastAsia="Arial" w:hAnsi="Arial"/>
          <w:b/>
          <w:bCs/>
          <w:i w:val="false"/>
          <w:iCs w:val="false"/>
          <w:color w:val="0A0F2E"/>
          <w:sz w:val="20"/>
          <w:szCs w:val="20"/>
        </w:rPr>
        <w:t xml:space="preserve">PAGE STRUCTURE:</w:t>
      </w:r>
    </w:p>
    <w:p>
      <w:pPr>
        <w:spacing w:after="80" w:before="80"/>
        <w:jc w:val="left"/>
      </w:pPr>
      <w:r>
        <w:rPr>
          <w:rFonts w:ascii="Arial" w:cs="Arial" w:eastAsia="Arial" w:hAnsi="Arial"/>
          <w:b w:val="false"/>
          <w:bCs w:val="false"/>
          <w:i w:val="false"/>
          <w:iCs w:val="false"/>
          <w:color w:val="333333"/>
          <w:sz w:val="20"/>
          <w:szCs w:val="20"/>
        </w:rPr>
        <w:t xml:space="preserve">Hero section (navy, gold grid). Headline: 'The Architecture Was Validated Before It Was Named.' Subhead: 'Six weeks of public intellectual exchange with researchers, former CIOs, and Fortune 1000 operations leaders produced independent validation of every core thesis.'</w:t>
      </w:r>
    </w:p>
    <w:p>
      <w:pPr>
        <w:spacing w:after="60" w:before="160"/>
        <w:jc w:val="left"/>
      </w:pPr>
      <w:r>
        <w:rPr>
          <w:rFonts w:ascii="Arial" w:cs="Arial" w:eastAsia="Arial" w:hAnsi="Arial"/>
          <w:b/>
          <w:bCs/>
          <w:i w:val="false"/>
          <w:iCs w:val="false"/>
          <w:color w:val="2B8A6E"/>
          <w:sz w:val="20"/>
          <w:szCs w:val="20"/>
        </w:rPr>
        <w:t xml:space="preserve">Section 1 — Dr. Kerry Huang (ESI Top 1% Researcher, 408-firm study)</w:t>
      </w:r>
    </w:p>
    <w:p>
      <w:pPr>
        <w:spacing w:after="80" w:before="60"/>
        <w:jc w:val="left"/>
      </w:pPr>
      <w:r>
        <w:rPr>
          <w:rFonts w:ascii="Arial" w:cs="Arial" w:eastAsia="Arial" w:hAnsi="Arial"/>
          <w:b w:val="false"/>
          <w:bCs w:val="false"/>
          <w:i w:val="false"/>
          <w:iCs w:val="false"/>
          <w:color w:val="333333"/>
          <w:sz w:val="20"/>
          <w:szCs w:val="20"/>
        </w:rPr>
        <w:t xml:space="preserve">Full repost text from April 20, 2026 (already in platform on /founder-story and /investor-landing). Add his Forbes article link. Add the sacrifice audit framing and how it maps to the signal monitoring layer.</w:t>
      </w:r>
    </w:p>
    <w:p>
      <w:pPr>
        <w:spacing w:after="60" w:before="160"/>
        <w:jc w:val="left"/>
      </w:pPr>
      <w:r>
        <w:rPr>
          <w:rFonts w:ascii="Arial" w:cs="Arial" w:eastAsia="Arial" w:hAnsi="Arial"/>
          <w:b/>
          <w:bCs/>
          <w:i w:val="false"/>
          <w:iCs w:val="false"/>
          <w:color w:val="2B8A6E"/>
          <w:sz w:val="20"/>
          <w:szCs w:val="20"/>
        </w:rPr>
        <w:t xml:space="preserve">Section 2 — Jayashree Venkataraman (Leadership Systems Advisor, CoFounder NIYA)</w:t>
      </w:r>
    </w:p>
    <w:p>
      <w:pPr>
        <w:spacing w:after="80" w:before="60"/>
        <w:jc w:val="left"/>
      </w:pPr>
      <w:r>
        <w:rPr>
          <w:rFonts w:ascii="Arial" w:cs="Arial" w:eastAsia="Arial" w:hAnsi="Arial"/>
          <w:b w:val="false"/>
          <w:bCs w:val="false"/>
          <w:i w:val="false"/>
          <w:iCs w:val="false"/>
          <w:color w:val="333333"/>
          <w:sz w:val="20"/>
          <w:szCs w:val="20"/>
        </w:rPr>
        <w:t xml:space="preserve">Her article title and thesis: 'Why Decisions Don't Hold. From Governance Design to System Behaviour under Pressure.' Key finding: 'The system does not retain the conditions that made the decision hold.' Map her four diagnostic layers (Logic, Behavior, Ownership, Capacity) to the Close-Out Gate four questions.</w:t>
      </w:r>
    </w:p>
    <w:p>
      <w:pPr>
        <w:spacing w:after="60" w:before="160"/>
        <w:jc w:val="left"/>
      </w:pPr>
      <w:r>
        <w:rPr>
          <w:rFonts w:ascii="Arial" w:cs="Arial" w:eastAsia="Arial" w:hAnsi="Arial"/>
          <w:b/>
          <w:bCs/>
          <w:i w:val="false"/>
          <w:iCs w:val="false"/>
          <w:color w:val="2B8A6E"/>
          <w:sz w:val="20"/>
          <w:szCs w:val="20"/>
        </w:rPr>
        <w:t xml:space="preserve">Section 3 — Zhaohui Feng (Former CIO, 25+ years enterprise IT)</w:t>
      </w:r>
    </w:p>
    <w:p>
      <w:pPr>
        <w:spacing w:after="80" w:before="60"/>
        <w:jc w:val="left"/>
      </w:pPr>
      <w:r>
        <w:rPr>
          <w:rFonts w:ascii="Arial" w:cs="Arial" w:eastAsia="Arial" w:hAnsi="Arial"/>
          <w:b w:val="false"/>
          <w:bCs w:val="false"/>
          <w:i w:val="false"/>
          <w:iCs w:val="false"/>
          <w:color w:val="333333"/>
          <w:sz w:val="20"/>
          <w:szCs w:val="20"/>
        </w:rPr>
        <w:t xml:space="preserve">His independent naming of the IDEA Framework: Signal → Trigger → Response → Encoding → Updated architecture. His AI framing: 'AI does not create the gap. It removes the time buffer that used to hide it.' His encoded capability distinction: 'Most organizations experience triggers. Very few encode them back into the system.'</w:t>
      </w:r>
    </w:p>
    <w:p>
      <w:pPr>
        <w:spacing w:after="60" w:before="160"/>
        <w:jc w:val="left"/>
      </w:pPr>
      <w:r>
        <w:rPr>
          <w:rFonts w:ascii="Arial" w:cs="Arial" w:eastAsia="Arial" w:hAnsi="Arial"/>
          <w:b/>
          <w:bCs/>
          <w:i w:val="false"/>
          <w:iCs w:val="false"/>
          <w:color w:val="2B8A6E"/>
          <w:sz w:val="20"/>
          <w:szCs w:val="20"/>
        </w:rPr>
        <w:t xml:space="preserve">Section 4 — Sabina Krzystolik (Former Unilever COO)</w:t>
      </w:r>
    </w:p>
    <w:p>
      <w:pPr>
        <w:spacing w:after="80" w:before="60"/>
        <w:jc w:val="left"/>
      </w:pPr>
      <w:r>
        <w:rPr>
          <w:rFonts w:ascii="Arial" w:cs="Arial" w:eastAsia="Arial" w:hAnsi="Arial"/>
          <w:b w:val="false"/>
          <w:bCs w:val="false"/>
          <w:i w:val="false"/>
          <w:iCs w:val="false"/>
          <w:color w:val="333333"/>
          <w:sz w:val="20"/>
          <w:szCs w:val="20"/>
        </w:rPr>
        <w:t xml:space="preserve">Her operating model observation: 'Technology amplifies whatever system it is applied to.' Map to the preparation architecture argument: the AI amplifies what exists. If the coordination architecture does not exist the AI amplifies the gap.</w:t>
      </w:r>
    </w:p>
    <w:p>
      <w:pPr>
        <w:spacing w:after="200" w:before="80"/>
        <w:jc w:val="left"/>
      </w:pPr>
      <w:r>
        <w:rPr>
          <w:rFonts w:ascii="Arial" w:cs="Arial" w:eastAsia="Arial" w:hAnsi="Arial"/>
          <w:b w:val="false"/>
          <w:bCs w:val="false"/>
          <w:i w:val="false"/>
          <w:iCs w:val="false"/>
          <w:color w:val="333333"/>
          <w:sz w:val="20"/>
          <w:szCs w:val="20"/>
        </w:rPr>
        <w:t xml:space="preserve">Closing CTA: Request Founding Partner Access → /request-access</w:t>
      </w:r>
    </w:p>
    <w:p>
      <w:pPr>
        <w:pStyle w:val="Heading2"/>
        <w:spacing w:after="120" w:before="280"/>
      </w:pPr>
      <w:r>
        <w:rPr>
          <w:rFonts w:ascii="Arial" w:cs="Arial" w:eastAsia="Arial" w:hAnsi="Arial"/>
          <w:b/>
          <w:bCs/>
          <w:color w:val="2B8A6E"/>
          <w:sz w:val="26"/>
          <w:szCs w:val="26"/>
        </w:rPr>
        <w:t xml:space="preserve">New Page 2 · Decision-Holding Architecture Page</w:t>
      </w:r>
    </w:p>
    <w:p>
      <w:pPr>
        <w:spacing w:after="80" w:before="80"/>
        <w:jc w:val="left"/>
      </w:pPr>
      <w:r>
        <w:rPr>
          <w:rFonts w:ascii="Arial" w:cs="Arial" w:eastAsia="Arial" w:hAnsi="Arial"/>
          <w:b/>
          <w:bCs/>
          <w:i w:val="false"/>
          <w:iCs w:val="false"/>
          <w:color w:val="0A0F2E"/>
          <w:sz w:val="20"/>
          <w:szCs w:val="20"/>
        </w:rPr>
        <w:t xml:space="preserve">New file: client/src/pages/DecisionHolding.tsx</w:t>
      </w:r>
    </w:p>
    <w:p>
      <w:pPr>
        <w:spacing w:after="80" w:before="80"/>
        <w:jc w:val="left"/>
      </w:pPr>
      <w:r>
        <w:rPr>
          <w:rFonts w:ascii="Arial" w:cs="Arial" w:eastAsia="Arial" w:hAnsi="Arial"/>
          <w:b/>
          <w:bCs/>
          <w:i w:val="false"/>
          <w:iCs w:val="false"/>
          <w:color w:val="0A0F2E"/>
          <w:sz w:val="20"/>
          <w:szCs w:val="20"/>
        </w:rPr>
        <w:t xml:space="preserve">New route: /decision-holding</w:t>
      </w:r>
    </w:p>
    <w:p>
      <w:pPr>
        <w:spacing w:after="120" w:before="40"/>
        <w:jc w:val="left"/>
      </w:pPr>
      <w:r>
        <w:rPr>
          <w:rFonts w:ascii="Arial" w:cs="Arial" w:eastAsia="Arial" w:hAnsi="Arial"/>
          <w:b w:val="false"/>
          <w:bCs w:val="false"/>
          <w:i w:val="false"/>
          <w:iCs w:val="false"/>
          <w:color w:val="6B7280"/>
          <w:sz w:val="20"/>
          <w:szCs w:val="20"/>
        </w:rPr>
        <w:t xml:space="preserve">Navigation: Add to StandardNav Platform dropdown under Core Capabilities. Label: 'Decision-Holding Architecture'</w:t>
      </w:r>
    </w:p>
    <w:p>
      <w:pPr>
        <w:spacing w:after="160" w:before="120"/>
        <w:jc w:val="left"/>
      </w:pPr>
      <w:r>
        <w:rPr>
          <w:rFonts w:ascii="Arial" w:cs="Arial" w:eastAsia="Arial" w:hAnsi="Arial"/>
          <w:b w:val="false"/>
          <w:bCs w:val="false"/>
          <w:i w:val="false"/>
          <w:iCs w:val="false"/>
          <w:color w:val="333333"/>
          <w:sz w:val="21"/>
          <w:szCs w:val="21"/>
        </w:rPr>
        <w:t xml:space="preserve">PURPOSE: Takes Jayashree Venkataraman's decision-holding thesis and shows how the Readiness OS preparation architecture answers each of her four diagnostic layers before the trigger fires. This page converts governance research into a product capability map.</w:t>
      </w:r>
    </w:p>
    <w:p>
      <w:pPr>
        <w:spacing w:after="80" w:before="140"/>
        <w:jc w:val="left"/>
      </w:pPr>
      <w:r>
        <w:rPr>
          <w:rFonts w:ascii="Arial" w:cs="Arial" w:eastAsia="Arial" w:hAnsi="Arial"/>
          <w:b/>
          <w:bCs/>
          <w:i w:val="false"/>
          <w:iCs w:val="false"/>
          <w:color w:val="0A0F2E"/>
          <w:sz w:val="20"/>
          <w:szCs w:val="20"/>
        </w:rPr>
        <w:t xml:space="preserve">PAGE STRUCTURE:</w:t>
      </w:r>
    </w:p>
    <w:p>
      <w:pPr>
        <w:spacing w:after="80" w:before="80"/>
        <w:jc w:val="left"/>
      </w:pPr>
      <w:r>
        <w:rPr>
          <w:rFonts w:ascii="Arial" w:cs="Arial" w:eastAsia="Arial" w:hAnsi="Arial"/>
          <w:b w:val="false"/>
          <w:bCs w:val="false"/>
          <w:i w:val="false"/>
          <w:iCs w:val="false"/>
          <w:color w:val="333333"/>
          <w:sz w:val="20"/>
          <w:szCs w:val="20"/>
        </w:rPr>
        <w:t xml:space="preserve">Hero: 'Governance does not fail because decisions are unclear. It fails because it cannot hold decisions where they are made.' (Jayashree Venkataraman, 2026)</w:t>
      </w:r>
    </w:p>
    <w:p>
      <w:pPr>
        <w:spacing w:after="80" w:before="140"/>
        <w:jc w:val="left"/>
      </w:pPr>
      <w:r>
        <w:rPr>
          <w:rFonts w:ascii="Arial" w:cs="Arial" w:eastAsia="Arial" w:hAnsi="Arial"/>
          <w:b/>
          <w:bCs/>
          <w:i w:val="false"/>
          <w:iCs w:val="false"/>
          <w:color w:val="0A0F2E"/>
          <w:sz w:val="20"/>
          <w:szCs w:val="20"/>
        </w:rPr>
        <w:t xml:space="preserve">Four-column diagnostic grid mapping her layers to platform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8"/>
                <w:szCs w:val="18"/>
              </w:rPr>
              <w:t xml:space="preserve">Her Layer</w:t>
            </w:r>
          </w:p>
        </w:tc>
        <w:tc>
          <w:tcPr>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8"/>
                <w:szCs w:val="18"/>
              </w:rPr>
              <w:t xml:space="preserve">What She Names</w:t>
            </w:r>
          </w:p>
        </w:tc>
        <w:tc>
          <w:tcPr>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8"/>
                <w:szCs w:val="18"/>
              </w:rPr>
              <w:t xml:space="preserve">Where It Breaks</w:t>
            </w:r>
          </w:p>
        </w:tc>
        <w:tc>
          <w:tcPr>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8"/>
                <w:szCs w:val="18"/>
              </w:rPr>
              <w:t xml:space="preserve">Readiness OS Answer</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00000"/>
                <w:sz w:val="19"/>
                <w:szCs w:val="19"/>
              </w:rPr>
              <w:t xml:space="preserve">Logic</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Decision clarity and closure</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Decisions reopened after closure</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170 pre-staged response architectures. The logic is built before the trigger fires.</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00000"/>
                <w:sz w:val="19"/>
                <w:szCs w:val="19"/>
              </w:rPr>
              <w:t xml:space="preserve">Behavior</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System response under pressure</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System routes around assigned owner</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Signal monitoring detects threshold crossings before behavior drift begins.</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00000"/>
                <w:sz w:val="19"/>
                <w:szCs w:val="19"/>
              </w:rPr>
              <w:t xml:space="preserve">Ownership</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Where decisions actually hold</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Ownership redistributes quietly</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Decision rights mapped and ownership confirmed before any trigger fires. Close-Out Gate encodes what held and what did not.</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00000"/>
                <w:sz w:val="19"/>
                <w:szCs w:val="19"/>
              </w:rPr>
              <w:t xml:space="preserve">Capacity</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Load on decision holders</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Preparation built around wrong owner</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19"/>
                <w:szCs w:val="19"/>
              </w:rPr>
              <w:t xml:space="preserve">Stakeholder notification, budget allocation, document staging all pre-built before pressure arrives.</w:t>
            </w:r>
          </w:p>
        </w:tc>
      </w:tr>
    </w:tbl>
    <w:p>
      <w:pPr>
        <w:spacing w:after="80" w:before="160"/>
        <w:jc w:val="left"/>
      </w:pPr>
      <w:r>
        <w:rPr>
          <w:rFonts w:ascii="Arial" w:cs="Arial" w:eastAsia="Arial" w:hAnsi="Arial"/>
          <w:b w:val="false"/>
          <w:bCs w:val="false"/>
          <w:i w:val="false"/>
          <w:iCs w:val="false"/>
          <w:color w:val="333333"/>
          <w:sz w:val="20"/>
          <w:szCs w:val="20"/>
        </w:rPr>
        <w:t xml:space="preserve">Closing section: The governance question is not whether the decision was right. It is whether a hold location exists. Readiness OS builds that hold location before the trigger fires.</w:t>
      </w:r>
    </w:p>
    <w:p>
      <w:pPr>
        <w:spacing w:after="200" w:before="60"/>
        <w:jc w:val="left"/>
      </w:pPr>
      <w:r>
        <w:rPr>
          <w:rFonts w:ascii="Arial" w:cs="Arial" w:eastAsia="Arial" w:hAnsi="Arial"/>
          <w:b w:val="false"/>
          <w:bCs w:val="false"/>
          <w:i w:val="false"/>
          <w:iCs w:val="false"/>
          <w:color w:val="333333"/>
          <w:sz w:val="20"/>
          <w:szCs w:val="20"/>
        </w:rPr>
        <w:t xml:space="preserve">CTA: Request Founding Partner Access → /request-access</w:t>
      </w:r>
    </w:p>
    <w:p>
      <w:pPr>
        <w:pBdr>
          <w:bottom w:val="single" w:color="C9A84C" w:sz="4" w:space="1"/>
        </w:pBdr>
        <w:spacing w:after="200" w:before="200"/>
      </w:pPr>
    </w:p>
    <w:p>
      <w:pPr>
        <w:pStyle w:val="Heading1"/>
        <w:spacing w:after="120" w:before="400"/>
      </w:pPr>
      <w:r>
        <w:rPr>
          <w:rFonts w:ascii="Arial" w:cs="Arial" w:eastAsia="Arial" w:hAnsi="Arial"/>
          <w:b/>
          <w:bCs/>
          <w:color w:val="0A0F2E"/>
          <w:sz w:val="32"/>
          <w:szCs w:val="32"/>
        </w:rPr>
        <w:t xml:space="preserve">Quick Reference — All Changes</w:t>
      </w:r>
    </w:p>
    <w:p>
      <w:pPr>
        <w:spacing w:after="200" w:before="120"/>
        <w:jc w:val="left"/>
      </w:pPr>
      <w:r>
        <w:rPr>
          <w:rFonts w:ascii="Arial" w:cs="Arial" w:eastAsia="Arial" w:hAnsi="Arial"/>
          <w:b w:val="false"/>
          <w:bCs w:val="false"/>
          <w:i w:val="false"/>
          <w:iCs w:val="false"/>
          <w:color w:val="333333"/>
          <w:sz w:val="21"/>
          <w:szCs w:val="21"/>
        </w:rPr>
        <w:t xml:space="preserve">Execute in this exact order to minimize risk and maximize value delivered per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880"/>
        <w:gridCol w:w="2160"/>
        <w:gridCol w:w="2160"/>
      </w:tblGrid>
      <w:tr>
        <w:tc>
          <w:tcPr>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8"/>
                <w:szCs w:val="18"/>
              </w:rPr>
              <w:t xml:space="preserve">#</w:t>
            </w:r>
          </w:p>
        </w:tc>
        <w:tc>
          <w:tcPr>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8"/>
                <w:szCs w:val="18"/>
              </w:rPr>
              <w:t xml:space="preserve">Priority</w:t>
            </w:r>
          </w:p>
        </w:tc>
        <w:tc>
          <w:tcPr>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8"/>
                <w:szCs w:val="18"/>
              </w:rPr>
              <w:t xml:space="preserve">File</w:t>
            </w:r>
          </w:p>
        </w:tc>
        <w:tc>
          <w:tcPr>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8"/>
                <w:szCs w:val="18"/>
              </w:rPr>
              <w:t xml:space="preserve">What Changes</w:t>
            </w:r>
          </w:p>
        </w:tc>
        <w:tc>
          <w:tcPr>
            <w:tcBorders>
              <w:top w:val="single" w:color="E8E4DC" w:sz="1"/>
              <w:left w:val="single" w:color="E8E4DC" w:sz="1"/>
              <w:bottom w:val="single" w:color="E8E4DC" w:sz="1"/>
              <w:right w:val="single" w:color="E8E4DC" w:sz="1"/>
            </w:tcBorders>
            <w:shd w:fill="0A0F2E"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FFFFFF"/>
                <w:sz w:val="18"/>
                <w:szCs w:val="18"/>
              </w:rPr>
              <w:t xml:space="preserve">Source</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1</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P1 Copy</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ActivationOutcome.tsx</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Close-Out Gate description</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Jayashree Venkataraman</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2</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P1 Copy</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SignalAccountability.tsx</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Dr. Huang full quote attribution</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Dr. Kerry Huang</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3</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P1 Copy</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TryDemo.tsx, GuidedStart.tsx, PlaybookActivationConsole.tsx</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'absent' replaces 'weakened'</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Dr. Kulneet Suri</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4</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P1 Copy</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WorkspaceAdvance.tsx, IDEAFramework.tsx</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ADVANCE encoding framing</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Zhaohui Feng</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5</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P1 Copy</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EcosystemDiagramPage.tsx</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Technology amplification line</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Sabina Krzystolik</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6</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P2 Section</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Homepage.tsx</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William Milne pull quote</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William Milne</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7</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P2 Section</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IDEAFramework.tsx</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ADVANCE compounding visual update</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Zhaohui Feng</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8</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P2 Section</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ActivationOutcome.tsx</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Close-Out Gate four field labels</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Zhaohui Feng + Jayashree</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9</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P2 Section</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WhyExecutionOS.tsx</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AI operating model framing</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Zhaohui Feng</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10</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P3 Page</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Research.tsx (new)</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Research &amp; Validation page</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Multiple sources</w:t>
            </w:r>
          </w:p>
        </w:tc>
      </w:tr>
      <w:tr>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11</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P3 Page</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DecisionHolding.tsx (new)</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Decision-Holding Architecture page</w:t>
            </w:r>
          </w:p>
        </w:tc>
        <w:tc>
          <w:tcPr>
            <w:tcBorders>
              <w:top w:val="single" w:color="E8E4DC" w:sz="1"/>
              <w:left w:val="single" w:color="E8E4DC" w:sz="1"/>
              <w:bottom w:val="single" w:color="E8E4DC" w:sz="1"/>
              <w:right w:val="single" w:color="E8E4DC" w:sz="1"/>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0"/>
                <w:szCs w:val="20"/>
              </w:rPr>
              <w:t xml:space="preserve">Jayashree Venkataraman</w:t>
            </w:r>
          </w:p>
        </w:tc>
      </w:tr>
    </w:tbl>
    <w:p>
      <w:pPr>
        <w:spacing w:before="600"/>
      </w:pPr>
    </w:p>
    <w:p>
      <w:pPr>
        <w:pBdr>
          <w:bottom w:val="single" w:color="C9A84C" w:sz="4" w:space="1"/>
        </w:pBdr>
        <w:spacing w:after="200" w:before="200"/>
      </w:pPr>
    </w:p>
    <w:p>
      <w:pPr>
        <w:pStyle w:val="Heading1"/>
        <w:spacing w:after="120" w:before="400"/>
      </w:pPr>
      <w:r>
        <w:rPr>
          <w:rFonts w:ascii="Arial" w:cs="Arial" w:eastAsia="Arial" w:hAnsi="Arial"/>
          <w:b/>
          <w:bCs/>
          <w:color w:val="0A0F2E"/>
          <w:sz w:val="32"/>
          <w:szCs w:val="32"/>
        </w:rPr>
        <w:t xml:space="preserve">Build &amp; Deploy Reminder</w:t>
      </w:r>
    </w:p>
    <w:p>
      <w:pPr>
        <w:spacing w:after="160" w:before="120"/>
        <w:jc w:val="left"/>
      </w:pPr>
      <w:r>
        <w:rPr>
          <w:rFonts w:ascii="Arial" w:cs="Arial" w:eastAsia="Arial" w:hAnsi="Arial"/>
          <w:b w:val="false"/>
          <w:bCs w:val="false"/>
          <w:i w:val="false"/>
          <w:iCs w:val="false"/>
          <w:color w:val="333333"/>
          <w:sz w:val="21"/>
          <w:szCs w:val="21"/>
        </w:rPr>
        <w:t xml:space="preserve">From developer-reference.md Section 20 — CRITICAL. The deployment build step is a no-op. Always run both local builds and commit the updated dist/ folder before publishing.</w:t>
      </w:r>
    </w:p>
    <w:p>
      <w:pPr>
        <w:pBdr>
          <w:top w:val="single" w:color="E8E4DC" w:sz="2"/>
          <w:bottom w:val="single" w:color="E8E4DC" w:sz="2"/>
          <w:left w:val="single" w:color="E8E4DC" w:sz="2"/>
          <w:right w:val="single" w:color="E8E4DC" w:sz="2"/>
        </w:pBdr>
        <w:shd w:fill="F5F5F5" w:val="clear"/>
        <w:spacing w:after="200" w:before="120"/>
        <w:ind w:left="240" w:right="240"/>
      </w:pPr>
      <w:r>
        <w:rPr>
          <w:rFonts w:ascii="Courier New" w:cs="Courier New" w:eastAsia="Courier New" w:hAnsi="Courier New"/>
          <w:color w:val="0A0F2E"/>
          <w:sz w:val="19"/>
          <w:szCs w:val="19"/>
        </w:rPr>
        <w:t xml:space="preserve">Step 1: npx vite build                           (rebuilds dist/public/)
Step 2: npx esbuild server/index.ts --platform=node --packages=external --bundle --format=esm --outdir=dist --external:vite --external:@vitejs/plugin-react --external:../vite.config
Step 3: Commit dist/ folder
Step 4: Publish</w:t>
      </w:r>
    </w:p>
    <w:p>
      <w:pPr>
        <w:spacing w:after="200" w:before="120"/>
        <w:jc w:val="left"/>
      </w:pPr>
      <w:r>
        <w:rPr>
          <w:rFonts w:ascii="Arial" w:cs="Arial" w:eastAsia="Arial" w:hAnsi="Arial"/>
          <w:b/>
          <w:bCs/>
          <w:i w:val="false"/>
          <w:iCs w:val="false"/>
          <w:color w:val="8B0000"/>
          <w:sz w:val="20"/>
          <w:szCs w:val="20"/>
        </w:rPr>
        <w:t xml:space="preserve">Never run npm run build without confirming which database is active. The startup warning tells you. Never change the deployment build command from the no-op (sh -c ':').</w:t>
      </w:r>
    </w:p>
    <w:p>
      <w:pPr>
        <w:spacing w:before="400"/>
      </w:pPr>
    </w:p>
    <w:p>
      <w:pPr>
        <w:spacing w:after="200" w:before="200"/>
        <w:jc w:val="center"/>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jc w:val="right"/>
    </w:pPr>
    <w:r>
      <w:rPr>
        <w:rFonts w:ascii="Arial" w:cs="Arial" w:eastAsia="Arial" w:hAnsi="Arial"/>
        <w:color w:val="6B7280"/>
        <w:sz w:val="16"/>
        <w:szCs w:val="16"/>
      </w:rPr>
      <w:t xml:space="preserve">VaughnMartin · Confidential · Rev 28 · May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120"/>
    </w:pPr>
    <w:r>
      <w:rPr>
        <w:rFonts w:ascii="Arial" w:cs="Arial" w:eastAsia="Arial" w:hAnsi="Arial"/>
        <w:b/>
        <w:bCs/>
        <w:color w:val="0A0F2E"/>
        <w:sz w:val="16"/>
        <w:szCs w:val="16"/>
      </w:rPr>
      <w:t xml:space="preserve">VaughnMartin · Readiness OS</w:t>
    </w:r>
    <w:r>
      <w:rPr>
        <w:rFonts w:ascii="Arial" w:cs="Arial" w:eastAsia="Arial" w:hAnsi="Arial"/>
        <w:color w:val="6B7280"/>
        <w:sz w:val="16"/>
        <w:szCs w:val="16"/>
      </w:rPr>
      <w:t xml:space="preserve">     Product &amp; Website Change Request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0F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B8A6E"/>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A0F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2026-05-06T22:06:38.350Z</dcterms:created>
  <dcterms:modified xsi:type="dcterms:W3CDTF">2026-05-06T22:06:38.350Z</dcterms:modified>
</cp:coreProperties>
</file>

<file path=docProps/custom.xml><?xml version="1.0" encoding="utf-8"?>
<Properties xmlns="http://schemas.openxmlformats.org/officeDocument/2006/custom-properties" xmlns:vt="http://schemas.openxmlformats.org/officeDocument/2006/docPropsVTypes"/>
</file>