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1995" w14:textId="77777777" w:rsidR="00061736" w:rsidRDefault="00061736"/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5120"/>
      </w:tblGrid>
      <w:tr w:rsidR="00061736" w14:paraId="561519A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00" w:type="dxa"/>
            </w:tcMar>
          </w:tcPr>
          <w:p w14:paraId="56151996" w14:textId="77777777" w:rsidR="00061736" w:rsidRDefault="00000000">
            <w:pPr>
              <w:spacing w:after="30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C9A84C"/>
                <w:sz w:val="14"/>
                <w:szCs w:val="14"/>
              </w:rPr>
              <w:t>Platform Architecture</w:t>
            </w:r>
          </w:p>
          <w:p w14:paraId="56151997" w14:textId="77777777" w:rsidR="00061736" w:rsidRDefault="00000000">
            <w:pPr>
              <w:spacing w:after="5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0A0F2E"/>
                <w:sz w:val="36"/>
                <w:szCs w:val="36"/>
              </w:rPr>
              <w:t xml:space="preserve">Current </w:t>
            </w:r>
            <w:r>
              <w:rPr>
                <w:rFonts w:ascii="Cormorant Garamond" w:eastAsia="Cormorant Garamond" w:hAnsi="Cormorant Garamond" w:cs="Cormorant Garamond"/>
                <w:b/>
                <w:bCs/>
                <w:color w:val="C9A84C"/>
                <w:sz w:val="36"/>
                <w:szCs w:val="36"/>
              </w:rPr>
              <w:t>Tech Stack</w:t>
            </w:r>
          </w:p>
          <w:p w14:paraId="56151998" w14:textId="77777777" w:rsidR="00061736" w:rsidRDefault="00000000">
            <w:r>
              <w:rPr>
                <w:rFonts w:ascii="Cormorant Garamond" w:eastAsia="Cormorant Garamond" w:hAnsi="Cormorant Garamond" w:cs="Cormorant Garamond"/>
                <w:i/>
                <w:iCs/>
                <w:color w:val="141B45"/>
              </w:rPr>
              <w:t>A transparent accounting of what is production-grade, what is a known workaround, and what is an active gap.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120" w:type="dxa"/>
              <w:right w:w="0" w:type="dxa"/>
            </w:tcMar>
            <w:vAlign w:val="center"/>
          </w:tcPr>
          <w:p w14:paraId="56151999" w14:textId="77777777" w:rsidR="00061736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6151A5E" wp14:editId="56151A5F">
                  <wp:extent cx="495300" cy="495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4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20"/>
              <w:gridCol w:w="1520"/>
              <w:gridCol w:w="1480"/>
            </w:tblGrid>
            <w:tr w:rsidR="00061736" w14:paraId="561519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20" w:type="dxa"/>
                  <w:tcBorders>
                    <w:top w:val="single" w:sz="1" w:space="1" w:color="2B8A6E"/>
                    <w:left w:val="single" w:sz="1" w:space="1" w:color="2B8A6E"/>
                    <w:bottom w:val="single" w:sz="1" w:space="1" w:color="2B8A6E"/>
                    <w:right w:val="single" w:sz="1" w:space="1" w:color="2B8A6E"/>
                  </w:tcBorders>
                  <w:shd w:val="clear" w:color="auto" w:fill="2B8A6E"/>
                  <w:tcMar>
                    <w:top w:w="100" w:type="dxa"/>
                    <w:left w:w="80" w:type="dxa"/>
                    <w:bottom w:w="100" w:type="dxa"/>
                    <w:right w:w="80" w:type="dxa"/>
                  </w:tcMar>
                  <w:vAlign w:val="center"/>
                </w:tcPr>
                <w:p w14:paraId="5615199A" w14:textId="77777777" w:rsidR="00061736" w:rsidRDefault="00000000">
                  <w:pPr>
                    <w:jc w:val="center"/>
                  </w:pPr>
                  <w:r>
                    <w:rPr>
                      <w:rFonts w:ascii="Barlow Condensed" w:eastAsia="Barlow Condensed" w:hAnsi="Barlow Condensed" w:cs="Barlow Condensed"/>
                      <w:b/>
                      <w:bCs/>
                      <w:color w:val="FFFFFF"/>
                    </w:rPr>
                    <w:t>LIVE</w:t>
                  </w:r>
                </w:p>
                <w:p w14:paraId="5615199B" w14:textId="77777777" w:rsidR="00061736" w:rsidRDefault="00000000">
                  <w:pPr>
                    <w:jc w:val="center"/>
                  </w:pPr>
                  <w:r>
                    <w:rPr>
                      <w:color w:val="C8D4E8"/>
                      <w:sz w:val="13"/>
                      <w:szCs w:val="13"/>
                    </w:rPr>
                    <w:t>Production</w:t>
                  </w:r>
                </w:p>
              </w:tc>
              <w:tc>
                <w:tcPr>
                  <w:tcW w:w="1520" w:type="dxa"/>
                  <w:tcBorders>
                    <w:top w:val="single" w:sz="1" w:space="1" w:color="0A0F2E"/>
                    <w:left w:val="single" w:sz="1" w:space="1" w:color="0A0F2E"/>
                    <w:bottom w:val="single" w:sz="1" w:space="1" w:color="0A0F2E"/>
                    <w:right w:val="single" w:sz="1" w:space="1" w:color="0A0F2E"/>
                  </w:tcBorders>
                  <w:shd w:val="clear" w:color="auto" w:fill="0A0F2E"/>
                  <w:tcMar>
                    <w:top w:w="100" w:type="dxa"/>
                    <w:left w:w="80" w:type="dxa"/>
                    <w:bottom w:w="100" w:type="dxa"/>
                    <w:right w:w="80" w:type="dxa"/>
                  </w:tcMar>
                  <w:vAlign w:val="center"/>
                </w:tcPr>
                <w:p w14:paraId="5615199C" w14:textId="77777777" w:rsidR="00061736" w:rsidRDefault="00000000">
                  <w:pPr>
                    <w:jc w:val="center"/>
                  </w:pPr>
                  <w:r>
                    <w:rPr>
                      <w:rFonts w:ascii="Cormorant Garamond" w:eastAsia="Cormorant Garamond" w:hAnsi="Cormorant Garamond" w:cs="Cormorant Garamond"/>
                      <w:b/>
                      <w:bCs/>
                      <w:color w:val="C9A84C"/>
                    </w:rPr>
                    <w:t>1</w:t>
                  </w:r>
                </w:p>
                <w:p w14:paraId="5615199D" w14:textId="77777777" w:rsidR="00061736" w:rsidRDefault="00000000">
                  <w:pPr>
                    <w:jc w:val="center"/>
                  </w:pPr>
                  <w:r>
                    <w:rPr>
                      <w:color w:val="C8D4E8"/>
                      <w:sz w:val="13"/>
                      <w:szCs w:val="13"/>
                    </w:rPr>
                    <w:t>Customer</w:t>
                  </w:r>
                </w:p>
              </w:tc>
              <w:tc>
                <w:tcPr>
                  <w:tcW w:w="1480" w:type="dxa"/>
                  <w:tcBorders>
                    <w:top w:val="single" w:sz="2" w:space="1" w:color="E8E4DC"/>
                    <w:left w:val="single" w:sz="2" w:space="1" w:color="E8E4DC"/>
                    <w:bottom w:val="single" w:sz="2" w:space="1" w:color="E8E4DC"/>
                    <w:right w:val="single" w:sz="2" w:space="1" w:color="E8E4DC"/>
                  </w:tcBorders>
                  <w:shd w:val="clear" w:color="auto" w:fill="F8F7F4"/>
                  <w:tcMar>
                    <w:top w:w="100" w:type="dxa"/>
                    <w:left w:w="80" w:type="dxa"/>
                    <w:bottom w:w="100" w:type="dxa"/>
                    <w:right w:w="80" w:type="dxa"/>
                  </w:tcMar>
                  <w:vAlign w:val="center"/>
                </w:tcPr>
                <w:p w14:paraId="5615199E" w14:textId="77777777" w:rsidR="00061736" w:rsidRDefault="00000000">
                  <w:pPr>
                    <w:jc w:val="center"/>
                  </w:pPr>
                  <w:r>
                    <w:rPr>
                      <w:rFonts w:ascii="Cormorant Garamond" w:eastAsia="Cormorant Garamond" w:hAnsi="Cormorant Garamond" w:cs="Cormorant Garamond"/>
                      <w:b/>
                      <w:bCs/>
                      <w:color w:val="0A0F2E"/>
                    </w:rPr>
                    <w:t>Mar '26</w:t>
                  </w:r>
                </w:p>
                <w:p w14:paraId="5615199F" w14:textId="77777777" w:rsidR="00061736" w:rsidRDefault="00000000">
                  <w:pPr>
                    <w:jc w:val="center"/>
                  </w:pPr>
                  <w:r>
                    <w:rPr>
                      <w:color w:val="6B7280"/>
                      <w:sz w:val="13"/>
                      <w:szCs w:val="13"/>
                    </w:rPr>
                    <w:t>Last Deploy</w:t>
                  </w:r>
                </w:p>
              </w:tc>
            </w:tr>
          </w:tbl>
          <w:p w14:paraId="561519A1" w14:textId="77777777" w:rsidR="00061736" w:rsidRDefault="00061736"/>
        </w:tc>
      </w:tr>
    </w:tbl>
    <w:p w14:paraId="561519A3" w14:textId="77777777" w:rsidR="00061736" w:rsidRDefault="00061736">
      <w:pPr>
        <w:pBdr>
          <w:bottom w:val="single" w:sz="6" w:space="1" w:color="C9A84C"/>
        </w:pBdr>
        <w:spacing w:after="100"/>
      </w:pPr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500"/>
        <w:gridCol w:w="4600"/>
        <w:gridCol w:w="1020"/>
      </w:tblGrid>
      <w:tr w:rsidR="00061736" w14:paraId="561519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1519A4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4"/>
                <w:szCs w:val="14"/>
              </w:rPr>
              <w:t>LAYER</w:t>
            </w:r>
          </w:p>
        </w:tc>
        <w:tc>
          <w:tcPr>
            <w:tcW w:w="250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1519A5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4"/>
                <w:szCs w:val="14"/>
              </w:rPr>
              <w:t>TECHNOLOGY</w:t>
            </w:r>
          </w:p>
        </w:tc>
        <w:tc>
          <w:tcPr>
            <w:tcW w:w="460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519A6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4"/>
                <w:szCs w:val="14"/>
              </w:rPr>
              <w:t>ROLE IN PLATFORM</w:t>
            </w:r>
          </w:p>
        </w:tc>
        <w:tc>
          <w:tcPr>
            <w:tcW w:w="102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1519A7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4"/>
                <w:szCs w:val="14"/>
              </w:rPr>
              <w:t>STATUS</w:t>
            </w:r>
          </w:p>
        </w:tc>
      </w:tr>
      <w:tr w:rsidR="00061736" w14:paraId="561519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A9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Frontend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AA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React 18 + TypeScript + Vite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AB" w14:textId="77777777" w:rsidR="00061736" w:rsidRDefault="00000000">
            <w:r>
              <w:rPr>
                <w:sz w:val="16"/>
                <w:szCs w:val="16"/>
              </w:rPr>
              <w:t>Component architecture, type safety, optimized builds</w:t>
            </w:r>
          </w:p>
        </w:tc>
        <w:tc>
          <w:tcPr>
            <w:tcW w:w="102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AC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166534"/>
                <w:sz w:val="14"/>
                <w:szCs w:val="14"/>
              </w:rPr>
              <w:t>Production</w:t>
            </w:r>
          </w:p>
        </w:tc>
      </w:tr>
      <w:tr w:rsidR="00061736" w14:paraId="561519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AE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UI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AF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 xml:space="preserve">Radix UI + </w:t>
            </w:r>
            <w:proofErr w:type="spellStart"/>
            <w:r>
              <w:rPr>
                <w:b/>
                <w:bCs/>
                <w:color w:val="0A0F2E"/>
                <w:sz w:val="16"/>
                <w:szCs w:val="16"/>
              </w:rPr>
              <w:t>shadcn</w:t>
            </w:r>
            <w:proofErr w:type="spellEnd"/>
            <w:r>
              <w:rPr>
                <w:b/>
                <w:bCs/>
                <w:color w:val="0A0F2E"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color w:val="0A0F2E"/>
                <w:sz w:val="16"/>
                <w:szCs w:val="16"/>
              </w:rPr>
              <w:t>ui</w:t>
            </w:r>
            <w:proofErr w:type="spellEnd"/>
            <w:r>
              <w:rPr>
                <w:b/>
                <w:bCs/>
                <w:color w:val="0A0F2E"/>
                <w:sz w:val="16"/>
                <w:szCs w:val="16"/>
              </w:rPr>
              <w:t xml:space="preserve"> + Tailwind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B0" w14:textId="77777777" w:rsidR="00061736" w:rsidRDefault="00000000">
            <w:r>
              <w:rPr>
                <w:sz w:val="16"/>
                <w:szCs w:val="16"/>
              </w:rPr>
              <w:t>Accessible primitives, enforced Navy/Gold/Teal design system</w:t>
            </w:r>
          </w:p>
        </w:tc>
        <w:tc>
          <w:tcPr>
            <w:tcW w:w="102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B1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166534"/>
                <w:sz w:val="14"/>
                <w:szCs w:val="14"/>
              </w:rPr>
              <w:t>Production</w:t>
            </w:r>
          </w:p>
        </w:tc>
      </w:tr>
      <w:tr w:rsidR="00061736" w14:paraId="561519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B3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Data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B4" w14:textId="77777777" w:rsidR="00061736" w:rsidRDefault="00000000">
            <w:proofErr w:type="spellStart"/>
            <w:r>
              <w:rPr>
                <w:b/>
                <w:bCs/>
                <w:color w:val="0A0F2E"/>
                <w:sz w:val="16"/>
                <w:szCs w:val="16"/>
              </w:rPr>
              <w:t>TanStack</w:t>
            </w:r>
            <w:proofErr w:type="spellEnd"/>
            <w:r>
              <w:rPr>
                <w:b/>
                <w:bCs/>
                <w:color w:val="0A0F2E"/>
                <w:sz w:val="16"/>
                <w:szCs w:val="16"/>
              </w:rPr>
              <w:t xml:space="preserve"> Query v5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B5" w14:textId="77777777" w:rsidR="00061736" w:rsidRDefault="00000000">
            <w:r>
              <w:rPr>
                <w:sz w:val="16"/>
                <w:szCs w:val="16"/>
              </w:rPr>
              <w:t xml:space="preserve">Server state, </w:t>
            </w:r>
            <w:proofErr w:type="gramStart"/>
            <w:r>
              <w:rPr>
                <w:sz w:val="16"/>
                <w:szCs w:val="16"/>
              </w:rPr>
              <w:t>caching</w:t>
            </w:r>
            <w:proofErr w:type="gramEnd"/>
            <w:r>
              <w:rPr>
                <w:sz w:val="16"/>
                <w:szCs w:val="16"/>
              </w:rPr>
              <w:t>, optimistic updates, null-safe patterns</w:t>
            </w:r>
          </w:p>
        </w:tc>
        <w:tc>
          <w:tcPr>
            <w:tcW w:w="102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B6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166534"/>
                <w:sz w:val="14"/>
                <w:szCs w:val="14"/>
              </w:rPr>
              <w:t>Production</w:t>
            </w:r>
          </w:p>
        </w:tc>
      </w:tr>
      <w:tr w:rsidR="00061736" w14:paraId="561519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B8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Backend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B9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Node.js + Express + TypeScript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BA" w14:textId="77777777" w:rsidR="00061736" w:rsidRDefault="00000000">
            <w:r>
              <w:rPr>
                <w:sz w:val="16"/>
                <w:szCs w:val="16"/>
              </w:rPr>
              <w:t>REST API, ~</w:t>
            </w:r>
            <w:proofErr w:type="gramStart"/>
            <w:r>
              <w:rPr>
                <w:sz w:val="16"/>
                <w:szCs w:val="16"/>
              </w:rPr>
              <w:t>8,500 line</w:t>
            </w:r>
            <w:proofErr w:type="gramEnd"/>
            <w:r>
              <w:rPr>
                <w:sz w:val="16"/>
                <w:szCs w:val="16"/>
              </w:rPr>
              <w:t xml:space="preserve"> route layer — decomposition planned</w:t>
            </w:r>
          </w:p>
        </w:tc>
        <w:tc>
          <w:tcPr>
            <w:tcW w:w="102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BB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166534"/>
                <w:sz w:val="14"/>
                <w:szCs w:val="14"/>
              </w:rPr>
              <w:t>Production</w:t>
            </w:r>
          </w:p>
        </w:tc>
      </w:tr>
      <w:tr w:rsidR="00061736" w14:paraId="561519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BD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Database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BE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PostgreSQL / Drizzle ORM (Neon)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BF" w14:textId="77777777" w:rsidR="00061736" w:rsidRDefault="00000000">
            <w:r>
              <w:rPr>
                <w:sz w:val="16"/>
                <w:szCs w:val="16"/>
              </w:rPr>
              <w:t>Schema-as-code, serverless Postgres — shared dev/prod</w:t>
            </w:r>
          </w:p>
        </w:tc>
        <w:tc>
          <w:tcPr>
            <w:tcW w:w="1020" w:type="dxa"/>
            <w:tcBorders>
              <w:top w:val="single" w:sz="1" w:space="1" w:color="FFFBEB"/>
              <w:left w:val="single" w:sz="1" w:space="1" w:color="FFFBEB"/>
              <w:bottom w:val="single" w:sz="1" w:space="1" w:color="FFFBEB"/>
              <w:right w:val="single" w:sz="1" w:space="1" w:color="FFFBEB"/>
            </w:tcBorders>
            <w:shd w:val="clear" w:color="auto" w:fill="FFFBE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C0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92400E"/>
                <w:sz w:val="14"/>
                <w:szCs w:val="14"/>
              </w:rPr>
              <w:t>⚠ Shared DB</w:t>
            </w:r>
          </w:p>
        </w:tc>
      </w:tr>
      <w:tr w:rsidR="00061736" w14:paraId="561519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C2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Auth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C3" w14:textId="77777777" w:rsidR="00061736" w:rsidRDefault="00000000">
            <w:proofErr w:type="spellStart"/>
            <w:r>
              <w:rPr>
                <w:b/>
                <w:bCs/>
                <w:color w:val="0A0F2E"/>
                <w:sz w:val="16"/>
                <w:szCs w:val="16"/>
              </w:rPr>
              <w:t>Replit</w:t>
            </w:r>
            <w:proofErr w:type="spellEnd"/>
            <w:r>
              <w:rPr>
                <w:b/>
                <w:bCs/>
                <w:color w:val="0A0F2E"/>
                <w:sz w:val="16"/>
                <w:szCs w:val="16"/>
              </w:rPr>
              <w:t xml:space="preserve"> OIDC + Passport.js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C4" w14:textId="77777777" w:rsidR="00061736" w:rsidRDefault="00000000">
            <w:r>
              <w:rPr>
                <w:sz w:val="16"/>
                <w:szCs w:val="16"/>
              </w:rPr>
              <w:t>Multi-tenant, role-based, session persistence in PostgreSQL</w:t>
            </w:r>
          </w:p>
        </w:tc>
        <w:tc>
          <w:tcPr>
            <w:tcW w:w="102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C5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166534"/>
                <w:sz w:val="14"/>
                <w:szCs w:val="14"/>
              </w:rPr>
              <w:t>Production</w:t>
            </w:r>
          </w:p>
        </w:tc>
      </w:tr>
      <w:tr w:rsidR="00061736" w14:paraId="561519C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C7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Real-time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C8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Socket.IO WebSocket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C9" w14:textId="77777777" w:rsidR="00061736" w:rsidRDefault="00000000">
            <w:r>
              <w:rPr>
                <w:sz w:val="16"/>
                <w:szCs w:val="16"/>
              </w:rPr>
              <w:t>Live signal updates, collaborative execution console</w:t>
            </w:r>
          </w:p>
        </w:tc>
        <w:tc>
          <w:tcPr>
            <w:tcW w:w="102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CA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166534"/>
                <w:sz w:val="14"/>
                <w:szCs w:val="14"/>
              </w:rPr>
              <w:t>Production</w:t>
            </w:r>
          </w:p>
        </w:tc>
      </w:tr>
      <w:tr w:rsidR="00061736" w14:paraId="561519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CC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AI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CD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OpenAI GPT-4o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CE" w14:textId="77777777" w:rsidR="00061736" w:rsidRDefault="00000000">
            <w:r>
              <w:rPr>
                <w:sz w:val="16"/>
                <w:szCs w:val="16"/>
              </w:rPr>
              <w:t>Threat synthesis, playbook generation, outcome summaries</w:t>
            </w:r>
          </w:p>
        </w:tc>
        <w:tc>
          <w:tcPr>
            <w:tcW w:w="102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CF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166534"/>
                <w:sz w:val="14"/>
                <w:szCs w:val="14"/>
              </w:rPr>
              <w:t>Production</w:t>
            </w:r>
          </w:p>
        </w:tc>
      </w:tr>
      <w:tr w:rsidR="00061736" w14:paraId="561519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D1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Deployment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D2" w14:textId="77777777" w:rsidR="00061736" w:rsidRDefault="00000000">
            <w:proofErr w:type="spellStart"/>
            <w:r>
              <w:rPr>
                <w:b/>
                <w:bCs/>
                <w:color w:val="0A0F2E"/>
                <w:sz w:val="16"/>
                <w:szCs w:val="16"/>
              </w:rPr>
              <w:t>Replit</w:t>
            </w:r>
            <w:proofErr w:type="spellEnd"/>
            <w:r>
              <w:rPr>
                <w:b/>
                <w:bCs/>
                <w:color w:val="0A0F2E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0A0F2E"/>
                <w:sz w:val="16"/>
                <w:szCs w:val="16"/>
              </w:rPr>
              <w:t>Autoscale</w:t>
            </w:r>
            <w:proofErr w:type="spellEnd"/>
            <w:r>
              <w:rPr>
                <w:b/>
                <w:bCs/>
                <w:color w:val="0A0F2E"/>
                <w:sz w:val="16"/>
                <w:szCs w:val="16"/>
              </w:rPr>
              <w:t xml:space="preserve"> + vaughnmartin.com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D3" w14:textId="77777777" w:rsidR="00061736" w:rsidRDefault="00000000">
            <w:r>
              <w:rPr>
                <w:sz w:val="16"/>
                <w:szCs w:val="16"/>
              </w:rPr>
              <w:t>Custom domain, auto-scaling, manual pre-publish step required</w:t>
            </w:r>
          </w:p>
        </w:tc>
        <w:tc>
          <w:tcPr>
            <w:tcW w:w="1020" w:type="dxa"/>
            <w:tcBorders>
              <w:top w:val="single" w:sz="1" w:space="1" w:color="FFFBEB"/>
              <w:left w:val="single" w:sz="1" w:space="1" w:color="FFFBEB"/>
              <w:bottom w:val="single" w:sz="1" w:space="1" w:color="FFFBEB"/>
              <w:right w:val="single" w:sz="1" w:space="1" w:color="FFFBEB"/>
            </w:tcBorders>
            <w:shd w:val="clear" w:color="auto" w:fill="FFFBE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D4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92400E"/>
                <w:sz w:val="14"/>
                <w:szCs w:val="14"/>
              </w:rPr>
              <w:t>⚠ Manual CI</w:t>
            </w:r>
          </w:p>
        </w:tc>
      </w:tr>
      <w:tr w:rsidR="00061736" w14:paraId="561519D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D6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Monitoring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D7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Not yet implemented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D8" w14:textId="77777777" w:rsidR="00061736" w:rsidRDefault="00000000">
            <w:r>
              <w:rPr>
                <w:sz w:val="16"/>
                <w:szCs w:val="16"/>
              </w:rPr>
              <w:t>No error tracking, no observability — errors found by customers</w:t>
            </w:r>
          </w:p>
        </w:tc>
        <w:tc>
          <w:tcPr>
            <w:tcW w:w="1020" w:type="dxa"/>
            <w:tcBorders>
              <w:top w:val="single" w:sz="1" w:space="1" w:color="FEF2F2"/>
              <w:left w:val="single" w:sz="1" w:space="1" w:color="FEF2F2"/>
              <w:bottom w:val="single" w:sz="1" w:space="1" w:color="FEF2F2"/>
              <w:right w:val="single" w:sz="1" w:space="1" w:color="FEF2F2"/>
            </w:tcBorders>
            <w:shd w:val="clear" w:color="auto" w:fill="FE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D9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B91C1C"/>
                <w:sz w:val="14"/>
                <w:szCs w:val="14"/>
              </w:rPr>
              <w:t>Gap</w:t>
            </w:r>
          </w:p>
        </w:tc>
      </w:tr>
      <w:tr w:rsidR="00061736" w14:paraId="561519D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8F7F4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DB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6B7280"/>
                <w:sz w:val="15"/>
                <w:szCs w:val="15"/>
              </w:rPr>
              <w:t>Testing</w:t>
            </w:r>
          </w:p>
        </w:tc>
        <w:tc>
          <w:tcPr>
            <w:tcW w:w="25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DC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Not yet implemented</w:t>
            </w:r>
          </w:p>
        </w:tc>
        <w:tc>
          <w:tcPr>
            <w:tcW w:w="46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DD" w14:textId="77777777" w:rsidR="00061736" w:rsidRDefault="00000000">
            <w:r>
              <w:rPr>
                <w:sz w:val="16"/>
                <w:szCs w:val="16"/>
              </w:rPr>
              <w:t>No automated test suite — critical paths untested in CI</w:t>
            </w:r>
          </w:p>
        </w:tc>
        <w:tc>
          <w:tcPr>
            <w:tcW w:w="1020" w:type="dxa"/>
            <w:tcBorders>
              <w:top w:val="single" w:sz="1" w:space="1" w:color="FEF2F2"/>
              <w:left w:val="single" w:sz="1" w:space="1" w:color="FEF2F2"/>
              <w:bottom w:val="single" w:sz="1" w:space="1" w:color="FEF2F2"/>
              <w:right w:val="single" w:sz="1" w:space="1" w:color="FEF2F2"/>
            </w:tcBorders>
            <w:shd w:val="clear" w:color="auto" w:fill="FE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DE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B91C1C"/>
                <w:sz w:val="14"/>
                <w:szCs w:val="14"/>
              </w:rPr>
              <w:t>Gap</w:t>
            </w:r>
          </w:p>
        </w:tc>
      </w:tr>
    </w:tbl>
    <w:p w14:paraId="561519E0" w14:textId="77777777" w:rsidR="00061736" w:rsidRDefault="00061736"/>
    <w:p w14:paraId="561519E1" w14:textId="77777777" w:rsidR="00061736" w:rsidRDefault="00061736">
      <w:pPr>
        <w:pBdr>
          <w:bottom w:val="single" w:sz="2" w:space="1" w:color="E8E4DC"/>
        </w:pBdr>
        <w:spacing w:after="80"/>
      </w:pPr>
    </w:p>
    <w:p w14:paraId="561519E2" w14:textId="77777777" w:rsidR="00061736" w:rsidRDefault="00000000">
      <w:pPr>
        <w:spacing w:before="140" w:after="50"/>
      </w:pPr>
      <w:r>
        <w:rPr>
          <w:rFonts w:ascii="Cormorant Garamond" w:eastAsia="Cormorant Garamond" w:hAnsi="Cormorant Garamond" w:cs="Cormorant Garamond"/>
          <w:b/>
          <w:bCs/>
          <w:color w:val="0A0F2E"/>
          <w:sz w:val="22"/>
          <w:szCs w:val="22"/>
        </w:rPr>
        <w:t>What Is Live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320"/>
      </w:tblGrid>
      <w:tr w:rsidR="00061736" w14:paraId="561519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1" w:color="E8E4DC"/>
              <w:left w:val="single" w:sz="2" w:space="1" w:color="E8E4DC"/>
              <w:bottom w:val="single" w:sz="2" w:space="1" w:color="E8E4DC"/>
              <w:right w:val="single" w:sz="2" w:space="1" w:color="E8E4DC"/>
            </w:tcBorders>
            <w:shd w:val="clear" w:color="auto" w:fill="F8F7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1519E3" w14:textId="77777777" w:rsidR="00061736" w:rsidRDefault="00000000">
            <w:pPr>
              <w:spacing w:before="80" w:after="30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0A0F2E"/>
              </w:rPr>
              <w:t>Core Execution Engine</w:t>
            </w:r>
          </w:p>
          <w:p w14:paraId="561519E4" w14:textId="77777777" w:rsidR="00061736" w:rsidRDefault="00000000">
            <w:pPr>
              <w:spacing w:after="70"/>
            </w:pPr>
            <w:r>
              <w:rPr>
                <w:sz w:val="17"/>
                <w:szCs w:val="17"/>
              </w:rPr>
              <w:t>170 playbooks across 9 domains + 4 compound playbooks. Mission Control activation, 216+ signals in 15-min cycles, real-time playbook matching.</w:t>
            </w:r>
          </w:p>
        </w:tc>
        <w:tc>
          <w:tcPr>
            <w:tcW w:w="3200" w:type="dxa"/>
            <w:tcBorders>
              <w:top w:val="single" w:sz="2" w:space="1" w:color="E8E4DC"/>
              <w:left w:val="single" w:sz="2" w:space="1" w:color="E8E4DC"/>
              <w:bottom w:val="single" w:sz="2" w:space="1" w:color="E8E4DC"/>
              <w:right w:val="single" w:sz="2" w:space="1" w:color="E8E4DC"/>
            </w:tcBorders>
            <w:shd w:val="clear" w:color="auto" w:fill="F8F7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1519E5" w14:textId="77777777" w:rsidR="00061736" w:rsidRDefault="00000000">
            <w:pPr>
              <w:spacing w:before="80" w:after="30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0A0F2E"/>
              </w:rPr>
              <w:t>AI Intelligence Layer</w:t>
            </w:r>
          </w:p>
          <w:p w14:paraId="561519E6" w14:textId="77777777" w:rsidR="00061736" w:rsidRDefault="00000000">
            <w:pPr>
              <w:spacing w:after="70"/>
            </w:pPr>
            <w:r>
              <w:rPr>
                <w:sz w:val="17"/>
                <w:szCs w:val="17"/>
              </w:rPr>
              <w:t>GPT-4o across 5 surfaces: Compound Threats, Shadow Simulator, Strategic Recorder, Summary Generator, AI Copilot. All DB-persisted.</w:t>
            </w:r>
          </w:p>
        </w:tc>
        <w:tc>
          <w:tcPr>
            <w:tcW w:w="3320" w:type="dxa"/>
            <w:tcBorders>
              <w:top w:val="single" w:sz="2" w:space="1" w:color="E8E4DC"/>
              <w:left w:val="single" w:sz="2" w:space="1" w:color="E8E4DC"/>
              <w:bottom w:val="single" w:sz="2" w:space="1" w:color="E8E4DC"/>
              <w:right w:val="single" w:sz="2" w:space="1" w:color="E8E4DC"/>
            </w:tcBorders>
            <w:shd w:val="clear" w:color="auto" w:fill="F8F7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1519E7" w14:textId="77777777" w:rsidR="00061736" w:rsidRDefault="00000000">
            <w:pPr>
              <w:spacing w:before="80" w:after="30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0A0F2E"/>
              </w:rPr>
              <w:t>Enterprise Platform</w:t>
            </w:r>
          </w:p>
          <w:p w14:paraId="561519E8" w14:textId="77777777" w:rsidR="00061736" w:rsidRDefault="00000000">
            <w:pPr>
              <w:spacing w:after="70"/>
            </w:pPr>
            <w:r>
              <w:rPr>
                <w:sz w:val="17"/>
                <w:szCs w:val="17"/>
              </w:rPr>
              <w:t>Multi-tenant isolation, RBAC, onboarding wizard, ROI Dashboard, Execution Maturity Score (0–100), Admin Customer Health view.</w:t>
            </w:r>
          </w:p>
        </w:tc>
      </w:tr>
    </w:tbl>
    <w:p w14:paraId="561519EA" w14:textId="77777777" w:rsidR="00061736" w:rsidRDefault="00000000">
      <w:r>
        <w:br w:type="page"/>
      </w:r>
    </w:p>
    <w:p w14:paraId="561519EB" w14:textId="77777777" w:rsidR="00061736" w:rsidRDefault="00061736"/>
    <w:tbl>
      <w:tblPr>
        <w:tblW w:w="11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4520"/>
      </w:tblGrid>
      <w:tr w:rsidR="00061736" w14:paraId="561519F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00" w:type="dxa"/>
            </w:tcMar>
          </w:tcPr>
          <w:p w14:paraId="561519EC" w14:textId="77777777" w:rsidR="00061736" w:rsidRDefault="00000000">
            <w:pPr>
              <w:spacing w:after="30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C9A84C"/>
                <w:sz w:val="14"/>
                <w:szCs w:val="14"/>
              </w:rPr>
              <w:t>What We Know Needs To Happen</w:t>
            </w:r>
          </w:p>
          <w:p w14:paraId="561519ED" w14:textId="77777777" w:rsidR="00061736" w:rsidRDefault="00000000">
            <w:pPr>
              <w:spacing w:after="5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0A0F2E"/>
                <w:sz w:val="36"/>
                <w:szCs w:val="36"/>
              </w:rPr>
              <w:t xml:space="preserve">Hardening </w:t>
            </w:r>
            <w:r>
              <w:rPr>
                <w:rFonts w:ascii="Cormorant Garamond" w:eastAsia="Cormorant Garamond" w:hAnsi="Cormorant Garamond" w:cs="Cormorant Garamond"/>
                <w:b/>
                <w:bCs/>
                <w:color w:val="C9A84C"/>
                <w:sz w:val="36"/>
                <w:szCs w:val="36"/>
              </w:rPr>
              <w:t>Roadmap</w:t>
            </w:r>
          </w:p>
          <w:p w14:paraId="561519EE" w14:textId="77777777" w:rsidR="00061736" w:rsidRDefault="00000000">
            <w:r>
              <w:rPr>
                <w:rFonts w:ascii="Cormorant Garamond" w:eastAsia="Cormorant Garamond" w:hAnsi="Cormorant Garamond" w:cs="Cormorant Garamond"/>
                <w:i/>
                <w:iCs/>
                <w:color w:val="141B45"/>
              </w:rPr>
              <w:t>These gaps are not surprises — they are the deliberate result of shipping a working product first. Each one is operationally fixable.</w:t>
            </w:r>
          </w:p>
        </w:tc>
        <w:tc>
          <w:tcPr>
            <w:tcW w:w="4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7F4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61519EF" w14:textId="77777777" w:rsidR="00061736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56151A60" wp14:editId="56151A61">
                  <wp:extent cx="609600" cy="609600"/>
                  <wp:effectExtent l="0" t="0" r="0" b="0"/>
                  <wp:docPr id="534424134" name="Picture 534424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519F0" w14:textId="77777777" w:rsidR="00061736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i/>
                <w:iCs/>
                <w:color w:val="6B7280"/>
                <w:sz w:val="15"/>
                <w:szCs w:val="15"/>
              </w:rPr>
              <w:t>Known. Sequenced. Solvable.</w:t>
            </w:r>
          </w:p>
        </w:tc>
      </w:tr>
    </w:tbl>
    <w:p w14:paraId="561519F2" w14:textId="77777777" w:rsidR="00061736" w:rsidRDefault="00061736">
      <w:pPr>
        <w:pBdr>
          <w:bottom w:val="single" w:sz="6" w:space="1" w:color="C9A84C"/>
        </w:pBdr>
        <w:spacing w:after="100"/>
      </w:pPr>
    </w:p>
    <w:p w14:paraId="561519F3" w14:textId="77777777" w:rsidR="00061736" w:rsidRDefault="00000000">
      <w:pPr>
        <w:spacing w:before="140" w:after="50"/>
      </w:pPr>
      <w:proofErr w:type="gramStart"/>
      <w:r>
        <w:rPr>
          <w:rFonts w:ascii="Cormorant Garamond" w:eastAsia="Cormorant Garamond" w:hAnsi="Cormorant Garamond" w:cs="Cormorant Garamond"/>
          <w:b/>
          <w:bCs/>
          <w:color w:val="0A0F2E"/>
          <w:sz w:val="22"/>
          <w:szCs w:val="22"/>
        </w:rPr>
        <w:t>Known</w:t>
      </w:r>
      <w:proofErr w:type="gramEnd"/>
      <w:r>
        <w:rPr>
          <w:rFonts w:ascii="Cormorant Garamond" w:eastAsia="Cormorant Garamond" w:hAnsi="Cormorant Garamond" w:cs="Cormorant Garamond"/>
          <w:b/>
          <w:bCs/>
          <w:color w:val="0A0F2E"/>
          <w:sz w:val="22"/>
          <w:szCs w:val="22"/>
        </w:rPr>
        <w:t xml:space="preserve"> Gaps</w:t>
      </w:r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40"/>
        <w:gridCol w:w="5000"/>
        <w:gridCol w:w="1580"/>
      </w:tblGrid>
      <w:tr w:rsidR="00061736" w14:paraId="561519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61519F4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3"/>
                <w:szCs w:val="13"/>
              </w:rPr>
              <w:t>AREA</w:t>
            </w:r>
          </w:p>
        </w:tc>
        <w:tc>
          <w:tcPr>
            <w:tcW w:w="84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1519F5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3"/>
                <w:szCs w:val="13"/>
              </w:rPr>
              <w:t>RISK</w:t>
            </w:r>
          </w:p>
        </w:tc>
        <w:tc>
          <w:tcPr>
            <w:tcW w:w="500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1519F6" w14:textId="77777777" w:rsidR="00061736" w:rsidRDefault="00000000"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3"/>
                <w:szCs w:val="13"/>
              </w:rPr>
              <w:t>CURRENT STATE + IMPACT</w:t>
            </w:r>
          </w:p>
        </w:tc>
        <w:tc>
          <w:tcPr>
            <w:tcW w:w="158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1519F7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3"/>
                <w:szCs w:val="13"/>
              </w:rPr>
              <w:t>PHASE</w:t>
            </w:r>
          </w:p>
        </w:tc>
      </w:tr>
      <w:tr w:rsidR="00061736" w14:paraId="561519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F9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Dev/Prod Database</w:t>
            </w:r>
          </w:p>
        </w:tc>
        <w:tc>
          <w:tcPr>
            <w:tcW w:w="840" w:type="dxa"/>
            <w:tcBorders>
              <w:top w:val="single" w:sz="1" w:space="1" w:color="FEF2F2"/>
              <w:left w:val="single" w:sz="1" w:space="1" w:color="FEF2F2"/>
              <w:bottom w:val="single" w:sz="1" w:space="1" w:color="FEF2F2"/>
              <w:right w:val="single" w:sz="1" w:space="1" w:color="FEF2F2"/>
            </w:tcBorders>
            <w:shd w:val="clear" w:color="auto" w:fill="FE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FA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B91C1C"/>
                <w:sz w:val="14"/>
                <w:szCs w:val="14"/>
              </w:rPr>
              <w:t>HIGH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9FB" w14:textId="77777777" w:rsidR="00061736" w:rsidRDefault="00000000">
            <w:r>
              <w:rPr>
                <w:sz w:val="16"/>
                <w:szCs w:val="16"/>
              </w:rPr>
              <w:t>Single Neon instance for dev and production. Bad migration during development can corrupt live customer data.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FC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1</w:t>
            </w:r>
          </w:p>
        </w:tc>
      </w:tr>
      <w:tr w:rsidR="00061736" w14:paraId="56151A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9FE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Error Monitoring</w:t>
            </w:r>
          </w:p>
        </w:tc>
        <w:tc>
          <w:tcPr>
            <w:tcW w:w="840" w:type="dxa"/>
            <w:tcBorders>
              <w:top w:val="single" w:sz="1" w:space="1" w:color="FEF2F2"/>
              <w:left w:val="single" w:sz="1" w:space="1" w:color="FEF2F2"/>
              <w:bottom w:val="single" w:sz="1" w:space="1" w:color="FEF2F2"/>
              <w:right w:val="single" w:sz="1" w:space="1" w:color="FEF2F2"/>
            </w:tcBorders>
            <w:shd w:val="clear" w:color="auto" w:fill="FE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9FF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B91C1C"/>
                <w:sz w:val="14"/>
                <w:szCs w:val="14"/>
              </w:rPr>
              <w:t>HIGH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00" w14:textId="77777777" w:rsidR="00061736" w:rsidRDefault="00000000">
            <w:r>
              <w:rPr>
                <w:sz w:val="16"/>
                <w:szCs w:val="16"/>
              </w:rPr>
              <w:t>No Sentry or equivalent. Production errors are invisible until a customer reports them.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01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1</w:t>
            </w:r>
          </w:p>
        </w:tc>
      </w:tr>
      <w:tr w:rsidR="00061736" w14:paraId="56151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A03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CI/CD Pipeline</w:t>
            </w:r>
          </w:p>
        </w:tc>
        <w:tc>
          <w:tcPr>
            <w:tcW w:w="840" w:type="dxa"/>
            <w:tcBorders>
              <w:top w:val="single" w:sz="1" w:space="1" w:color="FEF2F2"/>
              <w:left w:val="single" w:sz="1" w:space="1" w:color="FEF2F2"/>
              <w:bottom w:val="single" w:sz="1" w:space="1" w:color="FEF2F2"/>
              <w:right w:val="single" w:sz="1" w:space="1" w:color="FEF2F2"/>
            </w:tcBorders>
            <w:shd w:val="clear" w:color="auto" w:fill="FE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04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B91C1C"/>
                <w:sz w:val="14"/>
                <w:szCs w:val="14"/>
              </w:rPr>
              <w:t>HIGH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05" w14:textId="77777777" w:rsidR="00061736" w:rsidRDefault="00000000">
            <w:r>
              <w:rPr>
                <w:sz w:val="16"/>
                <w:szCs w:val="16"/>
              </w:rPr>
              <w:t>Deployments are manual. No build verification on commit. Broken code can reach production undetected.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06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1</w:t>
            </w:r>
          </w:p>
        </w:tc>
      </w:tr>
      <w:tr w:rsidR="00061736" w14:paraId="56151A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A08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Deployment Process</w:t>
            </w:r>
          </w:p>
        </w:tc>
        <w:tc>
          <w:tcPr>
            <w:tcW w:w="840" w:type="dxa"/>
            <w:tcBorders>
              <w:top w:val="single" w:sz="1" w:space="1" w:color="FFFBEB"/>
              <w:left w:val="single" w:sz="1" w:space="1" w:color="FFFBEB"/>
              <w:bottom w:val="single" w:sz="1" w:space="1" w:color="FFFBEB"/>
              <w:right w:val="single" w:sz="1" w:space="1" w:color="FFFBEB"/>
            </w:tcBorders>
            <w:shd w:val="clear" w:color="auto" w:fill="FFFBE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09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92400E"/>
                <w:sz w:val="14"/>
                <w:szCs w:val="14"/>
              </w:rPr>
              <w:t>MEDIUM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0A" w14:textId="77777777" w:rsidR="00061736" w:rsidRDefault="00000000">
            <w:r>
              <w:rPr>
                <w:sz w:val="16"/>
                <w:szCs w:val="16"/>
              </w:rPr>
              <w:t xml:space="preserve">Pre-publish </w:t>
            </w:r>
            <w:proofErr w:type="spellStart"/>
            <w:r>
              <w:rPr>
                <w:sz w:val="16"/>
                <w:szCs w:val="16"/>
              </w:rPr>
              <w:t>esbuild</w:t>
            </w:r>
            <w:proofErr w:type="spellEnd"/>
            <w:r>
              <w:rPr>
                <w:sz w:val="16"/>
                <w:szCs w:val="16"/>
              </w:rPr>
              <w:t xml:space="preserve"> override step lives in institutional memory. Will fail when forgotten under pressure.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0B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1</w:t>
            </w:r>
          </w:p>
        </w:tc>
      </w:tr>
      <w:tr w:rsidR="00061736" w14:paraId="56151A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A0D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Test Suite</w:t>
            </w:r>
          </w:p>
        </w:tc>
        <w:tc>
          <w:tcPr>
            <w:tcW w:w="840" w:type="dxa"/>
            <w:tcBorders>
              <w:top w:val="single" w:sz="1" w:space="1" w:color="FEF2F2"/>
              <w:left w:val="single" w:sz="1" w:space="1" w:color="FEF2F2"/>
              <w:bottom w:val="single" w:sz="1" w:space="1" w:color="FEF2F2"/>
              <w:right w:val="single" w:sz="1" w:space="1" w:color="FEF2F2"/>
            </w:tcBorders>
            <w:shd w:val="clear" w:color="auto" w:fill="FE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0E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B91C1C"/>
                <w:sz w:val="14"/>
                <w:szCs w:val="14"/>
              </w:rPr>
              <w:t>HIGH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0F" w14:textId="77777777" w:rsidR="00061736" w:rsidRDefault="00000000">
            <w:r>
              <w:rPr>
                <w:sz w:val="16"/>
                <w:szCs w:val="16"/>
              </w:rPr>
              <w:t>No automated tests. Playbook seeding, auth flow, activation chain — all untested. Regressions found in production.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10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2</w:t>
            </w:r>
          </w:p>
        </w:tc>
      </w:tr>
      <w:tr w:rsidR="00061736" w14:paraId="56151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A12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DB Migration Files</w:t>
            </w:r>
          </w:p>
        </w:tc>
        <w:tc>
          <w:tcPr>
            <w:tcW w:w="840" w:type="dxa"/>
            <w:tcBorders>
              <w:top w:val="single" w:sz="1" w:space="1" w:color="FFFBEB"/>
              <w:left w:val="single" w:sz="1" w:space="1" w:color="FFFBEB"/>
              <w:bottom w:val="single" w:sz="1" w:space="1" w:color="FFFBEB"/>
              <w:right w:val="single" w:sz="1" w:space="1" w:color="FFFBEB"/>
            </w:tcBorders>
            <w:shd w:val="clear" w:color="auto" w:fill="FFFBE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13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92400E"/>
                <w:sz w:val="14"/>
                <w:szCs w:val="14"/>
              </w:rPr>
              <w:t>MEDIUM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14" w14:textId="77777777" w:rsidR="00061736" w:rsidRDefault="00000000">
            <w:proofErr w:type="spellStart"/>
            <w:r>
              <w:rPr>
                <w:sz w:val="16"/>
                <w:szCs w:val="16"/>
              </w:rPr>
              <w:t>db:push</w:t>
            </w:r>
            <w:proofErr w:type="spellEnd"/>
            <w:r>
              <w:rPr>
                <w:sz w:val="16"/>
                <w:szCs w:val="16"/>
              </w:rPr>
              <w:t xml:space="preserve"> is not safe for production. No versioned files, no rollback story for enterprise security reviews.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15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2</w:t>
            </w:r>
          </w:p>
        </w:tc>
      </w:tr>
      <w:tr w:rsidR="00061736" w14:paraId="56151A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A17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Route Architecture</w:t>
            </w:r>
          </w:p>
        </w:tc>
        <w:tc>
          <w:tcPr>
            <w:tcW w:w="840" w:type="dxa"/>
            <w:tcBorders>
              <w:top w:val="single" w:sz="1" w:space="1" w:color="FFFBEB"/>
              <w:left w:val="single" w:sz="1" w:space="1" w:color="FFFBEB"/>
              <w:bottom w:val="single" w:sz="1" w:space="1" w:color="FFFBEB"/>
              <w:right w:val="single" w:sz="1" w:space="1" w:color="FFFBEB"/>
            </w:tcBorders>
            <w:shd w:val="clear" w:color="auto" w:fill="FFFBE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18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92400E"/>
                <w:sz w:val="14"/>
                <w:szCs w:val="14"/>
              </w:rPr>
              <w:t>MEDIUM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19" w14:textId="77777777" w:rsidR="00061736" w:rsidRDefault="00000000">
            <w:r>
              <w:rPr>
                <w:sz w:val="16"/>
                <w:szCs w:val="16"/>
              </w:rPr>
              <w:t>~</w:t>
            </w:r>
            <w:proofErr w:type="gramStart"/>
            <w:r>
              <w:rPr>
                <w:sz w:val="16"/>
                <w:szCs w:val="16"/>
              </w:rPr>
              <w:t>8,500 line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routes.ts</w:t>
            </w:r>
            <w:proofErr w:type="spellEnd"/>
            <w:r>
              <w:rPr>
                <w:sz w:val="16"/>
                <w:szCs w:val="16"/>
              </w:rPr>
              <w:t>. High onboarding risk. Decomposition into domain-grouped files planned.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1A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2</w:t>
            </w:r>
          </w:p>
        </w:tc>
      </w:tr>
      <w:tr w:rsidR="00061736" w14:paraId="56151A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A1C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Security Headers</w:t>
            </w:r>
          </w:p>
        </w:tc>
        <w:tc>
          <w:tcPr>
            <w:tcW w:w="840" w:type="dxa"/>
            <w:tcBorders>
              <w:top w:val="single" w:sz="1" w:space="1" w:color="FFFBEB"/>
              <w:left w:val="single" w:sz="1" w:space="1" w:color="FFFBEB"/>
              <w:bottom w:val="single" w:sz="1" w:space="1" w:color="FFFBEB"/>
              <w:right w:val="single" w:sz="1" w:space="1" w:color="FFFBEB"/>
            </w:tcBorders>
            <w:shd w:val="clear" w:color="auto" w:fill="FFFBE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1D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92400E"/>
                <w:sz w:val="14"/>
                <w:szCs w:val="14"/>
              </w:rPr>
              <w:t>MEDIUM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1E" w14:textId="77777777" w:rsidR="00061736" w:rsidRDefault="00000000">
            <w:r>
              <w:rPr>
                <w:sz w:val="16"/>
                <w:szCs w:val="16"/>
              </w:rPr>
              <w:t>No helmet.js, no rate limiting. Will fail enterprise security review before second customer signs.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1F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2</w:t>
            </w:r>
          </w:p>
        </w:tc>
      </w:tr>
      <w:tr w:rsidR="00061736" w14:paraId="56151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A21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Staging Environment</w:t>
            </w:r>
          </w:p>
        </w:tc>
        <w:tc>
          <w:tcPr>
            <w:tcW w:w="840" w:type="dxa"/>
            <w:tcBorders>
              <w:top w:val="single" w:sz="1" w:space="1" w:color="FFFBEB"/>
              <w:left w:val="single" w:sz="1" w:space="1" w:color="FFFBEB"/>
              <w:bottom w:val="single" w:sz="1" w:space="1" w:color="FFFBEB"/>
              <w:right w:val="single" w:sz="1" w:space="1" w:color="FFFBEB"/>
            </w:tcBorders>
            <w:shd w:val="clear" w:color="auto" w:fill="FFFBE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22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92400E"/>
                <w:sz w:val="14"/>
                <w:szCs w:val="14"/>
              </w:rPr>
              <w:t>MEDIUM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23" w14:textId="77777777" w:rsidR="00061736" w:rsidRDefault="00000000">
            <w:r>
              <w:rPr>
                <w:sz w:val="16"/>
                <w:szCs w:val="16"/>
              </w:rPr>
              <w:t>Changes go dev → production directly. No safe test environment before changes hit live customers.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24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3</w:t>
            </w:r>
          </w:p>
        </w:tc>
      </w:tr>
      <w:tr w:rsidR="00061736" w14:paraId="56151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A26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API Documentation</w:t>
            </w:r>
          </w:p>
        </w:tc>
        <w:tc>
          <w:tcPr>
            <w:tcW w:w="84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27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166534"/>
                <w:sz w:val="14"/>
                <w:szCs w:val="14"/>
              </w:rPr>
              <w:t>LOW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28" w14:textId="77777777" w:rsidR="00061736" w:rsidRDefault="00000000">
            <w:r>
              <w:rPr>
                <w:sz w:val="16"/>
                <w:szCs w:val="16"/>
              </w:rPr>
              <w:t>No Swagger/</w:t>
            </w:r>
            <w:proofErr w:type="spellStart"/>
            <w:r>
              <w:rPr>
                <w:sz w:val="16"/>
                <w:szCs w:val="16"/>
              </w:rPr>
              <w:t>OpenAPI</w:t>
            </w:r>
            <w:proofErr w:type="spellEnd"/>
            <w:r>
              <w:rPr>
                <w:sz w:val="16"/>
                <w:szCs w:val="16"/>
              </w:rPr>
              <w:t xml:space="preserve"> spec. Enterprise IT teams will require this during procurement.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29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3</w:t>
            </w:r>
          </w:p>
        </w:tc>
      </w:tr>
      <w:tr w:rsidR="00061736" w14:paraId="56151A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6151A2B" w14:textId="77777777" w:rsidR="00061736" w:rsidRDefault="00000000">
            <w:r>
              <w:rPr>
                <w:b/>
                <w:bCs/>
                <w:color w:val="0A0F2E"/>
                <w:sz w:val="16"/>
                <w:szCs w:val="16"/>
              </w:rPr>
              <w:t>Backup / Recovery</w:t>
            </w:r>
          </w:p>
        </w:tc>
        <w:tc>
          <w:tcPr>
            <w:tcW w:w="840" w:type="dxa"/>
            <w:tcBorders>
              <w:top w:val="single" w:sz="1" w:space="1" w:color="FFFBEB"/>
              <w:left w:val="single" w:sz="1" w:space="1" w:color="FFFBEB"/>
              <w:bottom w:val="single" w:sz="1" w:space="1" w:color="FFFBEB"/>
              <w:right w:val="single" w:sz="1" w:space="1" w:color="FFFBEB"/>
            </w:tcBorders>
            <w:shd w:val="clear" w:color="auto" w:fill="FFFBE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2C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92400E"/>
                <w:sz w:val="14"/>
                <w:szCs w:val="14"/>
              </w:rPr>
              <w:t>MEDIUM</w:t>
            </w:r>
          </w:p>
        </w:tc>
        <w:tc>
          <w:tcPr>
            <w:tcW w:w="5000" w:type="dxa"/>
            <w:tcBorders>
              <w:top w:val="single" w:sz="1" w:space="1" w:color="E8E4DC"/>
              <w:left w:val="single" w:sz="1" w:space="1" w:color="E8E4DC"/>
              <w:bottom w:val="single" w:sz="1" w:space="1" w:color="E8E4DC"/>
              <w:right w:val="single" w:sz="1" w:space="1" w:color="E8E4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151A2D" w14:textId="77777777" w:rsidR="00061736" w:rsidRDefault="00000000">
            <w:r>
              <w:rPr>
                <w:sz w:val="16"/>
                <w:szCs w:val="16"/>
              </w:rPr>
              <w:t>Neon PITR available but no documented runbook. Cannot state RPO/RTO to an enterprise buyer today.</w:t>
            </w:r>
          </w:p>
        </w:tc>
        <w:tc>
          <w:tcPr>
            <w:tcW w:w="1580" w:type="dxa"/>
            <w:tcBorders>
              <w:top w:val="single" w:sz="1" w:space="1" w:color="F0FDF4"/>
              <w:left w:val="single" w:sz="1" w:space="1" w:color="F0FDF4"/>
              <w:bottom w:val="single" w:sz="1" w:space="1" w:color="F0FDF4"/>
              <w:right w:val="single" w:sz="1" w:space="1" w:color="F0FDF4"/>
            </w:tcBorders>
            <w:shd w:val="clear" w:color="auto" w:fill="F0FDF4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151A2E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2B8A6E"/>
                <w:sz w:val="14"/>
                <w:szCs w:val="14"/>
              </w:rPr>
              <w:t>Phase 3</w:t>
            </w:r>
          </w:p>
        </w:tc>
      </w:tr>
    </w:tbl>
    <w:p w14:paraId="56151A30" w14:textId="77777777" w:rsidR="00061736" w:rsidRDefault="00061736"/>
    <w:p w14:paraId="56151A31" w14:textId="77777777" w:rsidR="00061736" w:rsidRDefault="00061736">
      <w:pPr>
        <w:pBdr>
          <w:bottom w:val="single" w:sz="2" w:space="1" w:color="E8E4DC"/>
        </w:pBdr>
        <w:spacing w:after="80"/>
      </w:pPr>
    </w:p>
    <w:p w14:paraId="12A635F6" w14:textId="77777777" w:rsidR="00076E35" w:rsidRDefault="00076E35">
      <w:pPr>
        <w:pBdr>
          <w:bottom w:val="single" w:sz="2" w:space="1" w:color="E8E4DC"/>
        </w:pBdr>
        <w:spacing w:after="80"/>
      </w:pPr>
    </w:p>
    <w:p w14:paraId="3B042A97" w14:textId="77777777" w:rsidR="00076E35" w:rsidRDefault="00076E35">
      <w:pPr>
        <w:pBdr>
          <w:bottom w:val="single" w:sz="2" w:space="1" w:color="E8E4DC"/>
        </w:pBdr>
        <w:spacing w:after="80"/>
      </w:pPr>
    </w:p>
    <w:p w14:paraId="7B597FBA" w14:textId="77777777" w:rsidR="00076E35" w:rsidRDefault="00076E35">
      <w:pPr>
        <w:pBdr>
          <w:bottom w:val="single" w:sz="2" w:space="1" w:color="E8E4DC"/>
        </w:pBdr>
        <w:spacing w:after="80"/>
      </w:pPr>
    </w:p>
    <w:p w14:paraId="382DABC7" w14:textId="77777777" w:rsidR="00076E35" w:rsidRDefault="00076E35">
      <w:pPr>
        <w:pBdr>
          <w:bottom w:val="single" w:sz="2" w:space="1" w:color="E8E4DC"/>
        </w:pBdr>
        <w:spacing w:after="80"/>
      </w:pPr>
    </w:p>
    <w:p w14:paraId="38DB3603" w14:textId="77777777" w:rsidR="00076E35" w:rsidRDefault="00076E35">
      <w:pPr>
        <w:pBdr>
          <w:bottom w:val="single" w:sz="2" w:space="1" w:color="E8E4DC"/>
        </w:pBdr>
        <w:spacing w:after="80"/>
      </w:pPr>
    </w:p>
    <w:p w14:paraId="2E6AD112" w14:textId="77777777" w:rsidR="00076E35" w:rsidRDefault="00076E35">
      <w:pPr>
        <w:pBdr>
          <w:bottom w:val="single" w:sz="2" w:space="1" w:color="E8E4DC"/>
        </w:pBdr>
        <w:spacing w:after="80"/>
      </w:pPr>
    </w:p>
    <w:p w14:paraId="7C8066BA" w14:textId="77777777" w:rsidR="00076E35" w:rsidRDefault="00076E35">
      <w:pPr>
        <w:pBdr>
          <w:bottom w:val="single" w:sz="2" w:space="1" w:color="E8E4DC"/>
        </w:pBdr>
        <w:spacing w:after="80"/>
      </w:pPr>
    </w:p>
    <w:p w14:paraId="2C8FA0E5" w14:textId="77777777" w:rsidR="00076E35" w:rsidRDefault="00076E35">
      <w:pPr>
        <w:pBdr>
          <w:bottom w:val="single" w:sz="2" w:space="1" w:color="E8E4DC"/>
        </w:pBdr>
        <w:spacing w:after="80"/>
      </w:pPr>
    </w:p>
    <w:p w14:paraId="5C611E29" w14:textId="77777777" w:rsidR="00076E35" w:rsidRDefault="00076E35">
      <w:pPr>
        <w:pBdr>
          <w:bottom w:val="single" w:sz="2" w:space="1" w:color="E8E4DC"/>
        </w:pBdr>
        <w:spacing w:after="80"/>
      </w:pPr>
    </w:p>
    <w:p w14:paraId="63E706E7" w14:textId="77777777" w:rsidR="00076E35" w:rsidRDefault="00076E35">
      <w:pPr>
        <w:pBdr>
          <w:bottom w:val="single" w:sz="2" w:space="1" w:color="E8E4DC"/>
        </w:pBdr>
        <w:spacing w:after="80"/>
      </w:pPr>
    </w:p>
    <w:p w14:paraId="71ACCEE5" w14:textId="77777777" w:rsidR="00076E35" w:rsidRDefault="00076E35">
      <w:pPr>
        <w:pBdr>
          <w:bottom w:val="single" w:sz="2" w:space="1" w:color="E8E4DC"/>
        </w:pBdr>
        <w:spacing w:after="80"/>
      </w:pPr>
    </w:p>
    <w:p w14:paraId="56151A32" w14:textId="77777777" w:rsidR="00061736" w:rsidRDefault="00000000">
      <w:pPr>
        <w:spacing w:before="140" w:after="50"/>
      </w:pPr>
      <w:r>
        <w:rPr>
          <w:rFonts w:ascii="Cormorant Garamond" w:eastAsia="Cormorant Garamond" w:hAnsi="Cormorant Garamond" w:cs="Cormorant Garamond"/>
          <w:b/>
          <w:bCs/>
          <w:color w:val="0A0F2E"/>
          <w:sz w:val="22"/>
          <w:szCs w:val="22"/>
        </w:rPr>
        <w:lastRenderedPageBreak/>
        <w:t>Three-Phase Hardening Plan</w:t>
      </w:r>
    </w:p>
    <w:tbl>
      <w:tblPr>
        <w:tblW w:w="10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6"/>
        <w:gridCol w:w="3507"/>
        <w:gridCol w:w="3507"/>
      </w:tblGrid>
      <w:tr w:rsidR="00061736" w14:paraId="56151A57" w14:textId="77777777">
        <w:tblPrEx>
          <w:tblCellMar>
            <w:top w:w="0" w:type="dxa"/>
            <w:bottom w:w="0" w:type="dxa"/>
          </w:tblCellMar>
        </w:tblPrEx>
        <w:tc>
          <w:tcPr>
            <w:tcW w:w="344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151A33" w14:textId="77777777" w:rsidR="00061736" w:rsidRDefault="00000000">
            <w:pPr>
              <w:spacing w:after="50"/>
            </w:pPr>
            <w:r>
              <w:rPr>
                <w:noProof/>
              </w:rPr>
              <w:drawing>
                <wp:inline distT="0" distB="0" distL="0" distR="0" wp14:anchorId="56151A62" wp14:editId="56151A63">
                  <wp:extent cx="266700" cy="266700"/>
                  <wp:effectExtent l="0" t="0" r="0" b="0"/>
                  <wp:docPr id="1191125059" name="Picture 1191125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51A34" w14:textId="77777777" w:rsidR="00061736" w:rsidRDefault="00000000">
            <w:pPr>
              <w:spacing w:after="10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C9A84C"/>
                <w:sz w:val="17"/>
                <w:szCs w:val="17"/>
              </w:rPr>
              <w:t>PHASE 1</w:t>
            </w:r>
          </w:p>
          <w:p w14:paraId="56151A35" w14:textId="77777777" w:rsidR="00061736" w:rsidRDefault="00000000">
            <w:pPr>
              <w:spacing w:after="6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5"/>
                <w:szCs w:val="15"/>
              </w:rPr>
              <w:t>Weeks 1–2</w:t>
            </w:r>
          </w:p>
          <w:p w14:paraId="56151A36" w14:textId="77777777" w:rsidR="00061736" w:rsidRDefault="00000000">
            <w:pPr>
              <w:spacing w:after="50"/>
            </w:pPr>
            <w:r>
              <w:rPr>
                <w:rFonts w:ascii="Cormorant Garamond" w:eastAsia="Cormorant Garamond" w:hAnsi="Cormorant Garamond" w:cs="Cormorant Garamond"/>
                <w:i/>
                <w:iCs/>
                <w:color w:val="C8D4E8"/>
                <w:sz w:val="14"/>
                <w:szCs w:val="14"/>
              </w:rPr>
              <w:t>Before second pilot customer</w:t>
            </w:r>
          </w:p>
          <w:p w14:paraId="56151A37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Separate Dev/Prod DBs</w:t>
            </w:r>
          </w:p>
          <w:p w14:paraId="56151A38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>Provision second Neon project for dev. Production credentials in secrets only.</w:t>
            </w:r>
          </w:p>
          <w:p w14:paraId="56151A39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Sentry Monitoring</w:t>
            </w:r>
          </w:p>
          <w:p w14:paraId="56151A3A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>Error tracking on frontend + server. Email alerts. Two hours — closes the biggest blind spot.</w:t>
            </w:r>
          </w:p>
          <w:p w14:paraId="56151A3B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GitHub Actions CI</w:t>
            </w:r>
          </w:p>
          <w:p w14:paraId="56151A3C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>TypeScript check + build verify on every push to main.</w:t>
            </w:r>
          </w:p>
          <w:p w14:paraId="56151A3D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Deployment Runbook</w:t>
            </w:r>
          </w:p>
          <w:p w14:paraId="56151A3E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>Pre-publish checklist as code-controlled config, not memory.</w:t>
            </w:r>
          </w:p>
        </w:tc>
        <w:tc>
          <w:tcPr>
            <w:tcW w:w="3440" w:type="dxa"/>
            <w:tcBorders>
              <w:top w:val="single" w:sz="1" w:space="1" w:color="141B45"/>
              <w:left w:val="single" w:sz="1" w:space="1" w:color="141B45"/>
              <w:bottom w:val="single" w:sz="1" w:space="1" w:color="141B45"/>
              <w:right w:val="single" w:sz="1" w:space="1" w:color="141B45"/>
            </w:tcBorders>
            <w:shd w:val="clear" w:color="auto" w:fill="141B45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151A3F" w14:textId="77777777" w:rsidR="00061736" w:rsidRDefault="00000000">
            <w:pPr>
              <w:spacing w:after="50"/>
            </w:pPr>
            <w:r>
              <w:rPr>
                <w:noProof/>
              </w:rPr>
              <w:drawing>
                <wp:inline distT="0" distB="0" distL="0" distR="0" wp14:anchorId="56151A64" wp14:editId="56151A65">
                  <wp:extent cx="266700" cy="266700"/>
                  <wp:effectExtent l="0" t="0" r="0" b="0"/>
                  <wp:docPr id="87608707" name="Picture 87608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51A40" w14:textId="77777777" w:rsidR="00061736" w:rsidRDefault="00000000">
            <w:pPr>
              <w:spacing w:after="10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C9A84C"/>
                <w:sz w:val="17"/>
                <w:szCs w:val="17"/>
              </w:rPr>
              <w:t>PHASE 2</w:t>
            </w:r>
          </w:p>
          <w:p w14:paraId="56151A41" w14:textId="77777777" w:rsidR="00061736" w:rsidRDefault="00000000">
            <w:pPr>
              <w:spacing w:after="6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5"/>
                <w:szCs w:val="15"/>
              </w:rPr>
              <w:t>Weeks 3–6</w:t>
            </w:r>
          </w:p>
          <w:p w14:paraId="56151A42" w14:textId="77777777" w:rsidR="00061736" w:rsidRDefault="00000000">
            <w:pPr>
              <w:spacing w:after="50"/>
            </w:pPr>
            <w:r>
              <w:rPr>
                <w:rFonts w:ascii="Cormorant Garamond" w:eastAsia="Cormorant Garamond" w:hAnsi="Cormorant Garamond" w:cs="Cormorant Garamond"/>
                <w:i/>
                <w:iCs/>
                <w:color w:val="C8D4E8"/>
                <w:sz w:val="14"/>
                <w:szCs w:val="14"/>
              </w:rPr>
              <w:t>Before active sales pipeline</w:t>
            </w:r>
          </w:p>
          <w:p w14:paraId="56151A43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20-Test Suite</w:t>
            </w:r>
          </w:p>
          <w:p w14:paraId="56151A44" w14:textId="77777777" w:rsidR="00061736" w:rsidRDefault="00000000">
            <w:pPr>
              <w:spacing w:after="40"/>
            </w:pPr>
            <w:proofErr w:type="spellStart"/>
            <w:r>
              <w:rPr>
                <w:color w:val="C8D4E8"/>
                <w:sz w:val="15"/>
                <w:szCs w:val="15"/>
              </w:rPr>
              <w:t>Vitest</w:t>
            </w:r>
            <w:proofErr w:type="spellEnd"/>
            <w:r>
              <w:rPr>
                <w:color w:val="C8D4E8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C8D4E8"/>
                <w:sz w:val="15"/>
                <w:szCs w:val="15"/>
              </w:rPr>
              <w:t>Supertest</w:t>
            </w:r>
            <w:proofErr w:type="spellEnd"/>
            <w:r>
              <w:rPr>
                <w:color w:val="C8D4E8"/>
                <w:sz w:val="15"/>
                <w:szCs w:val="15"/>
              </w:rPr>
              <w:t xml:space="preserve"> covering playbook seeding, auth, activation chain, top API routes.</w:t>
            </w:r>
          </w:p>
          <w:p w14:paraId="56151A45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Migration Files</w:t>
            </w:r>
          </w:p>
          <w:p w14:paraId="56151A46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 xml:space="preserve">Drizzle versioned migrations replace </w:t>
            </w:r>
            <w:proofErr w:type="spellStart"/>
            <w:r>
              <w:rPr>
                <w:color w:val="C8D4E8"/>
                <w:sz w:val="15"/>
                <w:szCs w:val="15"/>
              </w:rPr>
              <w:t>db:push</w:t>
            </w:r>
            <w:proofErr w:type="spellEnd"/>
            <w:r>
              <w:rPr>
                <w:color w:val="C8D4E8"/>
                <w:sz w:val="15"/>
                <w:szCs w:val="15"/>
              </w:rPr>
              <w:t>. Gives auditable rollback story.</w:t>
            </w:r>
          </w:p>
          <w:p w14:paraId="56151A47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Route Decomposition</w:t>
            </w:r>
          </w:p>
          <w:p w14:paraId="56151A48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 xml:space="preserve">Split </w:t>
            </w:r>
            <w:proofErr w:type="spellStart"/>
            <w:r>
              <w:rPr>
                <w:color w:val="C8D4E8"/>
                <w:sz w:val="15"/>
                <w:szCs w:val="15"/>
              </w:rPr>
              <w:t>routes.ts</w:t>
            </w:r>
            <w:proofErr w:type="spellEnd"/>
            <w:r>
              <w:rPr>
                <w:color w:val="C8D4E8"/>
                <w:sz w:val="15"/>
                <w:szCs w:val="15"/>
              </w:rPr>
              <w:t xml:space="preserve"> into domain-grouped files. Enables parallel dev, reduces risk.</w:t>
            </w:r>
          </w:p>
          <w:p w14:paraId="56151A49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Security Headers</w:t>
            </w:r>
          </w:p>
          <w:p w14:paraId="56151A4A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>helmet.js + rate limiting. Required before any enterprise security review.</w:t>
            </w:r>
          </w:p>
        </w:tc>
        <w:tc>
          <w:tcPr>
            <w:tcW w:w="3440" w:type="dxa"/>
            <w:tcBorders>
              <w:top w:val="single" w:sz="1" w:space="1" w:color="2B8A6E"/>
              <w:left w:val="single" w:sz="1" w:space="1" w:color="2B8A6E"/>
              <w:bottom w:val="single" w:sz="1" w:space="1" w:color="2B8A6E"/>
              <w:right w:val="single" w:sz="1" w:space="1" w:color="2B8A6E"/>
            </w:tcBorders>
            <w:shd w:val="clear" w:color="auto" w:fill="2B8A6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151A4B" w14:textId="77777777" w:rsidR="00061736" w:rsidRDefault="00000000">
            <w:pPr>
              <w:spacing w:after="50"/>
            </w:pPr>
            <w:r>
              <w:rPr>
                <w:noProof/>
              </w:rPr>
              <w:drawing>
                <wp:inline distT="0" distB="0" distL="0" distR="0" wp14:anchorId="56151A66" wp14:editId="56151A67">
                  <wp:extent cx="266700" cy="266700"/>
                  <wp:effectExtent l="0" t="0" r="0" b="0"/>
                  <wp:docPr id="1277269504" name="Picture 1277269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51A4C" w14:textId="77777777" w:rsidR="00061736" w:rsidRDefault="00000000">
            <w:pPr>
              <w:spacing w:after="10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C9A84C"/>
                <w:sz w:val="17"/>
                <w:szCs w:val="17"/>
              </w:rPr>
              <w:t>PHASE 3</w:t>
            </w:r>
          </w:p>
          <w:p w14:paraId="56151A4D" w14:textId="77777777" w:rsidR="00061736" w:rsidRDefault="00000000">
            <w:pPr>
              <w:spacing w:after="6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FFFFFF"/>
                <w:sz w:val="15"/>
                <w:szCs w:val="15"/>
              </w:rPr>
              <w:t>Weeks 7–10</w:t>
            </w:r>
          </w:p>
          <w:p w14:paraId="56151A4E" w14:textId="77777777" w:rsidR="00061736" w:rsidRDefault="00000000">
            <w:pPr>
              <w:spacing w:after="50"/>
            </w:pPr>
            <w:r>
              <w:rPr>
                <w:rFonts w:ascii="Cormorant Garamond" w:eastAsia="Cormorant Garamond" w:hAnsi="Cormorant Garamond" w:cs="Cormorant Garamond"/>
                <w:i/>
                <w:iCs/>
                <w:color w:val="C8D4E8"/>
                <w:sz w:val="14"/>
                <w:szCs w:val="14"/>
              </w:rPr>
              <w:t>Before 5+ customers</w:t>
            </w:r>
          </w:p>
          <w:p w14:paraId="56151A4F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Staging Environment</w:t>
            </w:r>
          </w:p>
          <w:p w14:paraId="56151A50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>Second deployment instance mirroring production. Safe test layer between dev and live.</w:t>
            </w:r>
          </w:p>
          <w:p w14:paraId="56151A51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API Documentation</w:t>
            </w:r>
          </w:p>
          <w:p w14:paraId="56151A52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>Swagger spec from existing routes. Hosted at /</w:t>
            </w:r>
            <w:proofErr w:type="spellStart"/>
            <w:r>
              <w:rPr>
                <w:color w:val="C8D4E8"/>
                <w:sz w:val="15"/>
                <w:szCs w:val="15"/>
              </w:rPr>
              <w:t>api</w:t>
            </w:r>
            <w:proofErr w:type="spellEnd"/>
            <w:r>
              <w:rPr>
                <w:color w:val="C8D4E8"/>
                <w:sz w:val="15"/>
                <w:szCs w:val="15"/>
              </w:rPr>
              <w:t>/docs. Answers security questionnaires.</w:t>
            </w:r>
          </w:p>
          <w:p w14:paraId="56151A53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Recovery Runbook</w:t>
            </w:r>
          </w:p>
          <w:p w14:paraId="56151A54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>Document PITR recovery procedure. Define and publish RPO/RTO to enterprise buyers.</w:t>
            </w:r>
          </w:p>
          <w:p w14:paraId="56151A55" w14:textId="77777777" w:rsidR="00061736" w:rsidRDefault="00000000">
            <w:pPr>
              <w:spacing w:after="10"/>
            </w:pPr>
            <w:r>
              <w:rPr>
                <w:b/>
                <w:bCs/>
                <w:color w:val="C9A84C"/>
                <w:sz w:val="15"/>
                <w:szCs w:val="15"/>
              </w:rPr>
              <w:t>→ Auth Migration Plan</w:t>
            </w:r>
          </w:p>
          <w:p w14:paraId="56151A56" w14:textId="77777777" w:rsidR="00061736" w:rsidRDefault="00000000">
            <w:pPr>
              <w:spacing w:after="40"/>
            </w:pPr>
            <w:r>
              <w:rPr>
                <w:color w:val="C8D4E8"/>
                <w:sz w:val="15"/>
                <w:szCs w:val="15"/>
              </w:rPr>
              <w:t xml:space="preserve">Document </w:t>
            </w:r>
            <w:proofErr w:type="spellStart"/>
            <w:r>
              <w:rPr>
                <w:color w:val="C8D4E8"/>
                <w:sz w:val="15"/>
                <w:szCs w:val="15"/>
              </w:rPr>
              <w:t>Replit</w:t>
            </w:r>
            <w:proofErr w:type="spellEnd"/>
            <w:r>
              <w:rPr>
                <w:color w:val="C8D4E8"/>
                <w:sz w:val="15"/>
                <w:szCs w:val="15"/>
              </w:rPr>
              <w:t xml:space="preserve"> OIDC dependencies. Define portable path when dependency becomes a risk.</w:t>
            </w:r>
          </w:p>
        </w:tc>
      </w:tr>
    </w:tbl>
    <w:p w14:paraId="56151A58" w14:textId="77777777" w:rsidR="00061736" w:rsidRDefault="00061736"/>
    <w:tbl>
      <w:tblPr>
        <w:tblW w:w="11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5120"/>
      </w:tblGrid>
      <w:tr w:rsidR="00061736" w14:paraId="56151A5D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1" w:space="1" w:color="0A0F2E"/>
              <w:left w:val="single" w:sz="1" w:space="1" w:color="0A0F2E"/>
              <w:bottom w:val="single" w:sz="1" w:space="1" w:color="0A0F2E"/>
              <w:right w:val="single" w:sz="1" w:space="1" w:color="0A0F2E"/>
            </w:tcBorders>
            <w:shd w:val="clear" w:color="auto" w:fill="0A0F2E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56151A59" w14:textId="77777777" w:rsidR="00061736" w:rsidRDefault="00000000">
            <w:pPr>
              <w:spacing w:after="10"/>
            </w:pPr>
            <w:r>
              <w:rPr>
                <w:rFonts w:ascii="Cormorant Garamond" w:eastAsia="Cormorant Garamond" w:hAnsi="Cormorant Garamond" w:cs="Cormorant Garamond"/>
                <w:i/>
                <w:iCs/>
                <w:color w:val="C8D4E8"/>
              </w:rPr>
              <w:t>The gaps are known. The plan is sequenced. None require rebuilding — only hardening.</w:t>
            </w:r>
          </w:p>
          <w:p w14:paraId="56151A5A" w14:textId="77777777" w:rsidR="00061736" w:rsidRDefault="00000000">
            <w:r>
              <w:rPr>
                <w:color w:val="C8D4E8"/>
                <w:sz w:val="17"/>
                <w:szCs w:val="17"/>
              </w:rPr>
              <w:t xml:space="preserve">Phase 1 completes before customer two is </w:t>
            </w:r>
            <w:proofErr w:type="gramStart"/>
            <w:r>
              <w:rPr>
                <w:color w:val="C8D4E8"/>
                <w:sz w:val="17"/>
                <w:szCs w:val="17"/>
              </w:rPr>
              <w:t>onboarded</w:t>
            </w:r>
            <w:proofErr w:type="gramEnd"/>
            <w:r>
              <w:rPr>
                <w:color w:val="C8D4E8"/>
                <w:sz w:val="17"/>
                <w:szCs w:val="17"/>
              </w:rPr>
              <w:t>. Phase 2 before procurement reviews begin. Phase 3 before parallel pilots run.</w:t>
            </w:r>
          </w:p>
        </w:tc>
        <w:tc>
          <w:tcPr>
            <w:tcW w:w="5120" w:type="dxa"/>
            <w:tcBorders>
              <w:top w:val="single" w:sz="1" w:space="1" w:color="141B45"/>
              <w:left w:val="single" w:sz="1" w:space="1" w:color="141B45"/>
              <w:bottom w:val="single" w:sz="1" w:space="1" w:color="141B45"/>
              <w:right w:val="single" w:sz="1" w:space="1" w:color="141B45"/>
            </w:tcBorders>
            <w:shd w:val="clear" w:color="auto" w:fill="141B45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6151A5B" w14:textId="77777777" w:rsidR="00061736" w:rsidRDefault="00000000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56151A68" wp14:editId="56151A69">
                  <wp:extent cx="457200" cy="457200"/>
                  <wp:effectExtent l="0" t="0" r="0" b="0"/>
                  <wp:docPr id="39559203" name="Picture 39559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51A5C" w14:textId="77777777" w:rsidR="00061736" w:rsidRDefault="00000000">
            <w:pPr>
              <w:jc w:val="center"/>
            </w:pPr>
            <w:r>
              <w:rPr>
                <w:rFonts w:ascii="Barlow Condensed" w:eastAsia="Barlow Condensed" w:hAnsi="Barlow Condensed" w:cs="Barlow Condensed"/>
                <w:b/>
                <w:bCs/>
                <w:color w:val="C9A84C"/>
                <w:sz w:val="14"/>
                <w:szCs w:val="14"/>
              </w:rPr>
              <w:t>vaughnmartin.com</w:t>
            </w:r>
          </w:p>
        </w:tc>
      </w:tr>
    </w:tbl>
    <w:p w14:paraId="56151A5E" w14:textId="77777777" w:rsidR="005C15F0" w:rsidRDefault="005C15F0"/>
    <w:sectPr w:rsidR="005C15F0">
      <w:headerReference w:type="default" r:id="rId9"/>
      <w:footerReference w:type="default" r:id="rId10"/>
      <w:pgSz w:w="12240" w:h="15840"/>
      <w:pgMar w:top="640" w:right="720" w:bottom="6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0122" w14:textId="77777777" w:rsidR="005C15F0" w:rsidRDefault="005C15F0">
      <w:r>
        <w:separator/>
      </w:r>
    </w:p>
  </w:endnote>
  <w:endnote w:type="continuationSeparator" w:id="0">
    <w:p w14:paraId="1B12A69E" w14:textId="77777777" w:rsidR="005C15F0" w:rsidRDefault="005C1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1A6F" w14:textId="77777777" w:rsidR="00061736" w:rsidRDefault="00000000">
    <w:r>
      <w:rPr>
        <w:color w:val="6B7280"/>
        <w:sz w:val="14"/>
        <w:szCs w:val="14"/>
      </w:rPr>
      <w:t xml:space="preserve">Confidential  ·  Not for distribution  ·  </w:t>
    </w:r>
    <w:r>
      <w:rPr>
        <w:b/>
        <w:bCs/>
        <w:color w:val="C9A84C"/>
        <w:sz w:val="14"/>
        <w:szCs w:val="14"/>
      </w:rPr>
      <w:t>vaughnmartin.com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C9162" w14:textId="77777777" w:rsidR="005C15F0" w:rsidRDefault="005C15F0">
      <w:r>
        <w:separator/>
      </w:r>
    </w:p>
  </w:footnote>
  <w:footnote w:type="continuationSeparator" w:id="0">
    <w:p w14:paraId="0D33D4D7" w14:textId="77777777" w:rsidR="005C15F0" w:rsidRDefault="005C1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200"/>
      <w:gridCol w:w="4320"/>
    </w:tblGrid>
    <w:tr w:rsidR="00061736" w14:paraId="56151A6D" w14:textId="77777777">
      <w:tblPrEx>
        <w:tblCellMar>
          <w:top w:w="0" w:type="dxa"/>
          <w:bottom w:w="0" w:type="dxa"/>
        </w:tblCellMar>
      </w:tblPrEx>
      <w:tc>
        <w:tcPr>
          <w:tcW w:w="5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60" w:type="dxa"/>
            <w:right w:w="0" w:type="dxa"/>
          </w:tcMar>
        </w:tcPr>
        <w:p w14:paraId="56151A6A" w14:textId="77777777" w:rsidR="00061736" w:rsidRDefault="00000000">
          <w:pPr>
            <w:spacing w:after="4"/>
          </w:pPr>
          <w:r>
            <w:rPr>
              <w:noProof/>
            </w:rPr>
            <w:drawing>
              <wp:inline distT="0" distB="0" distL="0" distR="0" wp14:anchorId="56151A70" wp14:editId="56151A71">
                <wp:extent cx="266700" cy="266700"/>
                <wp:effectExtent l="0" t="0" r="0" b="0"/>
                <wp:docPr id="1991290241" name="Picture 1991290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ormorant Garamond" w:eastAsia="Cormorant Garamond" w:hAnsi="Cormorant Garamond" w:cs="Cormorant Garamond"/>
              <w:b/>
              <w:bCs/>
              <w:color w:val="0A0F2E"/>
              <w:sz w:val="20"/>
              <w:szCs w:val="20"/>
            </w:rPr>
            <w:t xml:space="preserve">  VaughnMartin</w:t>
          </w:r>
        </w:p>
        <w:p w14:paraId="56151A6B" w14:textId="77777777" w:rsidR="00061736" w:rsidRDefault="00000000">
          <w:r>
            <w:rPr>
              <w:rFonts w:ascii="Barlow Condensed" w:eastAsia="Barlow Condensed" w:hAnsi="Barlow Condensed" w:cs="Barlow Condensed"/>
              <w:color w:val="C9A84C"/>
              <w:sz w:val="14"/>
              <w:szCs w:val="14"/>
            </w:rPr>
            <w:t>Execution OS  ·  Technology &amp; Infrastructure</w:t>
          </w:r>
        </w:p>
      </w:tc>
      <w:tc>
        <w:tcPr>
          <w:tcW w:w="43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60" w:type="dxa"/>
            <w:left w:w="160" w:type="dxa"/>
            <w:bottom w:w="60" w:type="dxa"/>
            <w:right w:w="0" w:type="dxa"/>
          </w:tcMar>
          <w:vAlign w:val="center"/>
        </w:tcPr>
        <w:p w14:paraId="56151A6C" w14:textId="77777777" w:rsidR="00061736" w:rsidRDefault="00000000">
          <w:pPr>
            <w:jc w:val="right"/>
          </w:pPr>
          <w:r>
            <w:rPr>
              <w:rFonts w:ascii="Barlow Condensed" w:eastAsia="Barlow Condensed" w:hAnsi="Barlow Condensed" w:cs="Barlow Condensed"/>
              <w:b/>
              <w:bCs/>
              <w:color w:val="C9A84C"/>
              <w:sz w:val="15"/>
              <w:szCs w:val="15"/>
            </w:rPr>
            <w:t>vaughnmartin.com</w:t>
          </w:r>
        </w:p>
      </w:tc>
    </w:tr>
  </w:tbl>
  <w:p w14:paraId="56151A6E" w14:textId="77777777" w:rsidR="00061736" w:rsidRDefault="00061736">
    <w:pPr>
      <w:pBdr>
        <w:bottom w:val="single" w:sz="4" w:space="1" w:color="C9A84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2C3"/>
    <w:multiLevelType w:val="hybridMultilevel"/>
    <w:tmpl w:val="4B0A4DD2"/>
    <w:lvl w:ilvl="0" w:tplc="D97AC8EC">
      <w:start w:val="1"/>
      <w:numFmt w:val="bullet"/>
      <w:lvlText w:val="●"/>
      <w:lvlJc w:val="left"/>
      <w:pPr>
        <w:ind w:left="720" w:hanging="360"/>
      </w:pPr>
    </w:lvl>
    <w:lvl w:ilvl="1" w:tplc="C136AF3C">
      <w:start w:val="1"/>
      <w:numFmt w:val="bullet"/>
      <w:lvlText w:val="○"/>
      <w:lvlJc w:val="left"/>
      <w:pPr>
        <w:ind w:left="1440" w:hanging="360"/>
      </w:pPr>
    </w:lvl>
    <w:lvl w:ilvl="2" w:tplc="43E6607A">
      <w:start w:val="1"/>
      <w:numFmt w:val="bullet"/>
      <w:lvlText w:val="■"/>
      <w:lvlJc w:val="left"/>
      <w:pPr>
        <w:ind w:left="2160" w:hanging="360"/>
      </w:pPr>
    </w:lvl>
    <w:lvl w:ilvl="3" w:tplc="B4826FB8">
      <w:start w:val="1"/>
      <w:numFmt w:val="bullet"/>
      <w:lvlText w:val="●"/>
      <w:lvlJc w:val="left"/>
      <w:pPr>
        <w:ind w:left="2880" w:hanging="360"/>
      </w:pPr>
    </w:lvl>
    <w:lvl w:ilvl="4" w:tplc="6F56AD40">
      <w:start w:val="1"/>
      <w:numFmt w:val="bullet"/>
      <w:lvlText w:val="○"/>
      <w:lvlJc w:val="left"/>
      <w:pPr>
        <w:ind w:left="3600" w:hanging="360"/>
      </w:pPr>
    </w:lvl>
    <w:lvl w:ilvl="5" w:tplc="E9C245FC">
      <w:start w:val="1"/>
      <w:numFmt w:val="bullet"/>
      <w:lvlText w:val="■"/>
      <w:lvlJc w:val="left"/>
      <w:pPr>
        <w:ind w:left="4320" w:hanging="360"/>
      </w:pPr>
    </w:lvl>
    <w:lvl w:ilvl="6" w:tplc="2FF8AF6E">
      <w:start w:val="1"/>
      <w:numFmt w:val="bullet"/>
      <w:lvlText w:val="●"/>
      <w:lvlJc w:val="left"/>
      <w:pPr>
        <w:ind w:left="5040" w:hanging="360"/>
      </w:pPr>
    </w:lvl>
    <w:lvl w:ilvl="7" w:tplc="C5CCC5FC">
      <w:start w:val="1"/>
      <w:numFmt w:val="bullet"/>
      <w:lvlText w:val="●"/>
      <w:lvlJc w:val="left"/>
      <w:pPr>
        <w:ind w:left="5760" w:hanging="360"/>
      </w:pPr>
    </w:lvl>
    <w:lvl w:ilvl="8" w:tplc="FB082BD4">
      <w:start w:val="1"/>
      <w:numFmt w:val="bullet"/>
      <w:lvlText w:val="●"/>
      <w:lvlJc w:val="left"/>
      <w:pPr>
        <w:ind w:left="6480" w:hanging="360"/>
      </w:pPr>
    </w:lvl>
  </w:abstractNum>
  <w:num w:numId="1" w16cid:durableId="1992709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736"/>
    <w:rsid w:val="00061736"/>
    <w:rsid w:val="00076E35"/>
    <w:rsid w:val="005C15F0"/>
    <w:rsid w:val="00D5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1995"/>
  <w15:docId w15:val="{AE562142-12B6-41E3-A7DB-7A6EDA0E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3E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Marty Brunke (CDI)</cp:lastModifiedBy>
  <cp:revision>2</cp:revision>
  <dcterms:created xsi:type="dcterms:W3CDTF">2026-03-06T19:08:00Z</dcterms:created>
  <dcterms:modified xsi:type="dcterms:W3CDTF">2026-03-06T20:20:00Z</dcterms:modified>
</cp:coreProperties>
</file>