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MARTIN BRUNKE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 w:val="false"/>
          <w:bCs w:val="false"/>
          <w:color w:val="B8922C"/>
          <w:sz w:val="22"/>
          <w:szCs w:val="22"/>
        </w:rPr>
        <w:t xml:space="preserve">CIO  ·  VP, Technology Strategy &amp; Delivery  ·  Enterprise Platform Leadership  ·  Digital Transformation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(513) 288-6600</w:t>
      </w:r>
      <w:r>
        <w:rPr>
          <w:rFonts w:ascii="Calibri" w:cs="Calibri" w:eastAsia="Calibri" w:hAnsi="Calibri"/>
          <w:color w:val="76767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martinbrunke@yahoo.com</w:t>
      </w:r>
      <w:r>
        <w:rPr>
          <w:rFonts w:ascii="Calibri" w:cs="Calibri" w:eastAsia="Calibri" w:hAnsi="Calibri"/>
          <w:color w:val="767676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linkedin.com/in/martin-brunke</w:t>
      </w:r>
    </w:p>
    <w:p>
      <w:pPr>
        <w:spacing w:before="120" w:after="0"/>
      </w:pPr>
    </w:p>
    <w:p>
      <w:pPr>
        <w:pBdr>
          <w:bottom w:val="single" w:color="C9A84C" w:sz="8" w:space="0"/>
        </w:pBdr>
        <w:spacing w:before="0" w:after="0"/>
      </w:pPr>
    </w:p>
    <w:p>
      <w:pPr>
        <w:spacing w:before="140" w:after="0"/>
      </w:pPr>
    </w:p>
    <w:p>
      <w:pPr>
        <w:pBdr>
          <w:bottom w:val="single" w:color="C9A84C" w:sz="6" w:space="3"/>
        </w:pBdr>
        <w:spacing w:before="180" w:after="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EXECUTIVE PROFILE</w:t>
      </w:r>
    </w:p>
    <w:p>
      <w:pPr>
        <w:spacing w:before="60" w:after="0"/>
      </w:pPr>
    </w:p>
    <w:p>
      <w:pPr>
        <w:spacing w:before="0"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Technology executive with 20+ years translating enterprise strategy into technology capability — owning platform decisions, delivery governance, and multi-year technology roadmaps across gaming, financial services, automotive, energy, and hospitality. A trusted C-suite partner who has shaped technology vision alongside CTOs and CIOs while personally owning the delivery infrastructure that makes that vision executable.</w:t>
      </w:r>
    </w:p>
    <w:p>
      <w:pPr>
        <w:spacing w:before="0"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enterprise platform selection and implementation across SAP ERP, Salesforce CRM, and Adobe Experience Manager. Stewarded $250M+ technology portfolios. Directed technology governance during a $16.5B acquisition, mitigating $35M in risk exposure. Drove 38% to 90% compliance maturity in under 90 days. Built and launched gaming's first online sports betting platform from the ground up. Achieved 98%+ pre-launch readiness and $850K+ average daily coin-in across 5 major property launches.</w:t>
      </w:r>
    </w:p>
    <w:p>
      <w:pPr>
        <w:spacing w:before="0"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Applies a systems-thinking methodology — informed by Fortune 500 technology leadership and elite collegiate sports coaching at Stanford — that ensures technology investments deliver measurable business outcomes, not just delivery milestones.</w:t>
      </w:r>
    </w:p>
    <w:p>
      <w:pPr>
        <w:spacing w:before="140" w:after="0"/>
      </w:pPr>
    </w:p>
    <w:p>
      <w:pPr>
        <w:pBdr>
          <w:bottom w:val="single" w:color="C9A84C" w:sz="6" w:space="3"/>
        </w:pBdr>
        <w:spacing w:before="180" w:after="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Churchill Downs Incorporated (CDI)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Louisville, KY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2024 – Present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B8922C"/>
          <w:sz w:val="20"/>
          <w:szCs w:val="20"/>
        </w:rPr>
        <w:t xml:space="preserve">Director, Technology Strategy &amp; Enterprise PMO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Enterprise Platform Strategy &amp; M&amp;A Technology Governance: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enterprise platform selection and implementation of SAP ERP and Salesforce CRM across a multi-property portfolio, ensuring technology investments aligned to long-range business strategy. Served as technology governance lead for a New England casino acquisition — overseeing systems integration, cross-property standards enforcement, and technology wind-down in preparation for an 18-month brownfield redevelopment and relaunch.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Technology-Enabled Revenue Execution &amp; Multi-Property Readiness: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Owned the technology readiness strategy for 5 casino launches, achieving 98%+ pre-launch operational readiness and driving $850K+ average daily coin-in across new properties. Built vendor ecosystem governance frameworks and standardized technology operating models across properties — improving cross-functional efficiency by 25% and compressing successive launch timelines by 2–3 weeks through systematic capability maturation.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Independent Technology &amp; Delivery Advisor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Selective Engagements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 Governance Recovery &amp; Delivery Infrastructure: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Engaged by TECO Energy (Utility/Energy) to rebuild a failing technology governance operation managing $150M in budget. Redesigned delivery processes, data infrastructure, and accountability frameworks — driving compliance and reporting reliability from 38% to 90% in under 90 days. Demonstrated ability to rapidly assess, diagnose, and restore technology delivery health at enterprise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 Foundation for High-Growth Venture: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the technology delivery infrastructure and governance model at Q5id from inception — establishing build vs. buy decision frameworks, delivery standards, and board-level technology visibility that enabled rapid funding validation and investor confidence.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Beyondsoft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Bellevue, WA  (Primary Client: Toyota North America)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2020 – 2023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B8922C"/>
          <w:sz w:val="20"/>
          <w:szCs w:val="20"/>
        </w:rPr>
        <w:t xml:space="preserve">Director, Client &amp; Services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$250M Technology Portfolio Ownership &amp; Platform Strategy: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the full technology delivery portfolio for Toyota North America — owning platform decisions, vendor ecosystem strategy, and multi-year technology roadmap execution across a scaled Agile (SAFe) organization. Drove a 30% increase in delivery velocity and a 200% improvement in content deployment throughput through strategic migration to Adobe Experience Manager (AEM).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Vendor Ecosystem Strategy &amp; Commercial Optimization: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managed a multi-vendor technology ecosystem — establishing performance governance, renegotiating commercial terms, and rationalizing the partner portfolio to eliminate redundancy. Delivered 17% YoY cost reductions while improving delivery quality and long-term technology capability.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LeadingAgile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Atlanta, GA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2019 – 2020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B8922C"/>
          <w:sz w:val="20"/>
          <w:szCs w:val="20"/>
        </w:rPr>
        <w:t xml:space="preserve">Managing Consultant, Enterprise Transformations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 Strategy Advisory &amp; Multi-Year Roadmap Design: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Partnered with CIOs and CTOs at Ford Motor Company and Lockheed Martin to co-design technology strategies and 1-year and 3–5-year roadmaps that aligned technology investment to business outcomes. Brought an outside-in perspective that challenged legacy technology decisions, accelerated operating model evolution, and ensured long-range technology plans were grounded in delivery reality.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Enterprise Technology Scaling &amp; Delivery Capability Build: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delivery infrastructure and operating model to scale technology programs across 1,000+ team members — establishing consistent technology standards, communication frameworks, and performance accountability enabling large, distributed technology organizations to execute with speed, quality, and enterprise coherence.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Boyd Gaming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Las Vegas, NV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2015 – 2019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B8922C"/>
          <w:sz w:val="20"/>
          <w:szCs w:val="20"/>
        </w:rPr>
        <w:t xml:space="preserve">Head of Agile &amp; DevOps Transformation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 Operating Model Transformation: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Led Boyd Gaming's full technology operating model evolution — retiring a legacy Waterfall delivery model and architecting a modern Hybrid/Agile technology organization capable of competing in a rapidly digitalizing gaming market. Redesigned delivery infrastructure, team structures, and technology governance to enable a product-driven operating model that could move at market speed.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Digital Platform Build &amp; Revenue Innovation: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the technology strategy, build vs. buy decisions, and end-to-end delivery of Boyd Gaming's first online sports betting platform. Launched on an accelerated timeline, reducing delivery cycles by 25% and improving feature time-to-market by 30%.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Vantiv (acquired by Worldpay)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Cincinnati, OH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2013 – 2015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B8922C"/>
          <w:sz w:val="20"/>
          <w:szCs w:val="20"/>
        </w:rPr>
        <w:t xml:space="preserve">Director of PMO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M&amp;A Technology Governance &amp; Risk Mitigation: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Served as Technology Financial Steward and directed the PMO during Vantiv's $16.5B acquisition by Worldpay — scaling the function to an EPMO critical to mitigating $35M in risk exposure during post-M&amp;A IT integration and capital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Technology Cost Governance &amp; Platform Rationalization: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Directed a comprehensive technology portfolio rationalization — executing tool consolidation, vendor restructuring, and delivery standardization that achieved 15% capacity cost reduction while strengthening post-M&amp;A technology coherence.</w:t>
      </w:r>
    </w:p>
    <w:p>
      <w:pPr>
        <w:tabs>
          <w:tab w:val="right" w:pos="10224"/>
        </w:tabs>
        <w:spacing w:before="180" w:after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Sapiens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Cincinnati, OH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20"/>
          <w:szCs w:val="20"/>
        </w:rPr>
        <w:t xml:space="preserve">2010 – 2013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B8922C"/>
          <w:sz w:val="20"/>
          <w:szCs w:val="20"/>
        </w:rPr>
        <w:t xml:space="preserve">Director, North America Project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Global Technology Infrastructure Build: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the North American technology delivery operation at Sapiens from the ground up — defining technology standards, delivery architecture, and governance aligned with global headquarters in Israel. Created the technology foundation enabling scalable, consistent, and commercially viable delivery across a complex international engagement model.</w:t>
      </w:r>
    </w:p>
    <w:p>
      <w:pPr>
        <w:spacing w:before="0" w:after="0"/>
      </w:pPr>
    </w:p>
    <w:p>
      <w:pPr>
        <w:spacing w:before="80" w:after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Earlier Career: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Charles Schwab  ·  Koch Industries  ·  Fifth Third Bank  ·  Stanford University — technology leadership, systems delivery, and transformation across financial services, energy, and higher education.</w:t>
      </w:r>
    </w:p>
    <w:p>
      <w:pPr>
        <w:spacing w:before="140" w:after="0"/>
      </w:pPr>
    </w:p>
    <w:p>
      <w:pPr>
        <w:pBdr>
          <w:bottom w:val="single" w:color="C9A84C" w:sz="6" w:space="3"/>
        </w:pBdr>
        <w:spacing w:before="180" w:after="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CORE COMPETENCIES</w:t>
      </w:r>
    </w:p>
    <w:p>
      <w:pPr>
        <w:spacing w:before="80" w:after="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Technology Strategy &amp; Roadmapping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Enterprise Platform Selection &amp; Implementation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Digital Transformation</w:t>
            </w:r>
          </w:p>
        </w:tc>
      </w:tr>
      <w:tr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Agile / SAFe Delivery at Scale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Build vs. Buy Decision Frameworks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M&amp;A Technology Governance</w:t>
            </w:r>
          </w:p>
        </w:tc>
      </w:tr>
      <w:tr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Vendor Ecosystem Management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Portfolio Governance &amp; Risk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DevOps &amp; Operating Model Design</w:t>
            </w:r>
          </w:p>
        </w:tc>
      </w:tr>
      <w:tr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C-Suite Technology Partnership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KPI Frameworks &amp; Performance Analytics</w:t>
            </w:r>
          </w:p>
        </w:tc>
        <w:tc>
          <w:tcPr>
            <w:tcW w:type="dxa" w:w="3408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◆  Speed-to-Market Acceleration</w:t>
            </w:r>
          </w:p>
        </w:tc>
      </w:tr>
    </w:tbl>
    <w:p>
      <w:pPr>
        <w:spacing w:before="140" w:after="0"/>
      </w:pPr>
    </w:p>
    <w:p>
      <w:pPr>
        <w:pBdr>
          <w:bottom w:val="single" w:color="C9A84C" w:sz="6" w:space="3"/>
        </w:pBdr>
        <w:spacing w:before="180" w:after="60"/>
      </w:pPr>
      <w:r>
        <w:rPr>
          <w:rFonts w:ascii="Calibri" w:cs="Calibri" w:eastAsia="Calibri" w:hAnsi="Calibri"/>
          <w:b/>
          <w:bCs/>
          <w:color w:val="1B2A4A"/>
          <w:spacing w:val="40"/>
          <w:sz w:val="22"/>
          <w:szCs w:val="22"/>
        </w:rPr>
        <w:t xml:space="preserve">EDUCATION | CERTIFICATIONS | ADVISORY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B.S. International Business Management, Summa Cum Laude — Menlo College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Certified Scrum Alliance / Agile Coaching Skills Certified Facilitator (ACSCF)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Advisory Board Member, IceBox Consulting, Las Vegas (2017–2023)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EQi Total 129 — High Emotional Intelligence, Top 15% nationally; recognized for building high-trust technology leadership teams and navigating the organizational complexity that defines large-scale technology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Football Coaching Staff, Stanford University — Elite coordination and performance frameworks applied to enterprise technology leadership</w:t>
      </w:r>
    </w:p>
    <w:p>
      <w:pPr>
        <w:spacing w:before="120" w:after="0"/>
      </w:pP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rFonts w:ascii="Calibri" w:cs="Calibri" w:eastAsia="Calibri" w:hAnsi="Calibri"/>
        <w:color w:val="B8922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2026-03-16T16:02:43.478Z</dcterms:created>
  <dcterms:modified xsi:type="dcterms:W3CDTF">2026-03-16T16:02:43.478Z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