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Calibri" w:cs="Calibri" w:eastAsia="Calibri" w:hAnsi="Calibri"/>
          <w:b/>
          <w:bCs/>
          <w:color w:val="1B2A4A"/>
          <w:sz w:val="52"/>
          <w:szCs w:val="52"/>
        </w:rPr>
        <w:t xml:space="preserve">MARTIN BRUNKE</w:t>
      </w:r>
    </w:p>
    <w:p>
      <w:pPr>
        <w:spacing w:before="0" w:after="80"/>
        <w:jc w:val="center"/>
      </w:pPr>
      <w:r>
        <w:rPr>
          <w:rFonts w:ascii="Calibri" w:cs="Calibri" w:eastAsia="Calibri" w:hAnsi="Calibri"/>
          <w:b w:val="false"/>
          <w:bCs w:val="false"/>
          <w:color w:val="B8922C"/>
          <w:sz w:val="22"/>
          <w:szCs w:val="22"/>
        </w:rPr>
        <w:t xml:space="preserve">VP / SVP, Enterprise Transformation &amp; Strategic Operations  ·  Operating Model Design  ·  Multi-Site Execution</w:t>
      </w:r>
    </w:p>
    <w:p>
      <w:pPr>
        <w:spacing w:before="0" w:after="0"/>
        <w:jc w:val="center"/>
      </w:pPr>
      <w:r>
        <w:rPr>
          <w:rFonts w:ascii="Calibri" w:cs="Calibri" w:eastAsia="Calibri" w:hAnsi="Calibri"/>
          <w:color w:val="444444"/>
          <w:sz w:val="19"/>
          <w:szCs w:val="19"/>
        </w:rPr>
        <w:t xml:space="preserve">(513) 288-6600</w:t>
      </w:r>
      <w:r>
        <w:rPr>
          <w:rFonts w:ascii="Calibri" w:cs="Calibri" w:eastAsia="Calibri" w:hAnsi="Calibri"/>
          <w:color w:val="767676"/>
          <w:sz w:val="19"/>
          <w:szCs w:val="19"/>
        </w:rPr>
        <w:t xml:space="preserve">   |   </w:t>
      </w:r>
      <w:r>
        <w:rPr>
          <w:rFonts w:ascii="Calibri" w:cs="Calibri" w:eastAsia="Calibri" w:hAnsi="Calibri"/>
          <w:color w:val="444444"/>
          <w:sz w:val="19"/>
          <w:szCs w:val="19"/>
        </w:rPr>
        <w:t xml:space="preserve">martinbrunke@yahoo.com</w:t>
      </w:r>
      <w:r>
        <w:rPr>
          <w:rFonts w:ascii="Calibri" w:cs="Calibri" w:eastAsia="Calibri" w:hAnsi="Calibri"/>
          <w:color w:val="767676"/>
          <w:sz w:val="19"/>
          <w:szCs w:val="19"/>
        </w:rPr>
        <w:t xml:space="preserve">   |   </w:t>
      </w:r>
      <w:r>
        <w:rPr>
          <w:rFonts w:ascii="Calibri" w:cs="Calibri" w:eastAsia="Calibri" w:hAnsi="Calibri"/>
          <w:color w:val="444444"/>
          <w:sz w:val="19"/>
          <w:szCs w:val="19"/>
        </w:rPr>
        <w:t xml:space="preserve">linkedin.com/in/martin-brunke</w:t>
      </w:r>
    </w:p>
    <w:p>
      <w:pPr>
        <w:spacing w:before="120" w:after="0"/>
      </w:pPr>
    </w:p>
    <w:p>
      <w:pPr>
        <w:pBdr>
          <w:bottom w:val="single" w:color="C9A84C" w:sz="8" w:space="0"/>
        </w:pBdr>
        <w:spacing w:before="0" w:after="0"/>
      </w:pPr>
    </w:p>
    <w:p>
      <w:pPr>
        <w:spacing w:before="140" w:after="0"/>
      </w:pPr>
    </w:p>
    <w:p>
      <w:pPr>
        <w:pBdr>
          <w:bottom w:val="single" w:color="C9A84C" w:sz="6" w:space="3"/>
        </w:pBdr>
        <w:spacing w:before="180" w:after="60"/>
      </w:pPr>
      <w:r>
        <w:rPr>
          <w:rFonts w:ascii="Calibri" w:cs="Calibri" w:eastAsia="Calibri" w:hAnsi="Calibri"/>
          <w:b/>
          <w:bCs/>
          <w:color w:val="1B2A4A"/>
          <w:spacing w:val="40"/>
          <w:sz w:val="22"/>
          <w:szCs w:val="22"/>
        </w:rPr>
        <w:t xml:space="preserve">EXECUTIVE PROFILE</w:t>
      </w:r>
    </w:p>
    <w:p>
      <w:pPr>
        <w:spacing w:before="60" w:after="0"/>
      </w:pPr>
    </w:p>
    <w:p>
      <w:pPr>
        <w:spacing w:before="0" w:after="100"/>
      </w:pPr>
      <w:r>
        <w:rPr>
          <w:rFonts w:ascii="Calibri" w:cs="Calibri" w:eastAsia="Calibri" w:hAnsi="Calibri"/>
          <w:color w:val="1A1A1A"/>
          <w:sz w:val="20"/>
          <w:szCs w:val="20"/>
        </w:rPr>
        <w:t xml:space="preserve">Enterprise transformation and strategic operations executive with 20+ years redesigning how large organizations operate, deliver, and compete. A trusted C-suite partner for complex operating model shifts — from Waterfall to Agile, IT PMO to EPMO, acquisition to integrated enterprise. Has led transformations across gaming, financial services, automotive, energy, and hospitality, consistently delivering velocity, cost, and cultural change at scale.</w:t>
      </w:r>
    </w:p>
    <w:p>
      <w:pPr>
        <w:spacing w:before="0" w:after="100"/>
      </w:pPr>
      <w:r>
        <w:rPr>
          <w:rFonts w:ascii="Calibri" w:cs="Calibri" w:eastAsia="Calibri" w:hAnsi="Calibri"/>
          <w:color w:val="1A1A1A"/>
          <w:sz w:val="20"/>
          <w:szCs w:val="20"/>
        </w:rPr>
        <w:t xml:space="preserve">Scaled Agile delivery across 1,000+ team members. Directed PMO governance through a $16.5B acquisition, mitigating $35M in risk exposure. Drove 38% to 90% compliance maturity in under 90 days across a $150M portfolio. Led end-to-end operational execution for 5 casino launches achieving 98%+ pre-launch readiness and $850K+ average daily coin-in — with each successive launch 2–3 weeks ahead of schedule. Stewarded $250M+ portfolios with 30% velocity improvement and 17% YoY cost reduction.</w:t>
      </w:r>
    </w:p>
    <w:p>
      <w:pPr>
        <w:spacing w:before="0" w:after="100"/>
      </w:pPr>
      <w:r>
        <w:rPr>
          <w:rFonts w:ascii="Calibri" w:cs="Calibri" w:eastAsia="Calibri" w:hAnsi="Calibri"/>
          <w:color w:val="1A1A1A"/>
          <w:sz w:val="20"/>
          <w:szCs w:val="20"/>
        </w:rPr>
        <w:t xml:space="preserve">Applies a proprietary execution framework — shaped by Fortune 500 transformation leadership and elite collegiate football coaching at Stanford — that transforms organizational capability from the inside out. Football teams coordinate in 40 seconds what enterprises take 72 hours to accomplish. The mission is closing that gap.</w:t>
      </w:r>
    </w:p>
    <w:p>
      <w:pPr>
        <w:spacing w:before="140" w:after="0"/>
      </w:pPr>
    </w:p>
    <w:p>
      <w:pPr>
        <w:pBdr>
          <w:bottom w:val="single" w:color="C9A84C" w:sz="6" w:space="3"/>
        </w:pBdr>
        <w:spacing w:before="180" w:after="60"/>
      </w:pPr>
      <w:r>
        <w:rPr>
          <w:rFonts w:ascii="Calibri" w:cs="Calibri" w:eastAsia="Calibri" w:hAnsi="Calibri"/>
          <w:b/>
          <w:bCs/>
          <w:color w:val="1B2A4A"/>
          <w:spacing w:val="40"/>
          <w:sz w:val="22"/>
          <w:szCs w:val="22"/>
        </w:rPr>
        <w:t xml:space="preserve">PROFESSIONAL EXPERIENCE</w:t>
      </w:r>
    </w:p>
    <w:p>
      <w:pPr>
        <w:tabs>
          <w:tab w:val="right" w:pos="10224"/>
        </w:tabs>
        <w:spacing w:before="180" w:after="40"/>
      </w:pPr>
      <w:r>
        <w:rPr>
          <w:rFonts w:ascii="Calibri" w:cs="Calibri" w:eastAsia="Calibri" w:hAnsi="Calibri"/>
          <w:b/>
          <w:bCs/>
          <w:color w:val="1B2A4A"/>
          <w:sz w:val="22"/>
          <w:szCs w:val="22"/>
        </w:rPr>
        <w:t xml:space="preserve">Churchill Downs Incorporated (CDI)</w:t>
      </w:r>
      <w:r>
        <w:rPr>
          <w:rFonts w:ascii="Calibri" w:cs="Calibri" w:eastAsia="Calibri" w:hAnsi="Calibri"/>
          <w:color w:val="444444"/>
          <w:sz w:val="20"/>
          <w:szCs w:val="20"/>
        </w:rPr>
        <w:t xml:space="preserve">  |  Louisville, KY</w:t>
      </w:r>
      <w:r>
        <w:rPr>
          <w:sz w:val="20"/>
          <w:szCs w:val="20"/>
        </w:rPr>
        <w:t xml:space="preserve">	</w:t>
      </w:r>
      <w:r>
        <w:rPr>
          <w:rFonts w:ascii="Calibri" w:cs="Calibri" w:eastAsia="Calibri" w:hAnsi="Calibri"/>
          <w:i/>
          <w:iCs/>
          <w:color w:val="767676"/>
          <w:sz w:val="20"/>
          <w:szCs w:val="20"/>
        </w:rPr>
        <w:t xml:space="preserve">2024 – Present</w:t>
      </w:r>
    </w:p>
    <w:p>
      <w:pPr>
        <w:spacing w:before="0" w:after="80"/>
      </w:pPr>
      <w:r>
        <w:rPr>
          <w:rFonts w:ascii="Calibri" w:cs="Calibri" w:eastAsia="Calibri" w:hAnsi="Calibri"/>
          <w:b/>
          <w:bCs/>
          <w:color w:val="B8922C"/>
          <w:sz w:val="20"/>
          <w:szCs w:val="20"/>
        </w:rPr>
        <w:t xml:space="preserve">Director, Enterprise Transformation &amp; PMO</w:t>
      </w:r>
    </w:p>
    <w:p>
      <w:pPr>
        <w:pStyle w:val="ListParagraph"/>
        <w:numPr>
          <w:ilvl w:val="0"/>
          <w:numId w:val="2"/>
        </w:numPr>
        <w:spacing w:before="40" w:after="40"/>
      </w:pPr>
      <w:r>
        <w:rPr>
          <w:rFonts w:ascii="Calibri" w:cs="Calibri" w:eastAsia="Calibri" w:hAnsi="Calibri"/>
          <w:b/>
          <w:bCs/>
          <w:color w:val="1A1A1A"/>
          <w:sz w:val="20"/>
          <w:szCs w:val="20"/>
        </w:rPr>
        <w:t xml:space="preserve">Enterprise PMO Transformation &amp; M&amp;A Integration: </w:t>
      </w:r>
      <w:r>
        <w:rPr>
          <w:rFonts w:ascii="Calibri" w:cs="Calibri" w:eastAsia="Calibri" w:hAnsi="Calibri"/>
          <w:color w:val="1A1A1A"/>
          <w:sz w:val="20"/>
          <w:szCs w:val="20"/>
        </w:rPr>
        <w:t xml:space="preserve">Led the strategic evolution of a siloed IT PMO into a centralized Enterprise PMO (EPMO), fundamentally shifting how executive decisions are made, prioritized, and funded. Directed end-to-end transformation governance for a New England casino acquisition — integrating systems and standards, managing operational wind-down, and architecting the roadmap for an 18-month brownfield redevelopment from acquired asset to new enterprise property.</w:t>
      </w:r>
    </w:p>
    <w:p>
      <w:pPr>
        <w:pStyle w:val="ListParagraph"/>
        <w:numPr>
          <w:ilvl w:val="0"/>
          <w:numId w:val="2"/>
        </w:numPr>
        <w:spacing w:before="40" w:after="40"/>
      </w:pPr>
      <w:r>
        <w:rPr>
          <w:rFonts w:ascii="Calibri" w:cs="Calibri" w:eastAsia="Calibri" w:hAnsi="Calibri"/>
          <w:b/>
          <w:bCs/>
          <w:color w:val="1A1A1A"/>
          <w:sz w:val="20"/>
          <w:szCs w:val="20"/>
        </w:rPr>
        <w:t xml:space="preserve">Operating Model Standardization &amp; Revenue Execution: </w:t>
      </w:r>
      <w:r>
        <w:rPr>
          <w:rFonts w:ascii="Calibri" w:cs="Calibri" w:eastAsia="Calibri" w:hAnsi="Calibri"/>
          <w:color w:val="1A1A1A"/>
          <w:sz w:val="20"/>
          <w:szCs w:val="20"/>
        </w:rPr>
        <w:t xml:space="preserve">Redesigned operational frameworks across a multi-property portfolio, driving 25% improvement in cross-departmental process efficiency. Led go-to-market execution for 5 casino launches, achieving 98%+ pre-launch operational readiness and $850K+ average daily coin-in. Institutionalized continuous improvement cycles delivering each successive launch 2–3 weeks ahead of schedule.</w:t>
      </w:r>
    </w:p>
    <w:p>
      <w:pPr>
        <w:pStyle w:val="ListParagraph"/>
        <w:numPr>
          <w:ilvl w:val="0"/>
          <w:numId w:val="2"/>
        </w:numPr>
        <w:spacing w:before="40" w:after="40"/>
      </w:pPr>
      <w:r>
        <w:rPr>
          <w:rFonts w:ascii="Calibri" w:cs="Calibri" w:eastAsia="Calibri" w:hAnsi="Calibri"/>
          <w:b/>
          <w:bCs/>
          <w:color w:val="1A1A1A"/>
          <w:sz w:val="20"/>
          <w:szCs w:val="20"/>
        </w:rPr>
        <w:t xml:space="preserve">Enterprise Platform Implementation: </w:t>
      </w:r>
      <w:r>
        <w:rPr>
          <w:rFonts w:ascii="Calibri" w:cs="Calibri" w:eastAsia="Calibri" w:hAnsi="Calibri"/>
          <w:color w:val="1A1A1A"/>
          <w:sz w:val="20"/>
          <w:szCs w:val="20"/>
        </w:rPr>
        <w:t xml:space="preserve">Directed SAP ERP and Salesforce CRM implementation across properties — ensuring change management, system adoption, workflow standardization, and performance analytics alignment across all business units.</w:t>
      </w:r>
    </w:p>
    <w:p>
      <w:pPr>
        <w:tabs>
          <w:tab w:val="right" w:pos="10224"/>
        </w:tabs>
        <w:spacing w:before="180" w:after="40"/>
      </w:pPr>
      <w:r>
        <w:rPr>
          <w:rFonts w:ascii="Calibri" w:cs="Calibri" w:eastAsia="Calibri" w:hAnsi="Calibri"/>
          <w:b/>
          <w:bCs/>
          <w:color w:val="1B2A4A"/>
          <w:sz w:val="22"/>
          <w:szCs w:val="22"/>
        </w:rPr>
        <w:t xml:space="preserve">Independent Transformation &amp; Operations Advisor</w:t>
      </w:r>
      <w:r>
        <w:rPr>
          <w:rFonts w:ascii="Calibri" w:cs="Calibri" w:eastAsia="Calibri" w:hAnsi="Calibri"/>
          <w:color w:val="444444"/>
          <w:sz w:val="20"/>
          <w:szCs w:val="20"/>
        </w:rPr>
        <w:t xml:space="preserve">  |  Selective Engagements</w:t>
      </w:r>
      <w:r>
        <w:rPr>
          <w:sz w:val="20"/>
          <w:szCs w:val="20"/>
        </w:rPr>
        <w:t xml:space="preserve">	</w:t>
      </w:r>
      <w:r>
        <w:rPr>
          <w:rFonts w:ascii="Calibri" w:cs="Calibri" w:eastAsia="Calibri" w:hAnsi="Calibri"/>
          <w:i/>
          <w:iCs/>
          <w:color w:val="767676"/>
          <w:sz w:val="20"/>
          <w:szCs w:val="20"/>
        </w:rPr>
        <w:t xml:space="preserve">2023 – 2024</w:t>
      </w:r>
    </w:p>
    <w:p>
      <w:pPr>
        <w:pStyle w:val="ListParagraph"/>
        <w:numPr>
          <w:ilvl w:val="0"/>
          <w:numId w:val="2"/>
        </w:numPr>
        <w:spacing w:before="40" w:after="40"/>
      </w:pPr>
      <w:r>
        <w:rPr>
          <w:rFonts w:ascii="Calibri" w:cs="Calibri" w:eastAsia="Calibri" w:hAnsi="Calibri"/>
          <w:b/>
          <w:bCs/>
          <w:color w:val="1A1A1A"/>
          <w:sz w:val="20"/>
          <w:szCs w:val="20"/>
        </w:rPr>
        <w:t xml:space="preserve">Rapid Capability Transformation: </w:t>
      </w:r>
      <w:r>
        <w:rPr>
          <w:rFonts w:ascii="Calibri" w:cs="Calibri" w:eastAsia="Calibri" w:hAnsi="Calibri"/>
          <w:color w:val="1A1A1A"/>
          <w:sz w:val="20"/>
          <w:szCs w:val="20"/>
        </w:rPr>
        <w:t xml:space="preserve">Engaged by TECO Energy (Utility/Energy) to diagnose and transform a failing governance function managing $150M in budget. Rebuilt PMO processes, data infrastructure, and organizational accountability from the ground up — driving compliance from 38% to 90% in under 90 days. A repeatable change model applied from scratch to measurable results under direct executive mandate.</w:t>
      </w:r>
    </w:p>
    <w:p>
      <w:pPr>
        <w:pStyle w:val="ListParagraph"/>
        <w:numPr>
          <w:ilvl w:val="0"/>
          <w:numId w:val="2"/>
        </w:numPr>
        <w:spacing w:before="40" w:after="40"/>
      </w:pPr>
      <w:r>
        <w:rPr>
          <w:rFonts w:ascii="Calibri" w:cs="Calibri" w:eastAsia="Calibri" w:hAnsi="Calibri"/>
          <w:b/>
          <w:bCs/>
          <w:color w:val="1A1A1A"/>
          <w:sz w:val="20"/>
          <w:szCs w:val="20"/>
        </w:rPr>
        <w:t xml:space="preserve">Startup Operating Model Build: </w:t>
      </w:r>
      <w:r>
        <w:rPr>
          <w:rFonts w:ascii="Calibri" w:cs="Calibri" w:eastAsia="Calibri" w:hAnsi="Calibri"/>
          <w:color w:val="1A1A1A"/>
          <w:sz w:val="20"/>
          <w:szCs w:val="20"/>
        </w:rPr>
        <w:t xml:space="preserve">Built an enterprise Agile PMO and operational delivery model from inception at Q5id (high-growth startup), establishing scalable governance, delivery standards, and portfolio visibility that directly enabled investor funding validation and board credibility.</w:t>
      </w:r>
    </w:p>
    <w:p>
      <w:pPr>
        <w:tabs>
          <w:tab w:val="right" w:pos="10224"/>
        </w:tabs>
        <w:spacing w:before="180" w:after="40"/>
      </w:pPr>
      <w:r>
        <w:rPr>
          <w:rFonts w:ascii="Calibri" w:cs="Calibri" w:eastAsia="Calibri" w:hAnsi="Calibri"/>
          <w:b/>
          <w:bCs/>
          <w:color w:val="1B2A4A"/>
          <w:sz w:val="22"/>
          <w:szCs w:val="22"/>
        </w:rPr>
        <w:t xml:space="preserve">Beyondsoft</w:t>
      </w:r>
      <w:r>
        <w:rPr>
          <w:rFonts w:ascii="Calibri" w:cs="Calibri" w:eastAsia="Calibri" w:hAnsi="Calibri"/>
          <w:color w:val="444444"/>
          <w:sz w:val="20"/>
          <w:szCs w:val="20"/>
        </w:rPr>
        <w:t xml:space="preserve">  |  Bellevue, WA  (Primary Client: Toyota North America)</w:t>
      </w:r>
      <w:r>
        <w:rPr>
          <w:sz w:val="20"/>
          <w:szCs w:val="20"/>
        </w:rPr>
        <w:t xml:space="preserve">	</w:t>
      </w:r>
      <w:r>
        <w:rPr>
          <w:rFonts w:ascii="Calibri" w:cs="Calibri" w:eastAsia="Calibri" w:hAnsi="Calibri"/>
          <w:i/>
          <w:iCs/>
          <w:color w:val="767676"/>
          <w:sz w:val="20"/>
          <w:szCs w:val="20"/>
        </w:rPr>
        <w:t xml:space="preserve">2020 – 2023</w:t>
      </w:r>
    </w:p>
    <w:p>
      <w:pPr>
        <w:spacing w:before="0" w:after="80"/>
      </w:pPr>
      <w:r>
        <w:rPr>
          <w:rFonts w:ascii="Calibri" w:cs="Calibri" w:eastAsia="Calibri" w:hAnsi="Calibri"/>
          <w:b/>
          <w:bCs/>
          <w:color w:val="B8922C"/>
          <w:sz w:val="20"/>
          <w:szCs w:val="20"/>
        </w:rPr>
        <w:t xml:space="preserve">Director, Client &amp; Services Delivery</w:t>
      </w:r>
    </w:p>
    <w:p>
      <w:pPr>
        <w:pStyle w:val="ListParagraph"/>
        <w:numPr>
          <w:ilvl w:val="0"/>
          <w:numId w:val="2"/>
        </w:numPr>
        <w:spacing w:before="40" w:after="40"/>
      </w:pPr>
      <w:r>
        <w:rPr>
          <w:rFonts w:ascii="Calibri" w:cs="Calibri" w:eastAsia="Calibri" w:hAnsi="Calibri"/>
          <w:b/>
          <w:bCs/>
          <w:color w:val="1A1A1A"/>
          <w:sz w:val="20"/>
          <w:szCs w:val="20"/>
        </w:rPr>
        <w:t xml:space="preserve">Agile Operating Model Transformation: </w:t>
      </w:r>
      <w:r>
        <w:rPr>
          <w:rFonts w:ascii="Calibri" w:cs="Calibri" w:eastAsia="Calibri" w:hAnsi="Calibri"/>
          <w:color w:val="1A1A1A"/>
          <w:sz w:val="20"/>
          <w:szCs w:val="20"/>
        </w:rPr>
        <w:t xml:space="preserve">Drove the transformation of Toyota North America's digital delivery organization from a traditional model to enterprise-scaled Agile (SAFe) — redesigning team structures, delivery cadences, and portfolio accountability across a $250M program. Produced a 30% velocity increase and 200% improvement in content deployment throughput, fundamentally changing how the organization executed at scale.</w:t>
      </w:r>
    </w:p>
    <w:p>
      <w:pPr>
        <w:pStyle w:val="ListParagraph"/>
        <w:numPr>
          <w:ilvl w:val="0"/>
          <w:numId w:val="2"/>
        </w:numPr>
        <w:spacing w:before="40" w:after="40"/>
      </w:pPr>
      <w:r>
        <w:rPr>
          <w:rFonts w:ascii="Calibri" w:cs="Calibri" w:eastAsia="Calibri" w:hAnsi="Calibri"/>
          <w:b/>
          <w:bCs/>
          <w:color w:val="1A1A1A"/>
          <w:sz w:val="20"/>
          <w:szCs w:val="20"/>
        </w:rPr>
        <w:t xml:space="preserve">Strategic Relationship &amp; Commercial Transformation: </w:t>
      </w:r>
      <w:r>
        <w:rPr>
          <w:rFonts w:ascii="Calibri" w:cs="Calibri" w:eastAsia="Calibri" w:hAnsi="Calibri"/>
          <w:color w:val="1A1A1A"/>
          <w:sz w:val="20"/>
          <w:szCs w:val="20"/>
        </w:rPr>
        <w:t xml:space="preserve">Redesigned the vendor engagement model from transactional procurement to strategic partnership — restructuring commercial terms, performance accountability, and long-term alignment. Delivered 17% YoY cost reductions while significantly improving delivery quality and execution trust.</w:t>
      </w:r>
    </w:p>
    <w:p>
      <w:pPr>
        <w:tabs>
          <w:tab w:val="right" w:pos="10224"/>
        </w:tabs>
        <w:spacing w:before="180" w:after="40"/>
      </w:pPr>
      <w:r>
        <w:rPr>
          <w:rFonts w:ascii="Calibri" w:cs="Calibri" w:eastAsia="Calibri" w:hAnsi="Calibri"/>
          <w:b/>
          <w:bCs/>
          <w:color w:val="1B2A4A"/>
          <w:sz w:val="22"/>
          <w:szCs w:val="22"/>
        </w:rPr>
        <w:t xml:space="preserve">LeadingAgile</w:t>
      </w:r>
      <w:r>
        <w:rPr>
          <w:rFonts w:ascii="Calibri" w:cs="Calibri" w:eastAsia="Calibri" w:hAnsi="Calibri"/>
          <w:color w:val="444444"/>
          <w:sz w:val="20"/>
          <w:szCs w:val="20"/>
        </w:rPr>
        <w:t xml:space="preserve">  |  Atlanta, GA</w:t>
      </w:r>
      <w:r>
        <w:rPr>
          <w:sz w:val="20"/>
          <w:szCs w:val="20"/>
        </w:rPr>
        <w:t xml:space="preserve">	</w:t>
      </w:r>
      <w:r>
        <w:rPr>
          <w:rFonts w:ascii="Calibri" w:cs="Calibri" w:eastAsia="Calibri" w:hAnsi="Calibri"/>
          <w:i/>
          <w:iCs/>
          <w:color w:val="767676"/>
          <w:sz w:val="20"/>
          <w:szCs w:val="20"/>
        </w:rPr>
        <w:t xml:space="preserve">2019 – 2020</w:t>
      </w:r>
    </w:p>
    <w:p>
      <w:pPr>
        <w:spacing w:before="0" w:after="80"/>
      </w:pPr>
      <w:r>
        <w:rPr>
          <w:rFonts w:ascii="Calibri" w:cs="Calibri" w:eastAsia="Calibri" w:hAnsi="Calibri"/>
          <w:b/>
          <w:bCs/>
          <w:color w:val="B8922C"/>
          <w:sz w:val="20"/>
          <w:szCs w:val="20"/>
        </w:rPr>
        <w:t xml:space="preserve">Managing Consultant, Enterprise Transformations</w:t>
      </w:r>
    </w:p>
    <w:p>
      <w:pPr>
        <w:pStyle w:val="ListParagraph"/>
        <w:numPr>
          <w:ilvl w:val="0"/>
          <w:numId w:val="2"/>
        </w:numPr>
        <w:spacing w:before="40" w:after="40"/>
      </w:pPr>
      <w:r>
        <w:rPr>
          <w:rFonts w:ascii="Calibri" w:cs="Calibri" w:eastAsia="Calibri" w:hAnsi="Calibri"/>
          <w:b/>
          <w:bCs/>
          <w:color w:val="1A1A1A"/>
          <w:sz w:val="20"/>
          <w:szCs w:val="20"/>
        </w:rPr>
        <w:t xml:space="preserve">C-Suite Transformation Partnership: </w:t>
      </w:r>
      <w:r>
        <w:rPr>
          <w:rFonts w:ascii="Calibri" w:cs="Calibri" w:eastAsia="Calibri" w:hAnsi="Calibri"/>
          <w:color w:val="1A1A1A"/>
          <w:sz w:val="20"/>
          <w:szCs w:val="20"/>
        </w:rPr>
        <w:t xml:space="preserve">Served as a trusted transformation advisor embedded directly with executive leadership at Ford Motor Company and Lockheed Martin — diagnosing organizational dysfunction, co-designing future-state operating models, and building 1-year and 3–5-year strategic roadmaps tied to measurable business outcomes. Brought an outside-in perspective that cut through organizational inertia and accelerated executive alignment on complex, multi-year change agendas.</w:t>
      </w:r>
    </w:p>
    <w:p>
      <w:pPr>
        <w:pStyle w:val="ListParagraph"/>
        <w:numPr>
          <w:ilvl w:val="0"/>
          <w:numId w:val="2"/>
        </w:numPr>
        <w:spacing w:before="40" w:after="40"/>
      </w:pPr>
      <w:r>
        <w:rPr>
          <w:rFonts w:ascii="Calibri" w:cs="Calibri" w:eastAsia="Calibri" w:hAnsi="Calibri"/>
          <w:b/>
          <w:bCs/>
          <w:color w:val="1A1A1A"/>
          <w:sz w:val="20"/>
          <w:szCs w:val="20"/>
        </w:rPr>
        <w:t xml:space="preserve">Large-Scale Change Adoption &amp; Cultural Transformation: </w:t>
      </w:r>
      <w:r>
        <w:rPr>
          <w:rFonts w:ascii="Calibri" w:cs="Calibri" w:eastAsia="Calibri" w:hAnsi="Calibri"/>
          <w:color w:val="1A1A1A"/>
          <w:sz w:val="20"/>
          <w:szCs w:val="20"/>
        </w:rPr>
        <w:t xml:space="preserve">Architected and led the change adoption infrastructure for transformation programs spanning 1,000+ team members across defense and automotive — designing communication frameworks, leadership alignment strategies, and organizational consistency models that turned executive vision into enterprise-wide behavioral change.</w:t>
      </w:r>
    </w:p>
    <w:p>
      <w:pPr>
        <w:tabs>
          <w:tab w:val="right" w:pos="10224"/>
        </w:tabs>
        <w:spacing w:before="180" w:after="40"/>
      </w:pPr>
      <w:r>
        <w:rPr>
          <w:rFonts w:ascii="Calibri" w:cs="Calibri" w:eastAsia="Calibri" w:hAnsi="Calibri"/>
          <w:b/>
          <w:bCs/>
          <w:color w:val="1B2A4A"/>
          <w:sz w:val="22"/>
          <w:szCs w:val="22"/>
        </w:rPr>
        <w:t xml:space="preserve">Boyd Gaming</w:t>
      </w:r>
      <w:r>
        <w:rPr>
          <w:rFonts w:ascii="Calibri" w:cs="Calibri" w:eastAsia="Calibri" w:hAnsi="Calibri"/>
          <w:color w:val="444444"/>
          <w:sz w:val="20"/>
          <w:szCs w:val="20"/>
        </w:rPr>
        <w:t xml:space="preserve">  |  Las Vegas, NV</w:t>
      </w:r>
      <w:r>
        <w:rPr>
          <w:sz w:val="20"/>
          <w:szCs w:val="20"/>
        </w:rPr>
        <w:t xml:space="preserve">	</w:t>
      </w:r>
      <w:r>
        <w:rPr>
          <w:rFonts w:ascii="Calibri" w:cs="Calibri" w:eastAsia="Calibri" w:hAnsi="Calibri"/>
          <w:i/>
          <w:iCs/>
          <w:color w:val="767676"/>
          <w:sz w:val="20"/>
          <w:szCs w:val="20"/>
        </w:rPr>
        <w:t xml:space="preserve">2015 – 2019</w:t>
      </w:r>
    </w:p>
    <w:p>
      <w:pPr>
        <w:spacing w:before="0" w:after="80"/>
      </w:pPr>
      <w:r>
        <w:rPr>
          <w:rFonts w:ascii="Calibri" w:cs="Calibri" w:eastAsia="Calibri" w:hAnsi="Calibri"/>
          <w:b/>
          <w:bCs/>
          <w:color w:val="B8922C"/>
          <w:sz w:val="20"/>
          <w:szCs w:val="20"/>
        </w:rPr>
        <w:t xml:space="preserve">Head of Agile &amp; DevOps Transformation</w:t>
      </w:r>
    </w:p>
    <w:p>
      <w:pPr>
        <w:pStyle w:val="ListParagraph"/>
        <w:numPr>
          <w:ilvl w:val="0"/>
          <w:numId w:val="2"/>
        </w:numPr>
        <w:spacing w:before="40" w:after="40"/>
      </w:pPr>
      <w:r>
        <w:rPr>
          <w:rFonts w:ascii="Calibri" w:cs="Calibri" w:eastAsia="Calibri" w:hAnsi="Calibri"/>
          <w:b/>
          <w:bCs/>
          <w:color w:val="1A1A1A"/>
          <w:sz w:val="20"/>
          <w:szCs w:val="20"/>
        </w:rPr>
        <w:t xml:space="preserve">Full Enterprise Operating Model Transformation: </w:t>
      </w:r>
      <w:r>
        <w:rPr>
          <w:rFonts w:ascii="Calibri" w:cs="Calibri" w:eastAsia="Calibri" w:hAnsi="Calibri"/>
          <w:color w:val="1A1A1A"/>
          <w:sz w:val="20"/>
          <w:szCs w:val="20"/>
        </w:rPr>
        <w:t xml:space="preserve">Led Boyd Gaming's complete organizational evolution from a rigid Waterfall delivery culture to a modern Hybrid/Agile operating model — redesigning team charters, delivery methodologies, governance structures, and leadership expectations to support a product-driven operating model. Enabled the company to move faster, respond to market change, and compete digitally.</w:t>
      </w:r>
    </w:p>
    <w:p>
      <w:pPr>
        <w:pStyle w:val="ListParagraph"/>
        <w:numPr>
          <w:ilvl w:val="0"/>
          <w:numId w:val="2"/>
        </w:numPr>
        <w:spacing w:before="40" w:after="40"/>
      </w:pPr>
      <w:r>
        <w:rPr>
          <w:rFonts w:ascii="Calibri" w:cs="Calibri" w:eastAsia="Calibri" w:hAnsi="Calibri"/>
          <w:b/>
          <w:bCs/>
          <w:color w:val="1A1A1A"/>
          <w:sz w:val="20"/>
          <w:szCs w:val="20"/>
        </w:rPr>
        <w:t xml:space="preserve">First-to-Market Revenue Innovation: </w:t>
      </w:r>
      <w:r>
        <w:rPr>
          <w:rFonts w:ascii="Calibri" w:cs="Calibri" w:eastAsia="Calibri" w:hAnsi="Calibri"/>
          <w:color w:val="1A1A1A"/>
          <w:sz w:val="20"/>
          <w:szCs w:val="20"/>
        </w:rPr>
        <w:t xml:space="preserve">Directed the design and deployment of Boyd Gaming's first online sports betting platform — a net-new digital revenue stream requiring architectural decisions, regulatory navigation, and cross-functional delivery coordination. Delivered a 25% reduction in delivery timelines and 30% improvement in feature time-to-market.</w:t>
      </w:r>
    </w:p>
    <w:p>
      <w:pPr>
        <w:tabs>
          <w:tab w:val="right" w:pos="10224"/>
        </w:tabs>
        <w:spacing w:before="180" w:after="40"/>
      </w:pPr>
      <w:r>
        <w:rPr>
          <w:rFonts w:ascii="Calibri" w:cs="Calibri" w:eastAsia="Calibri" w:hAnsi="Calibri"/>
          <w:b/>
          <w:bCs/>
          <w:color w:val="1B2A4A"/>
          <w:sz w:val="22"/>
          <w:szCs w:val="22"/>
        </w:rPr>
        <w:t xml:space="preserve">Vantiv (acquired by Worldpay)</w:t>
      </w:r>
      <w:r>
        <w:rPr>
          <w:rFonts w:ascii="Calibri" w:cs="Calibri" w:eastAsia="Calibri" w:hAnsi="Calibri"/>
          <w:color w:val="444444"/>
          <w:sz w:val="20"/>
          <w:szCs w:val="20"/>
        </w:rPr>
        <w:t xml:space="preserve">  |  Cincinnati, OH</w:t>
      </w:r>
      <w:r>
        <w:rPr>
          <w:sz w:val="20"/>
          <w:szCs w:val="20"/>
        </w:rPr>
        <w:t xml:space="preserve">	</w:t>
      </w:r>
      <w:r>
        <w:rPr>
          <w:rFonts w:ascii="Calibri" w:cs="Calibri" w:eastAsia="Calibri" w:hAnsi="Calibri"/>
          <w:i/>
          <w:iCs/>
          <w:color w:val="767676"/>
          <w:sz w:val="20"/>
          <w:szCs w:val="20"/>
        </w:rPr>
        <w:t xml:space="preserve">2013 – 2015</w:t>
      </w:r>
    </w:p>
    <w:p>
      <w:pPr>
        <w:spacing w:before="0" w:after="80"/>
      </w:pPr>
      <w:r>
        <w:rPr>
          <w:rFonts w:ascii="Calibri" w:cs="Calibri" w:eastAsia="Calibri" w:hAnsi="Calibri"/>
          <w:b/>
          <w:bCs/>
          <w:color w:val="B8922C"/>
          <w:sz w:val="20"/>
          <w:szCs w:val="20"/>
        </w:rPr>
        <w:t xml:space="preserve">Director of PMO</w:t>
      </w:r>
    </w:p>
    <w:p>
      <w:pPr>
        <w:pStyle w:val="ListParagraph"/>
        <w:numPr>
          <w:ilvl w:val="0"/>
          <w:numId w:val="2"/>
        </w:numPr>
        <w:spacing w:before="40" w:after="40"/>
      </w:pPr>
      <w:r>
        <w:rPr>
          <w:rFonts w:ascii="Calibri" w:cs="Calibri" w:eastAsia="Calibri" w:hAnsi="Calibri"/>
          <w:b/>
          <w:bCs/>
          <w:color w:val="1A1A1A"/>
          <w:sz w:val="20"/>
          <w:szCs w:val="20"/>
        </w:rPr>
        <w:t xml:space="preserve">M&amp;A Transformation Governance &amp; Risk Mitigation: </w:t>
      </w:r>
      <w:r>
        <w:rPr>
          <w:rFonts w:ascii="Calibri" w:cs="Calibri" w:eastAsia="Calibri" w:hAnsi="Calibri"/>
          <w:color w:val="1A1A1A"/>
          <w:sz w:val="20"/>
          <w:szCs w:val="20"/>
        </w:rPr>
        <w:t xml:space="preserve">Served as Technology Financial Steward and directed the PMO through Vantiv's $16.5B acquisition by Worldpay — scaling the function to an EPMO critical in mitigating $35M in risk exposure during post-M&amp;A IT integration. Navigated one of the most operationally complex transformation environments in the company's history.</w:t>
      </w:r>
    </w:p>
    <w:p>
      <w:pPr>
        <w:tabs>
          <w:tab w:val="right" w:pos="10224"/>
        </w:tabs>
        <w:spacing w:before="180" w:after="40"/>
      </w:pPr>
      <w:r>
        <w:rPr>
          <w:rFonts w:ascii="Calibri" w:cs="Calibri" w:eastAsia="Calibri" w:hAnsi="Calibri"/>
          <w:b/>
          <w:bCs/>
          <w:color w:val="1B2A4A"/>
          <w:sz w:val="22"/>
          <w:szCs w:val="22"/>
        </w:rPr>
        <w:t xml:space="preserve">Sapiens</w:t>
      </w:r>
      <w:r>
        <w:rPr>
          <w:rFonts w:ascii="Calibri" w:cs="Calibri" w:eastAsia="Calibri" w:hAnsi="Calibri"/>
          <w:color w:val="444444"/>
          <w:sz w:val="20"/>
          <w:szCs w:val="20"/>
        </w:rPr>
        <w:t xml:space="preserve">  |  Cincinnati, OH</w:t>
      </w:r>
      <w:r>
        <w:rPr>
          <w:sz w:val="20"/>
          <w:szCs w:val="20"/>
        </w:rPr>
        <w:t xml:space="preserve">	</w:t>
      </w:r>
      <w:r>
        <w:rPr>
          <w:rFonts w:ascii="Calibri" w:cs="Calibri" w:eastAsia="Calibri" w:hAnsi="Calibri"/>
          <w:i/>
          <w:iCs/>
          <w:color w:val="767676"/>
          <w:sz w:val="20"/>
          <w:szCs w:val="20"/>
        </w:rPr>
        <w:t xml:space="preserve">2010 – 2013</w:t>
      </w:r>
    </w:p>
    <w:p>
      <w:pPr>
        <w:spacing w:before="0" w:after="80"/>
      </w:pPr>
      <w:r>
        <w:rPr>
          <w:rFonts w:ascii="Calibri" w:cs="Calibri" w:eastAsia="Calibri" w:hAnsi="Calibri"/>
          <w:b/>
          <w:bCs/>
          <w:color w:val="B8922C"/>
          <w:sz w:val="20"/>
          <w:szCs w:val="20"/>
        </w:rPr>
        <w:t xml:space="preserve">Director, North America Project Engagement</w:t>
      </w:r>
    </w:p>
    <w:p>
      <w:pPr>
        <w:pStyle w:val="ListParagraph"/>
        <w:numPr>
          <w:ilvl w:val="0"/>
          <w:numId w:val="2"/>
        </w:numPr>
        <w:spacing w:before="40" w:after="40"/>
      </w:pPr>
      <w:r>
        <w:rPr>
          <w:rFonts w:ascii="Calibri" w:cs="Calibri" w:eastAsia="Calibri" w:hAnsi="Calibri"/>
          <w:b/>
          <w:bCs/>
          <w:color w:val="1A1A1A"/>
          <w:sz w:val="20"/>
          <w:szCs w:val="20"/>
        </w:rPr>
        <w:t xml:space="preserve">Greenfield PMO Build &amp; Global Operations Alignment: </w:t>
      </w:r>
      <w:r>
        <w:rPr>
          <w:rFonts w:ascii="Calibri" w:cs="Calibri" w:eastAsia="Calibri" w:hAnsi="Calibri"/>
          <w:color w:val="1A1A1A"/>
          <w:sz w:val="20"/>
          <w:szCs w:val="20"/>
        </w:rPr>
        <w:t xml:space="preserve">Built the North American PMO and operational delivery model from the ground up — establishing delivery standards, governance structures, and cross-continental accountability aligned with corporate headquarters in Israel. Created scalable operational infrastructure for a complex global engagement model.</w:t>
      </w:r>
    </w:p>
    <w:p>
      <w:pPr>
        <w:spacing w:before="0" w:after="0"/>
      </w:pPr>
    </w:p>
    <w:p>
      <w:pPr>
        <w:spacing w:before="80" w:after="40"/>
      </w:pPr>
      <w:r>
        <w:rPr>
          <w:rFonts w:ascii="Calibri" w:cs="Calibri" w:eastAsia="Calibri" w:hAnsi="Calibri"/>
          <w:b/>
          <w:bCs/>
          <w:color w:val="1B2A4A"/>
          <w:sz w:val="20"/>
          <w:szCs w:val="20"/>
        </w:rPr>
        <w:t xml:space="preserve">Earlier Career: </w:t>
      </w:r>
      <w:r>
        <w:rPr>
          <w:rFonts w:ascii="Calibri" w:cs="Calibri" w:eastAsia="Calibri" w:hAnsi="Calibri"/>
          <w:color w:val="444444"/>
          <w:sz w:val="20"/>
          <w:szCs w:val="20"/>
        </w:rPr>
        <w:t xml:space="preserve">Charles Schwab  ·  Koch Industries  ·  Fifth Third Bank  ·  Stanford University — Fortune 500 transformation, delivery, and operations leadership roles across financial services, energy, and higher education.</w:t>
      </w:r>
    </w:p>
    <w:p>
      <w:pPr>
        <w:spacing w:before="140" w:after="0"/>
      </w:pPr>
    </w:p>
    <w:p>
      <w:pPr>
        <w:pBdr>
          <w:bottom w:val="single" w:color="C9A84C" w:sz="6" w:space="3"/>
        </w:pBdr>
        <w:spacing w:before="180" w:after="60"/>
      </w:pPr>
      <w:r>
        <w:rPr>
          <w:rFonts w:ascii="Calibri" w:cs="Calibri" w:eastAsia="Calibri" w:hAnsi="Calibri"/>
          <w:b/>
          <w:bCs/>
          <w:color w:val="1B2A4A"/>
          <w:spacing w:val="40"/>
          <w:sz w:val="22"/>
          <w:szCs w:val="22"/>
        </w:rPr>
        <w:t xml:space="preserve">CORE COMPETENCIES</w:t>
      </w:r>
    </w:p>
    <w:p>
      <w:pPr>
        <w:spacing w:before="80" w:after="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408"/>
        <w:gridCol w:w="3408"/>
        <w:gridCol w:w="3408"/>
      </w:tblGrid>
      <w:tr>
        <w:tc>
          <w:tcPr>
            <w:tcW w:type="dxa" w:w="3408"/>
            <w:tcBorders>
              <w:top w:val="none"/>
              <w:left w:val="none"/>
              <w:bottom w:val="none"/>
              <w:right w:val="none"/>
            </w:tcBorders>
            <w:tcMar>
              <w:top w:type="dxa" w:w="60"/>
              <w:left w:type="dxa" w:w="80"/>
              <w:bottom w:type="dxa" w:w="60"/>
              <w:right w:type="dxa" w:w="80"/>
            </w:tcMar>
          </w:tcPr>
          <w:p>
            <w:r>
              <w:rPr>
                <w:rFonts w:ascii="Calibri" w:cs="Calibri" w:eastAsia="Calibri" w:hAnsi="Calibri"/>
                <w:color w:val="1A1A1A"/>
                <w:sz w:val="18"/>
                <w:szCs w:val="18"/>
              </w:rPr>
              <w:t xml:space="preserve">◆  Enterprise Transformation Strategy</w:t>
            </w:r>
          </w:p>
        </w:tc>
        <w:tc>
          <w:tcPr>
            <w:tcW w:type="dxa" w:w="3408"/>
            <w:tcBorders>
              <w:top w:val="none"/>
              <w:left w:val="none"/>
              <w:bottom w:val="none"/>
              <w:right w:val="none"/>
            </w:tcBorders>
            <w:tcMar>
              <w:top w:type="dxa" w:w="60"/>
              <w:left w:type="dxa" w:w="80"/>
              <w:bottom w:type="dxa" w:w="60"/>
              <w:right w:type="dxa" w:w="80"/>
            </w:tcMar>
          </w:tcPr>
          <w:p>
            <w:r>
              <w:rPr>
                <w:rFonts w:ascii="Calibri" w:cs="Calibri" w:eastAsia="Calibri" w:hAnsi="Calibri"/>
                <w:color w:val="1A1A1A"/>
                <w:sz w:val="18"/>
                <w:szCs w:val="18"/>
              </w:rPr>
              <w:t xml:space="preserve">◆  Operating Model Design &amp; Redesign</w:t>
            </w:r>
          </w:p>
        </w:tc>
        <w:tc>
          <w:tcPr>
            <w:tcW w:type="dxa" w:w="3408"/>
            <w:tcBorders>
              <w:top w:val="none"/>
              <w:left w:val="none"/>
              <w:bottom w:val="none"/>
              <w:right w:val="none"/>
            </w:tcBorders>
            <w:tcMar>
              <w:top w:type="dxa" w:w="60"/>
              <w:left w:type="dxa" w:w="80"/>
              <w:bottom w:type="dxa" w:w="60"/>
              <w:right w:type="dxa" w:w="80"/>
            </w:tcMar>
          </w:tcPr>
          <w:p>
            <w:r>
              <w:rPr>
                <w:rFonts w:ascii="Calibri" w:cs="Calibri" w:eastAsia="Calibri" w:hAnsi="Calibri"/>
                <w:color w:val="1A1A1A"/>
                <w:sz w:val="18"/>
                <w:szCs w:val="18"/>
              </w:rPr>
              <w:t xml:space="preserve">◆  Multi-Site Launch Execution</w:t>
            </w:r>
          </w:p>
        </w:tc>
      </w:tr>
      <w:tr>
        <w:tc>
          <w:tcPr>
            <w:tcW w:type="dxa" w:w="3408"/>
            <w:tcBorders>
              <w:top w:val="none"/>
              <w:left w:val="none"/>
              <w:bottom w:val="none"/>
              <w:right w:val="none"/>
            </w:tcBorders>
            <w:tcMar>
              <w:top w:type="dxa" w:w="60"/>
              <w:left w:type="dxa" w:w="80"/>
              <w:bottom w:type="dxa" w:w="60"/>
              <w:right w:type="dxa" w:w="80"/>
            </w:tcMar>
          </w:tcPr>
          <w:p>
            <w:r>
              <w:rPr>
                <w:rFonts w:ascii="Calibri" w:cs="Calibri" w:eastAsia="Calibri" w:hAnsi="Calibri"/>
                <w:color w:val="1A1A1A"/>
                <w:sz w:val="18"/>
                <w:szCs w:val="18"/>
              </w:rPr>
              <w:t xml:space="preserve">◆  Change Management &amp; Adoption</w:t>
            </w:r>
          </w:p>
        </w:tc>
        <w:tc>
          <w:tcPr>
            <w:tcW w:type="dxa" w:w="3408"/>
            <w:tcBorders>
              <w:top w:val="none"/>
              <w:left w:val="none"/>
              <w:bottom w:val="none"/>
              <w:right w:val="none"/>
            </w:tcBorders>
            <w:tcMar>
              <w:top w:type="dxa" w:w="60"/>
              <w:left w:type="dxa" w:w="80"/>
              <w:bottom w:type="dxa" w:w="60"/>
              <w:right w:type="dxa" w:w="80"/>
            </w:tcMar>
          </w:tcPr>
          <w:p>
            <w:r>
              <w:rPr>
                <w:rFonts w:ascii="Calibri" w:cs="Calibri" w:eastAsia="Calibri" w:hAnsi="Calibri"/>
                <w:color w:val="1A1A1A"/>
                <w:sz w:val="18"/>
                <w:szCs w:val="18"/>
              </w:rPr>
              <w:t xml:space="preserve">◆  EPMO Architecture</w:t>
            </w:r>
          </w:p>
        </w:tc>
        <w:tc>
          <w:tcPr>
            <w:tcW w:type="dxa" w:w="3408"/>
            <w:tcBorders>
              <w:top w:val="none"/>
              <w:left w:val="none"/>
              <w:bottom w:val="none"/>
              <w:right w:val="none"/>
            </w:tcBorders>
            <w:tcMar>
              <w:top w:type="dxa" w:w="60"/>
              <w:left w:type="dxa" w:w="80"/>
              <w:bottom w:type="dxa" w:w="60"/>
              <w:right w:type="dxa" w:w="80"/>
            </w:tcMar>
          </w:tcPr>
          <w:p>
            <w:r>
              <w:rPr>
                <w:rFonts w:ascii="Calibri" w:cs="Calibri" w:eastAsia="Calibri" w:hAnsi="Calibri"/>
                <w:color w:val="1A1A1A"/>
                <w:sz w:val="18"/>
                <w:szCs w:val="18"/>
              </w:rPr>
              <w:t xml:space="preserve">◆  M&amp;A Integration &amp; Transition</w:t>
            </w:r>
          </w:p>
        </w:tc>
      </w:tr>
      <w:tr>
        <w:tc>
          <w:tcPr>
            <w:tcW w:type="dxa" w:w="3408"/>
            <w:tcBorders>
              <w:top w:val="none"/>
              <w:left w:val="none"/>
              <w:bottom w:val="none"/>
              <w:right w:val="none"/>
            </w:tcBorders>
            <w:tcMar>
              <w:top w:type="dxa" w:w="60"/>
              <w:left w:type="dxa" w:w="80"/>
              <w:bottom w:type="dxa" w:w="60"/>
              <w:right w:type="dxa" w:w="80"/>
            </w:tcMar>
          </w:tcPr>
          <w:p>
            <w:r>
              <w:rPr>
                <w:rFonts w:ascii="Calibri" w:cs="Calibri" w:eastAsia="Calibri" w:hAnsi="Calibri"/>
                <w:color w:val="1A1A1A"/>
                <w:sz w:val="18"/>
                <w:szCs w:val="18"/>
              </w:rPr>
              <w:t xml:space="preserve">◆  Agile / SAFe at Scale</w:t>
            </w:r>
          </w:p>
        </w:tc>
        <w:tc>
          <w:tcPr>
            <w:tcW w:type="dxa" w:w="3408"/>
            <w:tcBorders>
              <w:top w:val="none"/>
              <w:left w:val="none"/>
              <w:bottom w:val="none"/>
              <w:right w:val="none"/>
            </w:tcBorders>
            <w:tcMar>
              <w:top w:type="dxa" w:w="60"/>
              <w:left w:type="dxa" w:w="80"/>
              <w:bottom w:type="dxa" w:w="60"/>
              <w:right w:type="dxa" w:w="80"/>
            </w:tcMar>
          </w:tcPr>
          <w:p>
            <w:r>
              <w:rPr>
                <w:rFonts w:ascii="Calibri" w:cs="Calibri" w:eastAsia="Calibri" w:hAnsi="Calibri"/>
                <w:color w:val="1A1A1A"/>
                <w:sz w:val="18"/>
                <w:szCs w:val="18"/>
              </w:rPr>
              <w:t xml:space="preserve">◆  Vendor Governance &amp; Negotiation</w:t>
            </w:r>
          </w:p>
        </w:tc>
        <w:tc>
          <w:tcPr>
            <w:tcW w:type="dxa" w:w="3408"/>
            <w:tcBorders>
              <w:top w:val="none"/>
              <w:left w:val="none"/>
              <w:bottom w:val="none"/>
              <w:right w:val="none"/>
            </w:tcBorders>
            <w:tcMar>
              <w:top w:type="dxa" w:w="60"/>
              <w:left w:type="dxa" w:w="80"/>
              <w:bottom w:type="dxa" w:w="60"/>
              <w:right w:type="dxa" w:w="80"/>
            </w:tcMar>
          </w:tcPr>
          <w:p>
            <w:r>
              <w:rPr>
                <w:rFonts w:ascii="Calibri" w:cs="Calibri" w:eastAsia="Calibri" w:hAnsi="Calibri"/>
                <w:color w:val="1A1A1A"/>
                <w:sz w:val="18"/>
                <w:szCs w:val="18"/>
              </w:rPr>
              <w:t xml:space="preserve">◆  C-Suite Advisory &amp; Influence</w:t>
            </w:r>
          </w:p>
        </w:tc>
      </w:tr>
      <w:tr>
        <w:tc>
          <w:tcPr>
            <w:tcW w:type="dxa" w:w="3408"/>
            <w:tcBorders>
              <w:top w:val="none"/>
              <w:left w:val="none"/>
              <w:bottom w:val="none"/>
              <w:right w:val="none"/>
            </w:tcBorders>
            <w:tcMar>
              <w:top w:type="dxa" w:w="60"/>
              <w:left w:type="dxa" w:w="80"/>
              <w:bottom w:type="dxa" w:w="60"/>
              <w:right w:type="dxa" w:w="80"/>
            </w:tcMar>
          </w:tcPr>
          <w:p>
            <w:r>
              <w:rPr>
                <w:rFonts w:ascii="Calibri" w:cs="Calibri" w:eastAsia="Calibri" w:hAnsi="Calibri"/>
                <w:color w:val="1A1A1A"/>
                <w:sz w:val="18"/>
                <w:szCs w:val="18"/>
              </w:rPr>
              <w:t xml:space="preserve">◆  P&amp;L Accountability</w:t>
            </w:r>
          </w:p>
        </w:tc>
        <w:tc>
          <w:tcPr>
            <w:tcW w:type="dxa" w:w="3408"/>
            <w:tcBorders>
              <w:top w:val="none"/>
              <w:left w:val="none"/>
              <w:bottom w:val="none"/>
              <w:right w:val="none"/>
            </w:tcBorders>
            <w:tcMar>
              <w:top w:type="dxa" w:w="60"/>
              <w:left w:type="dxa" w:w="80"/>
              <w:bottom w:type="dxa" w:w="60"/>
              <w:right w:type="dxa" w:w="80"/>
            </w:tcMar>
          </w:tcPr>
          <w:p>
            <w:r>
              <w:rPr>
                <w:rFonts w:ascii="Calibri" w:cs="Calibri" w:eastAsia="Calibri" w:hAnsi="Calibri"/>
                <w:color w:val="1A1A1A"/>
                <w:sz w:val="18"/>
                <w:szCs w:val="18"/>
              </w:rPr>
              <w:t xml:space="preserve">◆  KPI Frameworks &amp; Performance Analytics</w:t>
            </w:r>
          </w:p>
        </w:tc>
        <w:tc>
          <w:tcPr>
            <w:tcW w:type="dxa" w:w="3408"/>
            <w:tcBorders>
              <w:top w:val="none"/>
              <w:left w:val="none"/>
              <w:bottom w:val="none"/>
              <w:right w:val="none"/>
            </w:tcBorders>
            <w:tcMar>
              <w:top w:type="dxa" w:w="60"/>
              <w:left w:type="dxa" w:w="80"/>
              <w:bottom w:type="dxa" w:w="60"/>
              <w:right w:type="dxa" w:w="80"/>
            </w:tcMar>
          </w:tcPr>
          <w:p>
            <w:r>
              <w:rPr>
                <w:rFonts w:ascii="Calibri" w:cs="Calibri" w:eastAsia="Calibri" w:hAnsi="Calibri"/>
                <w:color w:val="1A1A1A"/>
                <w:sz w:val="18"/>
                <w:szCs w:val="18"/>
              </w:rPr>
              <w:t xml:space="preserve">◆  Revenue Execution &amp; Readiness</w:t>
            </w:r>
          </w:p>
        </w:tc>
      </w:tr>
    </w:tbl>
    <w:p>
      <w:pPr>
        <w:spacing w:before="140" w:after="0"/>
      </w:pPr>
    </w:p>
    <w:p>
      <w:pPr>
        <w:pBdr>
          <w:bottom w:val="single" w:color="C9A84C" w:sz="6" w:space="3"/>
        </w:pBdr>
        <w:spacing w:before="180" w:after="60"/>
      </w:pPr>
      <w:r>
        <w:rPr>
          <w:rFonts w:ascii="Calibri" w:cs="Calibri" w:eastAsia="Calibri" w:hAnsi="Calibri"/>
          <w:b/>
          <w:bCs/>
          <w:color w:val="1B2A4A"/>
          <w:spacing w:val="40"/>
          <w:sz w:val="22"/>
          <w:szCs w:val="22"/>
        </w:rPr>
        <w:t xml:space="preserve">EDUCATION | CERTIFICATIONS | ADVISORY</w:t>
      </w:r>
    </w:p>
    <w:p>
      <w:pPr>
        <w:pStyle w:val="ListParagraph"/>
        <w:numPr>
          <w:ilvl w:val="0"/>
          <w:numId w:val="2"/>
        </w:numPr>
        <w:spacing w:before="40" w:after="40"/>
      </w:pPr>
      <w:r>
        <w:rPr>
          <w:rFonts w:ascii="Calibri" w:cs="Calibri" w:eastAsia="Calibri" w:hAnsi="Calibri"/>
          <w:color w:val="1A1A1A"/>
          <w:sz w:val="20"/>
          <w:szCs w:val="20"/>
        </w:rPr>
        <w:t xml:space="preserve">B.S. International Business Management, Summa Cum Laude — Menlo College</w:t>
      </w:r>
    </w:p>
    <w:p>
      <w:pPr>
        <w:pStyle w:val="ListParagraph"/>
        <w:numPr>
          <w:ilvl w:val="0"/>
          <w:numId w:val="2"/>
        </w:numPr>
        <w:spacing w:before="40" w:after="40"/>
      </w:pPr>
      <w:r>
        <w:rPr>
          <w:rFonts w:ascii="Calibri" w:cs="Calibri" w:eastAsia="Calibri" w:hAnsi="Calibri"/>
          <w:color w:val="1A1A1A"/>
          <w:sz w:val="20"/>
          <w:szCs w:val="20"/>
        </w:rPr>
        <w:t xml:space="preserve">Certified Scrum Alliance / Agile Coaching Skills Certified Facilitator (ACSCF)</w:t>
      </w:r>
    </w:p>
    <w:p>
      <w:pPr>
        <w:pStyle w:val="ListParagraph"/>
        <w:numPr>
          <w:ilvl w:val="0"/>
          <w:numId w:val="2"/>
        </w:numPr>
        <w:spacing w:before="40" w:after="40"/>
      </w:pPr>
      <w:r>
        <w:rPr>
          <w:rFonts w:ascii="Calibri" w:cs="Calibri" w:eastAsia="Calibri" w:hAnsi="Calibri"/>
          <w:color w:val="1A1A1A"/>
          <w:sz w:val="20"/>
          <w:szCs w:val="20"/>
        </w:rPr>
        <w:t xml:space="preserve">Advisory Board Member, IceBox Consulting, Las Vegas (2017–2023)</w:t>
      </w:r>
    </w:p>
    <w:p>
      <w:pPr>
        <w:pStyle w:val="ListParagraph"/>
        <w:numPr>
          <w:ilvl w:val="0"/>
          <w:numId w:val="2"/>
        </w:numPr>
        <w:spacing w:before="40" w:after="40"/>
      </w:pPr>
      <w:r>
        <w:rPr>
          <w:rFonts w:ascii="Calibri" w:cs="Calibri" w:eastAsia="Calibri" w:hAnsi="Calibri"/>
          <w:color w:val="1A1A1A"/>
          <w:sz w:val="20"/>
          <w:szCs w:val="20"/>
        </w:rPr>
        <w:t xml:space="preserve">EQi Total 129 — High Emotional Intelligence, Top 15% nationally; recognized for executive stakeholder influence and change navigation</w:t>
      </w:r>
    </w:p>
    <w:p>
      <w:pPr>
        <w:pStyle w:val="ListParagraph"/>
        <w:numPr>
          <w:ilvl w:val="0"/>
          <w:numId w:val="2"/>
        </w:numPr>
        <w:spacing w:before="40" w:after="40"/>
      </w:pPr>
      <w:r>
        <w:rPr>
          <w:rFonts w:ascii="Calibri" w:cs="Calibri" w:eastAsia="Calibri" w:hAnsi="Calibri"/>
          <w:color w:val="1A1A1A"/>
          <w:sz w:val="20"/>
          <w:szCs w:val="20"/>
        </w:rPr>
        <w:t xml:space="preserve">Football Coaching Staff, Stanford University — Elite performance coordination frameworks applied to enterprise transformation leadership</w:t>
      </w:r>
    </w:p>
    <w:p>
      <w:pPr>
        <w:spacing w:before="120" w:after="0"/>
      </w:pPr>
    </w:p>
    <w:sectPr>
      <w:pgSz w:w="12240" w:h="15840" w:orient="portrait"/>
      <w:pgMar w:top="864" w:right="1008" w:bottom="864"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rFonts w:ascii="Calibri" w:cs="Calibri" w:eastAsia="Calibri" w:hAnsi="Calibri"/>
        <w:color w:val="B8922C"/>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2026-03-16T16:02:43.446Z</dcterms:created>
  <dcterms:modified xsi:type="dcterms:W3CDTF">2026-03-16T16:02:43.446Z</dcterms:modified>
</cp:coreProperties>
</file>

<file path=docProps/custom.xml><?xml version="1.0" encoding="utf-8"?>
<Properties xmlns="http://schemas.openxmlformats.org/officeDocument/2006/custom-properties" xmlns:vt="http://schemas.openxmlformats.org/officeDocument/2006/docPropsVTypes"/>
</file>