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B2A4A"/>
          <w:sz w:val="52"/>
          <w:szCs w:val="52"/>
        </w:rPr>
        <w:t xml:space="preserve">MARTIN BRUNKE</w:t>
      </w:r>
    </w:p>
    <w:p>
      <w:pPr>
        <w:spacing w:before="0" w:after="80"/>
        <w:jc w:val="center"/>
      </w:pPr>
      <w:r>
        <w:rPr>
          <w:rFonts w:ascii="Calibri" w:cs="Calibri" w:eastAsia="Calibri" w:hAnsi="Calibri"/>
          <w:b w:val="false"/>
          <w:bCs w:val="false"/>
          <w:color w:val="B8922C"/>
          <w:sz w:val="22"/>
          <w:szCs w:val="22"/>
        </w:rPr>
        <w:t xml:space="preserve">VP / SVP, Enterprise PMO  ·  Portfolio Governance  ·  EPMO Architecture  ·  M&amp;A Integration</w:t>
      </w:r>
    </w:p>
    <w:p>
      <w:pPr>
        <w:spacing w:before="0" w:after="0"/>
        <w:jc w:val="center"/>
      </w:pPr>
      <w:r>
        <w:rPr>
          <w:rFonts w:ascii="Calibri" w:cs="Calibri" w:eastAsia="Calibri" w:hAnsi="Calibri"/>
          <w:color w:val="444444"/>
          <w:sz w:val="19"/>
          <w:szCs w:val="19"/>
        </w:rPr>
        <w:t xml:space="preserve">(513) 288-6600</w:t>
      </w:r>
      <w:r>
        <w:rPr>
          <w:rFonts w:ascii="Calibri" w:cs="Calibri" w:eastAsia="Calibri" w:hAnsi="Calibri"/>
          <w:color w:val="767676"/>
          <w:sz w:val="19"/>
          <w:szCs w:val="19"/>
        </w:rPr>
        <w:t xml:space="preserve">   |   </w:t>
      </w:r>
      <w:r>
        <w:rPr>
          <w:rFonts w:ascii="Calibri" w:cs="Calibri" w:eastAsia="Calibri" w:hAnsi="Calibri"/>
          <w:color w:val="444444"/>
          <w:sz w:val="19"/>
          <w:szCs w:val="19"/>
        </w:rPr>
        <w:t xml:space="preserve">martinbrunke@yahoo.com</w:t>
      </w:r>
      <w:r>
        <w:rPr>
          <w:rFonts w:ascii="Calibri" w:cs="Calibri" w:eastAsia="Calibri" w:hAnsi="Calibri"/>
          <w:color w:val="767676"/>
          <w:sz w:val="19"/>
          <w:szCs w:val="19"/>
        </w:rPr>
        <w:t xml:space="preserve">   |   </w:t>
      </w:r>
      <w:r>
        <w:rPr>
          <w:rFonts w:ascii="Calibri" w:cs="Calibri" w:eastAsia="Calibri" w:hAnsi="Calibri"/>
          <w:color w:val="444444"/>
          <w:sz w:val="19"/>
          <w:szCs w:val="19"/>
        </w:rPr>
        <w:t xml:space="preserve">linkedin.com/in/martin-brunke</w:t>
      </w:r>
    </w:p>
    <w:p>
      <w:pPr>
        <w:spacing w:before="120" w:after="0"/>
      </w:pPr>
    </w:p>
    <w:p>
      <w:pPr>
        <w:pBdr>
          <w:bottom w:val="single" w:color="C9A84C" w:sz="8" w:space="0"/>
        </w:pBdr>
        <w:spacing w:before="0" w:after="0"/>
      </w:pP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EXECUTIVE PROFILE</w:t>
      </w:r>
    </w:p>
    <w:p>
      <w:pPr>
        <w:spacing w:before="60" w:after="0"/>
      </w:pPr>
    </w:p>
    <w:p>
      <w:pPr>
        <w:spacing w:before="0" w:after="100"/>
      </w:pPr>
      <w:r>
        <w:rPr>
          <w:rFonts w:ascii="Calibri" w:cs="Calibri" w:eastAsia="Calibri" w:hAnsi="Calibri"/>
          <w:color w:val="1A1A1A"/>
          <w:sz w:val="20"/>
          <w:szCs w:val="20"/>
        </w:rPr>
        <w:t xml:space="preserve">Enterprise PMO architect and portfolio governance leader with 20+ years building the delivery infrastructure that turns corporate strategy into measurable business outcomes. Repeatedly called upon to transform under-performing IT PMOs into strategic EPMOs with board-level visibility, executive decision-making authority, and enterprise-wide compliance discipline.</w:t>
      </w:r>
    </w:p>
    <w:p>
      <w:pPr>
        <w:spacing w:before="0" w:after="100"/>
      </w:pPr>
      <w:r>
        <w:rPr>
          <w:rFonts w:ascii="Calibri" w:cs="Calibri" w:eastAsia="Calibri" w:hAnsi="Calibri"/>
          <w:color w:val="1A1A1A"/>
          <w:sz w:val="20"/>
          <w:szCs w:val="20"/>
        </w:rPr>
        <w:t xml:space="preserve">Directed PMO governance during a $16.5B acquisition, mitigating $35M in risk exposure. Stewarded portfolios exceeding $250M. Drove 5 casino launches to 98%+ operational readiness and $850K+ average daily coin-in. Accelerated organizational maturity from 38% to 90% PMO compliance in under 90 days across a $150M portfolio. Scaled Agile delivery across 1,000+ team members.</w:t>
      </w:r>
    </w:p>
    <w:p>
      <w:pPr>
        <w:spacing w:before="0" w:after="100"/>
      </w:pPr>
      <w:r>
        <w:rPr>
          <w:rFonts w:ascii="Calibri" w:cs="Calibri" w:eastAsia="Calibri" w:hAnsi="Calibri"/>
          <w:color w:val="1A1A1A"/>
          <w:sz w:val="20"/>
          <w:szCs w:val="20"/>
        </w:rPr>
        <w:t xml:space="preserve">Applies a proprietary execution methodology — informed by 20+ years of Fortune 500 transformation and elite collegiate sports coaching at Stanford — that builds PMO functions designed to deliver sustained business outcomes, not just reporting.</w:t>
      </w: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PROFESSIONAL EXPERIENCE</w:t>
      </w:r>
    </w:p>
    <w:p>
      <w:pPr>
        <w:tabs>
          <w:tab w:val="right" w:pos="10224"/>
        </w:tabs>
        <w:spacing w:before="180" w:after="40"/>
      </w:pPr>
      <w:r>
        <w:rPr>
          <w:rFonts w:ascii="Calibri" w:cs="Calibri" w:eastAsia="Calibri" w:hAnsi="Calibri"/>
          <w:b/>
          <w:bCs/>
          <w:color w:val="1B2A4A"/>
          <w:sz w:val="22"/>
          <w:szCs w:val="22"/>
        </w:rPr>
        <w:t xml:space="preserve">Churchill Downs Incorporated (CDI)</w:t>
      </w:r>
      <w:r>
        <w:rPr>
          <w:rFonts w:ascii="Calibri" w:cs="Calibri" w:eastAsia="Calibri" w:hAnsi="Calibri"/>
          <w:color w:val="444444"/>
          <w:sz w:val="20"/>
          <w:szCs w:val="20"/>
        </w:rPr>
        <w:t xml:space="preserve">  |  Louisville, KY</w:t>
      </w:r>
      <w:r>
        <w:rPr>
          <w:sz w:val="20"/>
          <w:szCs w:val="20"/>
        </w:rPr>
        <w:t xml:space="preserve">	</w:t>
      </w:r>
      <w:r>
        <w:rPr>
          <w:rFonts w:ascii="Calibri" w:cs="Calibri" w:eastAsia="Calibri" w:hAnsi="Calibri"/>
          <w:i/>
          <w:iCs/>
          <w:color w:val="767676"/>
          <w:sz w:val="20"/>
          <w:szCs w:val="20"/>
        </w:rPr>
        <w:t xml:space="preserve">2024 – Present</w:t>
      </w:r>
    </w:p>
    <w:p>
      <w:pPr>
        <w:spacing w:before="0" w:after="80"/>
      </w:pPr>
      <w:r>
        <w:rPr>
          <w:rFonts w:ascii="Calibri" w:cs="Calibri" w:eastAsia="Calibri" w:hAnsi="Calibri"/>
          <w:b/>
          <w:bCs/>
          <w:color w:val="B8922C"/>
          <w:sz w:val="20"/>
          <w:szCs w:val="20"/>
        </w:rPr>
        <w:t xml:space="preserve">Director of PMO / Head of Enterprise Portfolio Governance</w:t>
      </w:r>
    </w:p>
    <w:p>
      <w:pPr>
        <w:pStyle w:val="ListParagraph"/>
        <w:numPr>
          <w:ilvl w:val="0"/>
          <w:numId w:val="2"/>
        </w:numPr>
        <w:spacing w:before="40" w:after="40"/>
      </w:pPr>
      <w:r>
        <w:rPr>
          <w:rFonts w:ascii="Calibri" w:cs="Calibri" w:eastAsia="Calibri" w:hAnsi="Calibri"/>
          <w:b/>
          <w:bCs/>
          <w:color w:val="1A1A1A"/>
          <w:sz w:val="20"/>
          <w:szCs w:val="20"/>
        </w:rPr>
        <w:t xml:space="preserve">EPMO Architecture &amp; M&amp;A Portfolio Governance: </w:t>
      </w:r>
      <w:r>
        <w:rPr>
          <w:rFonts w:ascii="Calibri" w:cs="Calibri" w:eastAsia="Calibri" w:hAnsi="Calibri"/>
          <w:color w:val="1A1A1A"/>
          <w:sz w:val="20"/>
          <w:szCs w:val="20"/>
        </w:rPr>
        <w:t xml:space="preserve">Architected the evolution of a siloed IT PMO into a centralized Enterprise PMO (EPMO), embedding portfolio prioritization and capital allocation authority directly into the executive steering process. Served as PMO governance lead for a strategic New England casino acquisition — directing technology integration, cross-property standards enforcement, and operational continuity through wind-down, positioning the asset for an 18-month brownfield redevelopment.</w:t>
      </w:r>
    </w:p>
    <w:p>
      <w:pPr>
        <w:pStyle w:val="ListParagraph"/>
        <w:numPr>
          <w:ilvl w:val="0"/>
          <w:numId w:val="2"/>
        </w:numPr>
        <w:spacing w:before="40" w:after="40"/>
      </w:pPr>
      <w:r>
        <w:rPr>
          <w:rFonts w:ascii="Calibri" w:cs="Calibri" w:eastAsia="Calibri" w:hAnsi="Calibri"/>
          <w:b/>
          <w:bCs/>
          <w:color w:val="1A1A1A"/>
          <w:sz w:val="20"/>
          <w:szCs w:val="20"/>
        </w:rPr>
        <w:t xml:space="preserve">Accelerated Revenue &amp; Execution Velocity: </w:t>
      </w:r>
      <w:r>
        <w:rPr>
          <w:rFonts w:ascii="Calibri" w:cs="Calibri" w:eastAsia="Calibri" w:hAnsi="Calibri"/>
          <w:color w:val="1A1A1A"/>
          <w:sz w:val="20"/>
          <w:szCs w:val="20"/>
        </w:rPr>
        <w:t xml:space="preserve">Architected and led the go-to-market operational strategy for 5 casino launches, achieving 98%+ operational readiness pre-launch and driving $850K+ average daily coin-in across new properties. Applied lessons-learned frameworks to each successive build, compressing the most recent openings by 2–3 weeks ahead of schedule. Established standardized operating frameworks that improved cross-departmental efficiency by 25%.</w:t>
      </w:r>
    </w:p>
    <w:p>
      <w:pPr>
        <w:pStyle w:val="ListParagraph"/>
        <w:numPr>
          <w:ilvl w:val="0"/>
          <w:numId w:val="2"/>
        </w:numPr>
        <w:spacing w:before="40" w:after="40"/>
      </w:pPr>
      <w:r>
        <w:rPr>
          <w:rFonts w:ascii="Calibri" w:cs="Calibri" w:eastAsia="Calibri" w:hAnsi="Calibri"/>
          <w:b/>
          <w:bCs/>
          <w:color w:val="1A1A1A"/>
          <w:sz w:val="20"/>
          <w:szCs w:val="20"/>
        </w:rPr>
        <w:t xml:space="preserve">Enterprise Platform Implementation: </w:t>
      </w:r>
      <w:r>
        <w:rPr>
          <w:rFonts w:ascii="Calibri" w:cs="Calibri" w:eastAsia="Calibri" w:hAnsi="Calibri"/>
          <w:color w:val="1A1A1A"/>
          <w:sz w:val="20"/>
          <w:szCs w:val="20"/>
        </w:rPr>
        <w:t xml:space="preserve">Directed SAP ERP and Salesforce CRM implementation across multiple properties — ensuring delivery governance, system adoption, and performance analytics alignment enterprise-wide.</w:t>
      </w:r>
    </w:p>
    <w:p>
      <w:pPr>
        <w:tabs>
          <w:tab w:val="right" w:pos="10224"/>
        </w:tabs>
        <w:spacing w:before="180" w:after="40"/>
      </w:pPr>
      <w:r>
        <w:rPr>
          <w:rFonts w:ascii="Calibri" w:cs="Calibri" w:eastAsia="Calibri" w:hAnsi="Calibri"/>
          <w:b/>
          <w:bCs/>
          <w:color w:val="1B2A4A"/>
          <w:sz w:val="22"/>
          <w:szCs w:val="22"/>
        </w:rPr>
        <w:t xml:space="preserve">Independent Consultant, Enterprise PMO &amp; Agile Governance</w:t>
      </w:r>
      <w:r>
        <w:rPr>
          <w:rFonts w:ascii="Calibri" w:cs="Calibri" w:eastAsia="Calibri" w:hAnsi="Calibri"/>
          <w:color w:val="444444"/>
          <w:sz w:val="20"/>
          <w:szCs w:val="20"/>
        </w:rPr>
        <w:t xml:space="preserve">  |  Selective Engagements</w:t>
      </w:r>
      <w:r>
        <w:rPr>
          <w:sz w:val="20"/>
          <w:szCs w:val="20"/>
        </w:rPr>
        <w:t xml:space="preserve">	</w:t>
      </w:r>
      <w:r>
        <w:rPr>
          <w:rFonts w:ascii="Calibri" w:cs="Calibri" w:eastAsia="Calibri" w:hAnsi="Calibri"/>
          <w:i/>
          <w:iCs/>
          <w:color w:val="767676"/>
          <w:sz w:val="20"/>
          <w:szCs w:val="20"/>
        </w:rPr>
        <w:t xml:space="preserve">2023 – 2024</w:t>
      </w:r>
    </w:p>
    <w:p>
      <w:pPr>
        <w:pStyle w:val="ListParagraph"/>
        <w:numPr>
          <w:ilvl w:val="0"/>
          <w:numId w:val="2"/>
        </w:numPr>
        <w:spacing w:before="40" w:after="40"/>
      </w:pPr>
      <w:r>
        <w:rPr>
          <w:rFonts w:ascii="Calibri" w:cs="Calibri" w:eastAsia="Calibri" w:hAnsi="Calibri"/>
          <w:b/>
          <w:bCs/>
          <w:color w:val="1A1A1A"/>
          <w:sz w:val="20"/>
          <w:szCs w:val="20"/>
        </w:rPr>
        <w:t xml:space="preserve">PMO-as-a-Service &amp; Rapid Maturity Scaling: </w:t>
      </w:r>
      <w:r>
        <w:rPr>
          <w:rFonts w:ascii="Calibri" w:cs="Calibri" w:eastAsia="Calibri" w:hAnsi="Calibri"/>
          <w:color w:val="1A1A1A"/>
          <w:sz w:val="20"/>
          <w:szCs w:val="20"/>
        </w:rPr>
        <w:t xml:space="preserve">Engaged by TECO Energy (Utility/Energy) to establish a PMO-as-a-Service governance model overseeing $150M in budget. Drove organizational maturity from 38% to 90% PMO compliance and data reliability in under 90 days — a repeatable, scalable approach to PMO standup and governance acceleration under executive mandate.</w:t>
      </w:r>
    </w:p>
    <w:p>
      <w:pPr>
        <w:pStyle w:val="ListParagraph"/>
        <w:numPr>
          <w:ilvl w:val="0"/>
          <w:numId w:val="2"/>
        </w:numPr>
        <w:spacing w:before="40" w:after="40"/>
      </w:pPr>
      <w:r>
        <w:rPr>
          <w:rFonts w:ascii="Calibri" w:cs="Calibri" w:eastAsia="Calibri" w:hAnsi="Calibri"/>
          <w:b/>
          <w:bCs/>
          <w:color w:val="1A1A1A"/>
          <w:sz w:val="20"/>
          <w:szCs w:val="20"/>
        </w:rPr>
        <w:t xml:space="preserve">Greenfield PMO Architecture: </w:t>
      </w:r>
      <w:r>
        <w:rPr>
          <w:rFonts w:ascii="Calibri" w:cs="Calibri" w:eastAsia="Calibri" w:hAnsi="Calibri"/>
          <w:color w:val="1A1A1A"/>
          <w:sz w:val="20"/>
          <w:szCs w:val="20"/>
        </w:rPr>
        <w:t xml:space="preserve">Built an enterprise Agile PMO from inception at Q5id (high-growth startup), establishing scalable governance practices, delivery standards, and portfolio visibility that directly enabled rapid investor funding validation and execution credibility with the board.</w:t>
      </w:r>
    </w:p>
    <w:p>
      <w:pPr>
        <w:tabs>
          <w:tab w:val="right" w:pos="10224"/>
        </w:tabs>
        <w:spacing w:before="180" w:after="40"/>
      </w:pPr>
      <w:r>
        <w:rPr>
          <w:rFonts w:ascii="Calibri" w:cs="Calibri" w:eastAsia="Calibri" w:hAnsi="Calibri"/>
          <w:b/>
          <w:bCs/>
          <w:color w:val="1B2A4A"/>
          <w:sz w:val="22"/>
          <w:szCs w:val="22"/>
        </w:rPr>
        <w:t xml:space="preserve">Beyondsoft</w:t>
      </w:r>
      <w:r>
        <w:rPr>
          <w:rFonts w:ascii="Calibri" w:cs="Calibri" w:eastAsia="Calibri" w:hAnsi="Calibri"/>
          <w:color w:val="444444"/>
          <w:sz w:val="20"/>
          <w:szCs w:val="20"/>
        </w:rPr>
        <w:t xml:space="preserve">  |  Bellevue, WA  (Primary Client: Toyota North America)</w:t>
      </w:r>
      <w:r>
        <w:rPr>
          <w:sz w:val="20"/>
          <w:szCs w:val="20"/>
        </w:rPr>
        <w:t xml:space="preserve">	</w:t>
      </w:r>
      <w:r>
        <w:rPr>
          <w:rFonts w:ascii="Calibri" w:cs="Calibri" w:eastAsia="Calibri" w:hAnsi="Calibri"/>
          <w:i/>
          <w:iCs/>
          <w:color w:val="767676"/>
          <w:sz w:val="20"/>
          <w:szCs w:val="20"/>
        </w:rPr>
        <w:t xml:space="preserve">2020 – 2023</w:t>
      </w:r>
    </w:p>
    <w:p>
      <w:pPr>
        <w:spacing w:before="0" w:after="80"/>
      </w:pPr>
      <w:r>
        <w:rPr>
          <w:rFonts w:ascii="Calibri" w:cs="Calibri" w:eastAsia="Calibri" w:hAnsi="Calibri"/>
          <w:b/>
          <w:bCs/>
          <w:color w:val="B8922C"/>
          <w:sz w:val="20"/>
          <w:szCs w:val="20"/>
        </w:rPr>
        <w:t xml:space="preserve">Director, Client &amp; Services Delivery</w:t>
      </w:r>
    </w:p>
    <w:p>
      <w:pPr>
        <w:pStyle w:val="ListParagraph"/>
        <w:numPr>
          <w:ilvl w:val="0"/>
          <w:numId w:val="2"/>
        </w:numPr>
        <w:spacing w:before="40" w:after="40"/>
      </w:pPr>
      <w:r>
        <w:rPr>
          <w:rFonts w:ascii="Calibri" w:cs="Calibri" w:eastAsia="Calibri" w:hAnsi="Calibri"/>
          <w:b/>
          <w:bCs/>
          <w:color w:val="1A1A1A"/>
          <w:sz w:val="20"/>
          <w:szCs w:val="20"/>
        </w:rPr>
        <w:t xml:space="preserve">$250M Portfolio Governance &amp; Delivery Standards: </w:t>
      </w:r>
      <w:r>
        <w:rPr>
          <w:rFonts w:ascii="Calibri" w:cs="Calibri" w:eastAsia="Calibri" w:hAnsi="Calibri"/>
          <w:color w:val="1A1A1A"/>
          <w:sz w:val="20"/>
          <w:szCs w:val="20"/>
        </w:rPr>
        <w:t xml:space="preserve">Owned full portfolio governance for Toyota North America's digital delivery program, establishing intake, prioritization, and performance reporting frameworks across a scaled Agile (SAFe) organization. Governance rigor drove a 30% increase in delivery velocity and a 200% improvement in content deployment throughput.</w:t>
      </w:r>
    </w:p>
    <w:p>
      <w:pPr>
        <w:pStyle w:val="ListParagraph"/>
        <w:numPr>
          <w:ilvl w:val="0"/>
          <w:numId w:val="2"/>
        </w:numPr>
        <w:spacing w:before="40" w:after="40"/>
      </w:pPr>
      <w:r>
        <w:rPr>
          <w:rFonts w:ascii="Calibri" w:cs="Calibri" w:eastAsia="Calibri" w:hAnsi="Calibri"/>
          <w:b/>
          <w:bCs/>
          <w:color w:val="1A1A1A"/>
          <w:sz w:val="20"/>
          <w:szCs w:val="20"/>
        </w:rPr>
        <w:t xml:space="preserve">Vendor Governance &amp; Cost Rationalization: </w:t>
      </w:r>
      <w:r>
        <w:rPr>
          <w:rFonts w:ascii="Calibri" w:cs="Calibri" w:eastAsia="Calibri" w:hAnsi="Calibri"/>
          <w:color w:val="1A1A1A"/>
          <w:sz w:val="20"/>
          <w:szCs w:val="20"/>
        </w:rPr>
        <w:t xml:space="preserve">Established structured vendor governance frameworks covering contract compliance, performance SLAs, and renegotiation cycles — driving 17% YoY cost reductions while improving delivery predictability and long-term partnership alignment.</w:t>
      </w:r>
    </w:p>
    <w:p>
      <w:pPr>
        <w:tabs>
          <w:tab w:val="right" w:pos="10224"/>
        </w:tabs>
        <w:spacing w:before="180" w:after="40"/>
      </w:pPr>
      <w:r>
        <w:rPr>
          <w:rFonts w:ascii="Calibri" w:cs="Calibri" w:eastAsia="Calibri" w:hAnsi="Calibri"/>
          <w:b/>
          <w:bCs/>
          <w:color w:val="1B2A4A"/>
          <w:sz w:val="22"/>
          <w:szCs w:val="22"/>
        </w:rPr>
        <w:t xml:space="preserve">LeadingAgile</w:t>
      </w:r>
      <w:r>
        <w:rPr>
          <w:rFonts w:ascii="Calibri" w:cs="Calibri" w:eastAsia="Calibri" w:hAnsi="Calibri"/>
          <w:color w:val="444444"/>
          <w:sz w:val="20"/>
          <w:szCs w:val="20"/>
        </w:rPr>
        <w:t xml:space="preserve">  |  Atlanta, GA</w:t>
      </w:r>
      <w:r>
        <w:rPr>
          <w:sz w:val="20"/>
          <w:szCs w:val="20"/>
        </w:rPr>
        <w:t xml:space="preserve">	</w:t>
      </w:r>
      <w:r>
        <w:rPr>
          <w:rFonts w:ascii="Calibri" w:cs="Calibri" w:eastAsia="Calibri" w:hAnsi="Calibri"/>
          <w:i/>
          <w:iCs/>
          <w:color w:val="767676"/>
          <w:sz w:val="20"/>
          <w:szCs w:val="20"/>
        </w:rPr>
        <w:t xml:space="preserve">2019 – 2020</w:t>
      </w:r>
    </w:p>
    <w:p>
      <w:pPr>
        <w:spacing w:before="0" w:after="80"/>
      </w:pPr>
      <w:r>
        <w:rPr>
          <w:rFonts w:ascii="Calibri" w:cs="Calibri" w:eastAsia="Calibri" w:hAnsi="Calibri"/>
          <w:b/>
          <w:bCs/>
          <w:color w:val="B8922C"/>
          <w:sz w:val="20"/>
          <w:szCs w:val="20"/>
        </w:rPr>
        <w:t xml:space="preserve">Managing Consultant, Enterprise Transformations</w:t>
      </w:r>
    </w:p>
    <w:p>
      <w:pPr>
        <w:pStyle w:val="ListParagraph"/>
        <w:numPr>
          <w:ilvl w:val="0"/>
          <w:numId w:val="2"/>
        </w:numPr>
        <w:spacing w:before="40" w:after="40"/>
      </w:pPr>
      <w:r>
        <w:rPr>
          <w:rFonts w:ascii="Calibri" w:cs="Calibri" w:eastAsia="Calibri" w:hAnsi="Calibri"/>
          <w:b/>
          <w:bCs/>
          <w:color w:val="1A1A1A"/>
          <w:sz w:val="20"/>
          <w:szCs w:val="20"/>
        </w:rPr>
        <w:t xml:space="preserve">PMO Methodology &amp; Executive Governance Advisory: </w:t>
      </w:r>
      <w:r>
        <w:rPr>
          <w:rFonts w:ascii="Calibri" w:cs="Calibri" w:eastAsia="Calibri" w:hAnsi="Calibri"/>
          <w:color w:val="1A1A1A"/>
          <w:sz w:val="20"/>
          <w:szCs w:val="20"/>
        </w:rPr>
        <w:t xml:space="preserve">Embedded as a senior governance advisor to C-suite leadership at Ford Motor Company and Lockheed Martin, designing enterprise-wide governance frameworks and long-range portfolio roadmaps (1-year and 3–5-year) that aligned capital allocation to strategic priorities and translated executive intent into structured, accountable operating models.</w:t>
      </w:r>
    </w:p>
    <w:p>
      <w:pPr>
        <w:pStyle w:val="ListParagraph"/>
        <w:numPr>
          <w:ilvl w:val="0"/>
          <w:numId w:val="2"/>
        </w:numPr>
        <w:spacing w:before="40" w:after="40"/>
      </w:pPr>
      <w:r>
        <w:rPr>
          <w:rFonts w:ascii="Calibri" w:cs="Calibri" w:eastAsia="Calibri" w:hAnsi="Calibri"/>
          <w:b/>
          <w:bCs/>
          <w:color w:val="1A1A1A"/>
          <w:sz w:val="20"/>
          <w:szCs w:val="20"/>
        </w:rPr>
        <w:t xml:space="preserve">Enterprise PMO Scaling &amp; Compliance Infrastructure: </w:t>
      </w:r>
      <w:r>
        <w:rPr>
          <w:rFonts w:ascii="Calibri" w:cs="Calibri" w:eastAsia="Calibri" w:hAnsi="Calibri"/>
          <w:color w:val="1A1A1A"/>
          <w:sz w:val="20"/>
          <w:szCs w:val="20"/>
        </w:rPr>
        <w:t xml:space="preserve">Designed and implemented the governance and communication infrastructure to scale portfolio delivery programs across 1,000+ team members — establishing enterprise-wide PMO consistency, compliance standards, and delivery transparency across all programs and geographies.</w:t>
      </w:r>
    </w:p>
    <w:p>
      <w:pPr>
        <w:tabs>
          <w:tab w:val="right" w:pos="10224"/>
        </w:tabs>
        <w:spacing w:before="180" w:after="40"/>
      </w:pPr>
      <w:r>
        <w:rPr>
          <w:rFonts w:ascii="Calibri" w:cs="Calibri" w:eastAsia="Calibri" w:hAnsi="Calibri"/>
          <w:b/>
          <w:bCs/>
          <w:color w:val="1B2A4A"/>
          <w:sz w:val="22"/>
          <w:szCs w:val="22"/>
        </w:rPr>
        <w:t xml:space="preserve">Boyd Gaming</w:t>
      </w:r>
      <w:r>
        <w:rPr>
          <w:rFonts w:ascii="Calibri" w:cs="Calibri" w:eastAsia="Calibri" w:hAnsi="Calibri"/>
          <w:color w:val="444444"/>
          <w:sz w:val="20"/>
          <w:szCs w:val="20"/>
        </w:rPr>
        <w:t xml:space="preserve">  |  Las Vegas, NV</w:t>
      </w:r>
      <w:r>
        <w:rPr>
          <w:sz w:val="20"/>
          <w:szCs w:val="20"/>
        </w:rPr>
        <w:t xml:space="preserve">	</w:t>
      </w:r>
      <w:r>
        <w:rPr>
          <w:rFonts w:ascii="Calibri" w:cs="Calibri" w:eastAsia="Calibri" w:hAnsi="Calibri"/>
          <w:i/>
          <w:iCs/>
          <w:color w:val="767676"/>
          <w:sz w:val="20"/>
          <w:szCs w:val="20"/>
        </w:rPr>
        <w:t xml:space="preserve">2015 – 2019</w:t>
      </w:r>
    </w:p>
    <w:p>
      <w:pPr>
        <w:spacing w:before="0" w:after="80"/>
      </w:pPr>
      <w:r>
        <w:rPr>
          <w:rFonts w:ascii="Calibri" w:cs="Calibri" w:eastAsia="Calibri" w:hAnsi="Calibri"/>
          <w:b/>
          <w:bCs/>
          <w:color w:val="B8922C"/>
          <w:sz w:val="20"/>
          <w:szCs w:val="20"/>
        </w:rPr>
        <w:t xml:space="preserve">Head of Agile &amp; DevOps Transformation</w:t>
      </w:r>
    </w:p>
    <w:p>
      <w:pPr>
        <w:pStyle w:val="ListParagraph"/>
        <w:numPr>
          <w:ilvl w:val="0"/>
          <w:numId w:val="2"/>
        </w:numPr>
        <w:spacing w:before="40" w:after="40"/>
      </w:pPr>
      <w:r>
        <w:rPr>
          <w:rFonts w:ascii="Calibri" w:cs="Calibri" w:eastAsia="Calibri" w:hAnsi="Calibri"/>
          <w:b/>
          <w:bCs/>
          <w:color w:val="1A1A1A"/>
          <w:sz w:val="20"/>
          <w:szCs w:val="20"/>
        </w:rPr>
        <w:t xml:space="preserve">PMO Evolution &amp; Delivery Model Transformation: </w:t>
      </w:r>
      <w:r>
        <w:rPr>
          <w:rFonts w:ascii="Calibri" w:cs="Calibri" w:eastAsia="Calibri" w:hAnsi="Calibri"/>
          <w:color w:val="1A1A1A"/>
          <w:sz w:val="20"/>
          <w:szCs w:val="20"/>
        </w:rPr>
        <w:t xml:space="preserve">Directed the strategic overhaul of Boyd Gaming's delivery function — retiring a rigid Waterfall PMO and architecting a modern Hybrid/Agile operating model that supported a company-wide transition to product-driven delivery. Established governance standards, team structures, and portfolio reporting that became the foundation for sustained delivery performance.</w:t>
      </w:r>
    </w:p>
    <w:p>
      <w:pPr>
        <w:pStyle w:val="ListParagraph"/>
        <w:numPr>
          <w:ilvl w:val="0"/>
          <w:numId w:val="2"/>
        </w:numPr>
        <w:spacing w:before="40" w:after="40"/>
      </w:pPr>
      <w:r>
        <w:rPr>
          <w:rFonts w:ascii="Calibri" w:cs="Calibri" w:eastAsia="Calibri" w:hAnsi="Calibri"/>
          <w:b/>
          <w:bCs/>
          <w:color w:val="1A1A1A"/>
          <w:sz w:val="20"/>
          <w:szCs w:val="20"/>
        </w:rPr>
        <w:t xml:space="preserve">Portfolio-Governed Product Launch: </w:t>
      </w:r>
      <w:r>
        <w:rPr>
          <w:rFonts w:ascii="Calibri" w:cs="Calibri" w:eastAsia="Calibri" w:hAnsi="Calibri"/>
          <w:color w:val="1A1A1A"/>
          <w:sz w:val="20"/>
          <w:szCs w:val="20"/>
        </w:rPr>
        <w:t xml:space="preserve">Oversaw the PMO governance framework enabling the design and deployment of Boyd Gaming's first online sports betting platform — a first-of-its-kind initiative requiring new delivery standards and disciplined risk management. Delivered a 25% reduction in delivery timelines and a 30% improvement in feature time-to-market.</w:t>
      </w:r>
    </w:p>
    <w:p>
      <w:pPr>
        <w:tabs>
          <w:tab w:val="right" w:pos="10224"/>
        </w:tabs>
        <w:spacing w:before="180" w:after="40"/>
      </w:pPr>
      <w:r>
        <w:rPr>
          <w:rFonts w:ascii="Calibri" w:cs="Calibri" w:eastAsia="Calibri" w:hAnsi="Calibri"/>
          <w:b/>
          <w:bCs/>
          <w:color w:val="1B2A4A"/>
          <w:sz w:val="22"/>
          <w:szCs w:val="22"/>
        </w:rPr>
        <w:t xml:space="preserve">Vantiv (acquired by Worldpay)</w:t>
      </w:r>
      <w:r>
        <w:rPr>
          <w:rFonts w:ascii="Calibri" w:cs="Calibri" w:eastAsia="Calibri" w:hAnsi="Calibri"/>
          <w:color w:val="444444"/>
          <w:sz w:val="20"/>
          <w:szCs w:val="20"/>
        </w:rPr>
        <w:t xml:space="preserve">  |  Cincinnati, OH</w:t>
      </w:r>
      <w:r>
        <w:rPr>
          <w:sz w:val="20"/>
          <w:szCs w:val="20"/>
        </w:rPr>
        <w:t xml:space="preserve">	</w:t>
      </w:r>
      <w:r>
        <w:rPr>
          <w:rFonts w:ascii="Calibri" w:cs="Calibri" w:eastAsia="Calibri" w:hAnsi="Calibri"/>
          <w:i/>
          <w:iCs/>
          <w:color w:val="767676"/>
          <w:sz w:val="20"/>
          <w:szCs w:val="20"/>
        </w:rPr>
        <w:t xml:space="preserve">2013 – 2015</w:t>
      </w:r>
    </w:p>
    <w:p>
      <w:pPr>
        <w:spacing w:before="0" w:after="80"/>
      </w:pPr>
      <w:r>
        <w:rPr>
          <w:rFonts w:ascii="Calibri" w:cs="Calibri" w:eastAsia="Calibri" w:hAnsi="Calibri"/>
          <w:b/>
          <w:bCs/>
          <w:color w:val="B8922C"/>
          <w:sz w:val="20"/>
          <w:szCs w:val="20"/>
        </w:rPr>
        <w:t xml:space="preserve">Director of PMO</w:t>
      </w:r>
    </w:p>
    <w:p>
      <w:pPr>
        <w:pStyle w:val="ListParagraph"/>
        <w:numPr>
          <w:ilvl w:val="0"/>
          <w:numId w:val="2"/>
        </w:numPr>
        <w:spacing w:before="40" w:after="40"/>
      </w:pPr>
      <w:r>
        <w:rPr>
          <w:rFonts w:ascii="Calibri" w:cs="Calibri" w:eastAsia="Calibri" w:hAnsi="Calibri"/>
          <w:b/>
          <w:bCs/>
          <w:color w:val="1A1A1A"/>
          <w:sz w:val="20"/>
          <w:szCs w:val="20"/>
        </w:rPr>
        <w:t xml:space="preserve">M&amp;A Financial Stewardship &amp; EPMO Scale-Up: </w:t>
      </w:r>
      <w:r>
        <w:rPr>
          <w:rFonts w:ascii="Calibri" w:cs="Calibri" w:eastAsia="Calibri" w:hAnsi="Calibri"/>
          <w:color w:val="1A1A1A"/>
          <w:sz w:val="20"/>
          <w:szCs w:val="20"/>
        </w:rPr>
        <w:t xml:space="preserve">Served as Technology Financial Steward and directed the PMO during Vantiv's $16.5B acquisition by Worldpay. Scaled the function to an Enterprise PMO (EPMO) critical to mitigating $35M in risk exposure during post-M&amp;A IT integration and capital management.</w:t>
      </w:r>
    </w:p>
    <w:p>
      <w:pPr>
        <w:pStyle w:val="ListParagraph"/>
        <w:numPr>
          <w:ilvl w:val="0"/>
          <w:numId w:val="2"/>
        </w:numPr>
        <w:spacing w:before="40" w:after="40"/>
      </w:pPr>
      <w:r>
        <w:rPr>
          <w:rFonts w:ascii="Calibri" w:cs="Calibri" w:eastAsia="Calibri" w:hAnsi="Calibri"/>
          <w:b/>
          <w:bCs/>
          <w:color w:val="1A1A1A"/>
          <w:sz w:val="20"/>
          <w:szCs w:val="20"/>
        </w:rPr>
        <w:t xml:space="preserve">PMO Standardization &amp; Cost Governance: </w:t>
      </w:r>
      <w:r>
        <w:rPr>
          <w:rFonts w:ascii="Calibri" w:cs="Calibri" w:eastAsia="Calibri" w:hAnsi="Calibri"/>
          <w:color w:val="1A1A1A"/>
          <w:sz w:val="20"/>
          <w:szCs w:val="20"/>
        </w:rPr>
        <w:t xml:space="preserve">Executed comprehensive tool rationalization and vendor governance — eliminating redundancy and enforcing enterprise delivery standards, resulting in a 15% capacity cost reduction while improving portfolio-wide process consistency.</w:t>
      </w:r>
    </w:p>
    <w:p>
      <w:pPr>
        <w:tabs>
          <w:tab w:val="right" w:pos="10224"/>
        </w:tabs>
        <w:spacing w:before="180" w:after="40"/>
      </w:pPr>
      <w:r>
        <w:rPr>
          <w:rFonts w:ascii="Calibri" w:cs="Calibri" w:eastAsia="Calibri" w:hAnsi="Calibri"/>
          <w:b/>
          <w:bCs/>
          <w:color w:val="1B2A4A"/>
          <w:sz w:val="22"/>
          <w:szCs w:val="22"/>
        </w:rPr>
        <w:t xml:space="preserve">Sapiens</w:t>
      </w:r>
      <w:r>
        <w:rPr>
          <w:rFonts w:ascii="Calibri" w:cs="Calibri" w:eastAsia="Calibri" w:hAnsi="Calibri"/>
          <w:color w:val="444444"/>
          <w:sz w:val="20"/>
          <w:szCs w:val="20"/>
        </w:rPr>
        <w:t xml:space="preserve">  |  Cincinnati, OH</w:t>
      </w:r>
      <w:r>
        <w:rPr>
          <w:sz w:val="20"/>
          <w:szCs w:val="20"/>
        </w:rPr>
        <w:t xml:space="preserve">	</w:t>
      </w:r>
      <w:r>
        <w:rPr>
          <w:rFonts w:ascii="Calibri" w:cs="Calibri" w:eastAsia="Calibri" w:hAnsi="Calibri"/>
          <w:i/>
          <w:iCs/>
          <w:color w:val="767676"/>
          <w:sz w:val="20"/>
          <w:szCs w:val="20"/>
        </w:rPr>
        <w:t xml:space="preserve">2010 – 2013</w:t>
      </w:r>
    </w:p>
    <w:p>
      <w:pPr>
        <w:spacing w:before="0" w:after="80"/>
      </w:pPr>
      <w:r>
        <w:rPr>
          <w:rFonts w:ascii="Calibri" w:cs="Calibri" w:eastAsia="Calibri" w:hAnsi="Calibri"/>
          <w:b/>
          <w:bCs/>
          <w:color w:val="B8922C"/>
          <w:sz w:val="20"/>
          <w:szCs w:val="20"/>
        </w:rPr>
        <w:t xml:space="preserve">Director, North America Project Engagement</w:t>
      </w:r>
    </w:p>
    <w:p>
      <w:pPr>
        <w:pStyle w:val="ListParagraph"/>
        <w:numPr>
          <w:ilvl w:val="0"/>
          <w:numId w:val="2"/>
        </w:numPr>
        <w:spacing w:before="40" w:after="40"/>
      </w:pPr>
      <w:r>
        <w:rPr>
          <w:rFonts w:ascii="Calibri" w:cs="Calibri" w:eastAsia="Calibri" w:hAnsi="Calibri"/>
          <w:b/>
          <w:bCs/>
          <w:color w:val="1A1A1A"/>
          <w:sz w:val="20"/>
          <w:szCs w:val="20"/>
        </w:rPr>
        <w:t xml:space="preserve">Greenfield PMO Build &amp; Global Governance Alignment: </w:t>
      </w:r>
      <w:r>
        <w:rPr>
          <w:rFonts w:ascii="Calibri" w:cs="Calibri" w:eastAsia="Calibri" w:hAnsi="Calibri"/>
          <w:color w:val="1A1A1A"/>
          <w:sz w:val="20"/>
          <w:szCs w:val="20"/>
        </w:rPr>
        <w:t xml:space="preserve">Built the North American PMO from the ground up, establishing delivery standards, reporting cadences, and governance structures aligned with corporate headquarters in Israel. Created the foundational PMO infrastructure enabling scalable, consistent delivery across a complex global engagement model.</w:t>
      </w:r>
    </w:p>
    <w:p>
      <w:pPr>
        <w:spacing w:before="80" w:after="40"/>
      </w:pPr>
      <w:r>
        <w:rPr>
          <w:rFonts w:ascii="Calibri" w:cs="Calibri" w:eastAsia="Calibri" w:hAnsi="Calibri"/>
          <w:b/>
          <w:bCs/>
          <w:color w:val="1B2A4A"/>
          <w:sz w:val="20"/>
          <w:szCs w:val="20"/>
        </w:rPr>
        <w:t xml:space="preserve">Earlier Career: </w:t>
      </w:r>
      <w:r>
        <w:rPr>
          <w:rFonts w:ascii="Calibri" w:cs="Calibri" w:eastAsia="Calibri" w:hAnsi="Calibri"/>
          <w:color w:val="444444"/>
          <w:sz w:val="20"/>
          <w:szCs w:val="20"/>
        </w:rPr>
        <w:t xml:space="preserve">Charles Schwab  ·  Koch Industries  ·  Fifth Third Bank  ·  Stanford University — Fortune 500 PMO, governance, and delivery leadership roles across financial services, energy, and higher education.</w:t>
      </w:r>
    </w:p>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CORE COMPETENCIES</w:t>
      </w:r>
    </w:p>
    <w:p>
      <w:pPr>
        <w:spacing w:before="80" w:after="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EPMO Architecture &amp; Design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Portfolio Governance &amp; Prioritization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M&amp;A Integration &amp; Transition</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Agile / SAFe Portfolio Management</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Risk Mitigation &amp; Compliance</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Capital Allocation &amp; Financial Governance</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Operating Model Design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Vendor Governance &amp; Negotiation</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Executive Advisory &amp; C-Suite Partnership</w:t>
            </w:r>
          </w:p>
        </w:tc>
      </w:tr>
      <w:tr>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KPI Frameworks &amp; Performance Analytics</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Organizational Change Management</w:t>
            </w:r>
          </w:p>
        </w:tc>
        <w:tc>
          <w:tcPr>
            <w:tcW w:type="dxa" w:w="3408"/>
            <w:tcBorders>
              <w:top w:val="none"/>
              <w:left w:val="none"/>
              <w:bottom w:val="none"/>
              <w:right w:val="none"/>
            </w:tcBorders>
            <w:tcMar>
              <w:top w:type="dxa" w:w="60"/>
              <w:left w:type="dxa" w:w="80"/>
              <w:bottom w:type="dxa" w:w="60"/>
              <w:right w:type="dxa" w:w="80"/>
            </w:tcMar>
          </w:tcPr>
          <w:p>
            <w:r>
              <w:rPr>
                <w:rFonts w:ascii="Calibri" w:cs="Calibri" w:eastAsia="Calibri" w:hAnsi="Calibri"/>
                <w:color w:val="1A1A1A"/>
                <w:sz w:val="18"/>
                <w:szCs w:val="18"/>
              </w:rPr>
              <w:t xml:space="preserve">◆  Delivery Velocity Acceleration</w:t>
            </w:r>
          </w:p>
        </w:tc>
      </w:tr>
    </w:tbl>
    <w:p>
      <w:pPr>
        <w:spacing w:before="140" w:after="0"/>
      </w:pPr>
    </w:p>
    <w:p>
      <w:pPr>
        <w:pBdr>
          <w:bottom w:val="single" w:color="C9A84C" w:sz="6" w:space="3"/>
        </w:pBdr>
        <w:spacing w:before="180" w:after="60"/>
      </w:pPr>
      <w:r>
        <w:rPr>
          <w:rFonts w:ascii="Calibri" w:cs="Calibri" w:eastAsia="Calibri" w:hAnsi="Calibri"/>
          <w:b/>
          <w:bCs/>
          <w:color w:val="1B2A4A"/>
          <w:spacing w:val="40"/>
          <w:sz w:val="22"/>
          <w:szCs w:val="22"/>
        </w:rPr>
        <w:t xml:space="preserve">EDUCATION | CERTIFICATIONS | ADVISORY</w:t>
      </w:r>
    </w:p>
    <w:p>
      <w:pPr>
        <w:pStyle w:val="ListParagraph"/>
        <w:numPr>
          <w:ilvl w:val="0"/>
          <w:numId w:val="2"/>
        </w:numPr>
        <w:spacing w:before="40" w:after="40"/>
      </w:pPr>
      <w:r>
        <w:rPr>
          <w:rFonts w:ascii="Calibri" w:cs="Calibri" w:eastAsia="Calibri" w:hAnsi="Calibri"/>
          <w:color w:val="1A1A1A"/>
          <w:sz w:val="20"/>
          <w:szCs w:val="20"/>
        </w:rPr>
        <w:t xml:space="preserve">B.S. International Business Management, Summa Cum Laude — Menlo College</w:t>
      </w:r>
    </w:p>
    <w:p>
      <w:pPr>
        <w:pStyle w:val="ListParagraph"/>
        <w:numPr>
          <w:ilvl w:val="0"/>
          <w:numId w:val="2"/>
        </w:numPr>
        <w:spacing w:before="40" w:after="40"/>
      </w:pPr>
      <w:r>
        <w:rPr>
          <w:rFonts w:ascii="Calibri" w:cs="Calibri" w:eastAsia="Calibri" w:hAnsi="Calibri"/>
          <w:color w:val="1A1A1A"/>
          <w:sz w:val="20"/>
          <w:szCs w:val="20"/>
        </w:rPr>
        <w:t xml:space="preserve">Certified Scrum Alliance / Agile Coaching Skills Certified Facilitator (ACSCF)</w:t>
      </w:r>
    </w:p>
    <w:p>
      <w:pPr>
        <w:pStyle w:val="ListParagraph"/>
        <w:numPr>
          <w:ilvl w:val="0"/>
          <w:numId w:val="2"/>
        </w:numPr>
        <w:spacing w:before="40" w:after="40"/>
      </w:pPr>
      <w:r>
        <w:rPr>
          <w:rFonts w:ascii="Calibri" w:cs="Calibri" w:eastAsia="Calibri" w:hAnsi="Calibri"/>
          <w:color w:val="1A1A1A"/>
          <w:sz w:val="20"/>
          <w:szCs w:val="20"/>
        </w:rPr>
        <w:t xml:space="preserve">Advisory Board Member, IceBox Consulting, Las Vegas (2017–2023)</w:t>
      </w:r>
    </w:p>
    <w:p>
      <w:pPr>
        <w:pStyle w:val="ListParagraph"/>
        <w:numPr>
          <w:ilvl w:val="0"/>
          <w:numId w:val="2"/>
        </w:numPr>
        <w:spacing w:before="40" w:after="40"/>
      </w:pPr>
      <w:r>
        <w:rPr>
          <w:rFonts w:ascii="Calibri" w:cs="Calibri" w:eastAsia="Calibri" w:hAnsi="Calibri"/>
          <w:color w:val="1A1A1A"/>
          <w:sz w:val="20"/>
          <w:szCs w:val="20"/>
        </w:rPr>
        <w:t xml:space="preserve">EQi Total 129 — High Emotional Intelligence, Top 15% nationally; recognized for executive stakeholder influence and change navigation</w:t>
      </w:r>
    </w:p>
    <w:p>
      <w:pPr>
        <w:pStyle w:val="ListParagraph"/>
        <w:numPr>
          <w:ilvl w:val="0"/>
          <w:numId w:val="2"/>
        </w:numPr>
        <w:spacing w:before="40" w:after="40"/>
      </w:pPr>
      <w:r>
        <w:rPr>
          <w:rFonts w:ascii="Calibri" w:cs="Calibri" w:eastAsia="Calibri" w:hAnsi="Calibri"/>
          <w:color w:val="1A1A1A"/>
          <w:sz w:val="20"/>
          <w:szCs w:val="20"/>
        </w:rPr>
        <w:t xml:space="preserve">Football Coaching Staff, Stanford University — Elite coordination and performance frameworks applied to enterprise execution leadership</w:t>
      </w:r>
    </w:p>
    <w:p>
      <w:pPr>
        <w:spacing w:before="120" w:after="0"/>
      </w:pP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Calibri" w:cs="Calibri" w:eastAsia="Calibri" w:hAnsi="Calibri"/>
        <w:color w:val="B8922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2026-03-16T16:02:43.295Z</dcterms:created>
  <dcterms:modified xsi:type="dcterms:W3CDTF">2026-03-16T16:02:43.296Z</dcterms:modified>
</cp:coreProperties>
</file>

<file path=docProps/custom.xml><?xml version="1.0" encoding="utf-8"?>
<Properties xmlns="http://schemas.openxmlformats.org/officeDocument/2006/custom-properties" xmlns:vt="http://schemas.openxmlformats.org/officeDocument/2006/docPropsVTypes"/>
</file>