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EDB8B" w14:textId="77777777" w:rsidR="00E5050D" w:rsidRPr="008B20D4" w:rsidRDefault="001D3085">
      <w:pPr>
        <w:spacing w:after="80"/>
        <w:rPr>
          <w:sz w:val="20"/>
          <w:szCs w:val="20"/>
        </w:rPr>
      </w:pPr>
      <w:r w:rsidRPr="008B20D4">
        <w:rPr>
          <w:rFonts w:ascii="Georgia" w:eastAsia="Georgia" w:hAnsi="Georgia" w:cs="Georgia"/>
          <w:b/>
          <w:bCs/>
          <w:color w:val="0A0F2E"/>
          <w:sz w:val="44"/>
          <w:szCs w:val="44"/>
        </w:rPr>
        <w:t>The Design Logic Behind Readiness OS</w:t>
      </w:r>
    </w:p>
    <w:p w14:paraId="3F6938C4" w14:textId="77777777" w:rsidR="00E5050D" w:rsidRDefault="001D3085">
      <w:pPr>
        <w:spacing w:after="80"/>
      </w:pPr>
      <w:r>
        <w:rPr>
          <w:rFonts w:ascii="Georgia" w:eastAsia="Georgia" w:hAnsi="Georgia" w:cs="Georgia"/>
          <w:i/>
          <w:iCs/>
          <w:color w:val="C9A84C"/>
          <w:sz w:val="24"/>
          <w:szCs w:val="24"/>
        </w:rPr>
        <w:t>A written account for Dr. Kerry Huang</w:t>
      </w:r>
    </w:p>
    <w:p w14:paraId="42B385CE" w14:textId="77777777" w:rsidR="00E5050D" w:rsidRDefault="001D3085">
      <w:pPr>
        <w:spacing w:after="60"/>
      </w:pPr>
      <w:r>
        <w:rPr>
          <w:color w:val="666666"/>
        </w:rPr>
        <w:t>What I decided to enforce. What I deliberately left to the human. And why.</w:t>
      </w:r>
    </w:p>
    <w:p w14:paraId="7C20F810" w14:textId="77777777" w:rsidR="00E5050D" w:rsidRDefault="00E5050D">
      <w:pPr>
        <w:pBdr>
          <w:bottom w:val="single" w:sz="8" w:space="1" w:color="C9A84C"/>
        </w:pBdr>
        <w:spacing w:before="80" w:after="320"/>
      </w:pPr>
    </w:p>
    <w:p w14:paraId="17D981EA" w14:textId="77777777" w:rsidR="00E5050D" w:rsidRDefault="001D3085">
      <w:pPr>
        <w:pStyle w:val="Heading1"/>
      </w:pPr>
      <w:r>
        <w:t>Where This Came From</w:t>
      </w:r>
    </w:p>
    <w:p w14:paraId="0E59AA7A" w14:textId="77777777" w:rsidR="00E5050D" w:rsidRDefault="001D3085">
      <w:pPr>
        <w:spacing w:after="120"/>
      </w:pPr>
      <w:r>
        <w:t>This document is not a product description. It is an attempt to write honestly about the design decisions behind Readiness OS in the way our exchanges have earned.</w:t>
      </w:r>
    </w:p>
    <w:p w14:paraId="20EDD434" w14:textId="77777777" w:rsidR="00E5050D" w:rsidRDefault="001D3085">
      <w:pPr>
        <w:spacing w:after="120"/>
      </w:pPr>
      <w:r>
        <w:t>The thinking behind this platform came from two completely different environments that kept pointing at the same gap.</w:t>
      </w:r>
    </w:p>
    <w:p w14:paraId="5EF2861C" w14:textId="77777777" w:rsidR="00E5050D" w:rsidRDefault="001D3085">
      <w:pPr>
        <w:spacing w:after="120"/>
      </w:pPr>
      <w:r>
        <w:t>Five years coaching football at Stanford. In that environment no situation arrived without a prepared response. Not because the program was smarter or better resourced. Because the preparation architecture existed before the moment arrived. Every scenario had been thought through during the offseason. Every role was defined. Every decision had been pre-committed. When the game situation arrived the response deployed what had already been built. The coach's job was done before the first play was called.</w:t>
      </w:r>
    </w:p>
    <w:p w14:paraId="190FDB5B" w14:textId="77777777" w:rsidR="00E5050D" w:rsidRDefault="001D3085">
      <w:pPr>
        <w:spacing w:after="120"/>
      </w:pPr>
      <w:r>
        <w:t>Twenty plus years inside Fortune 1000 organizations. In that environment I was repeatedly the person handed the ask after the floor had already given way. No defined outcomes. No staged response. No consideration of current capacity or what was already in motion. Just deliver. The organization had frameworks. It had methodologies. It had consultants. What it did not have was preparation that activated when the trigger fired.</w:t>
      </w:r>
    </w:p>
    <w:p w14:paraId="105EFD37" w14:textId="77777777" w:rsidR="00E5050D" w:rsidRDefault="001D3085">
      <w:pPr>
        <w:spacing w:after="120"/>
      </w:pPr>
      <w:r>
        <w:t xml:space="preserve">That contrast is the origin of every design decision </w:t>
      </w:r>
      <w:proofErr w:type="gramStart"/>
      <w:r>
        <w:t>in</w:t>
      </w:r>
      <w:proofErr w:type="gramEnd"/>
      <w:r>
        <w:t xml:space="preserve"> this platform. Not as a theoretical framework. As a direct observation from someone who lived on both sides of the gap and could not understand why organizations with far more resources than a football program chose not to prepare the way the program did.</w:t>
      </w:r>
    </w:p>
    <w:p w14:paraId="2724E194" w14:textId="77777777" w:rsidR="00E5050D" w:rsidRDefault="00E5050D">
      <w:pPr>
        <w:pBdr>
          <w:bottom w:val="single" w:sz="4" w:space="1" w:color="C9A84C"/>
        </w:pBdr>
        <w:spacing w:before="200" w:after="200"/>
      </w:pPr>
    </w:p>
    <w:p w14:paraId="4CEE9FE4" w14:textId="77777777" w:rsidR="00E5050D" w:rsidRDefault="001D3085">
      <w:pPr>
        <w:pStyle w:val="Heading1"/>
      </w:pPr>
      <w:r>
        <w:t>The Core Design Thesis</w:t>
      </w:r>
    </w:p>
    <w:p w14:paraId="7978BF59" w14:textId="77777777" w:rsidR="00E5050D" w:rsidRDefault="001D3085">
      <w:pPr>
        <w:spacing w:after="120"/>
      </w:pPr>
      <w:r>
        <w:t>The preparation architecture has to exist before the trigger fires. Not as documentation. Not as a trained behavior. As infrastructure that activates the moment the threshold is crossed.</w:t>
      </w:r>
    </w:p>
    <w:p w14:paraId="2851AB26" w14:textId="77777777" w:rsidR="00E5050D" w:rsidRDefault="001D3085">
      <w:pPr>
        <w:spacing w:after="120"/>
      </w:pPr>
      <w:r>
        <w:t>That thesis produced three specific design decisions that I want to explain honestly.</w:t>
      </w:r>
    </w:p>
    <w:p w14:paraId="601FA758" w14:textId="77777777" w:rsidR="00E5050D" w:rsidRDefault="001D3085">
      <w:pPr>
        <w:spacing w:after="120"/>
      </w:pPr>
      <w:r>
        <w:t>First. What the system enforces structurally versus what it leaves to human judgment.</w:t>
      </w:r>
    </w:p>
    <w:p w14:paraId="3963D34E" w14:textId="77777777" w:rsidR="00E5050D" w:rsidRDefault="001D3085">
      <w:pPr>
        <w:spacing w:after="120"/>
      </w:pPr>
      <w:r>
        <w:t xml:space="preserve">Second. Why </w:t>
      </w:r>
      <w:proofErr w:type="gramStart"/>
      <w:r>
        <w:t>the</w:t>
      </w:r>
      <w:proofErr w:type="gramEnd"/>
      <w:r>
        <w:t xml:space="preserve"> Close Out Gate exists and why those four fields specifically.</w:t>
      </w:r>
    </w:p>
    <w:p w14:paraId="45AE263C" w14:textId="77777777" w:rsidR="00E5050D" w:rsidRDefault="001D3085">
      <w:pPr>
        <w:spacing w:after="120"/>
      </w:pPr>
      <w:r>
        <w:t>Third. Where I drew the boundary between architecture and human capacity and why I drew it there.</w:t>
      </w:r>
    </w:p>
    <w:p w14:paraId="44FDAFE7" w14:textId="77777777" w:rsidR="00E5050D" w:rsidRDefault="00E5050D">
      <w:pPr>
        <w:pBdr>
          <w:bottom w:val="single" w:sz="4" w:space="1" w:color="C9A84C"/>
        </w:pBdr>
        <w:spacing w:before="200" w:after="200"/>
      </w:pPr>
    </w:p>
    <w:p w14:paraId="58E501F4" w14:textId="77777777" w:rsidR="008B20D4" w:rsidRDefault="008B20D4">
      <w:pPr>
        <w:pStyle w:val="Heading1"/>
      </w:pPr>
    </w:p>
    <w:p w14:paraId="5351FE2B" w14:textId="7CA8201D" w:rsidR="00E5050D" w:rsidRDefault="001D3085">
      <w:pPr>
        <w:pStyle w:val="Heading1"/>
      </w:pPr>
      <w:r>
        <w:lastRenderedPageBreak/>
        <w:t>What I Decided to Enforce Structurally</w:t>
      </w:r>
    </w:p>
    <w:p w14:paraId="0B909BE1" w14:textId="77777777" w:rsidR="00E5050D" w:rsidRDefault="001D3085">
      <w:pPr>
        <w:spacing w:after="120"/>
      </w:pPr>
      <w:r>
        <w:t>The system enforces six things before any execution begins.</w:t>
      </w:r>
    </w:p>
    <w:p w14:paraId="45B8BB90" w14:textId="77777777" w:rsidR="00E5050D" w:rsidRDefault="001D3085">
      <w:pPr>
        <w:spacing w:after="120"/>
      </w:pPr>
      <w:r>
        <w:t>The signal threshold. The organization defines in advance what combination of data points constitutes a trigger. Not a single metric. A defined threshold built from multiple data points across the organization's specific context. The system monitors continuously and fires when the threshold is crossed. This is enforced because threshold definition under pressure is impossible. The organization must decide what constitutes an emergency before it is in one.</w:t>
      </w:r>
    </w:p>
    <w:p w14:paraId="5B005F53" w14:textId="77777777" w:rsidR="00E5050D" w:rsidRDefault="001D3085">
      <w:pPr>
        <w:spacing w:after="120"/>
      </w:pPr>
      <w:r>
        <w:t>The protocol match. When the threshold is crossed the system matches the signal to the most relevant pre-staged protocol from the library. This is enforced because leaving protocol selection to the moment of pressure produces inconsistent outcomes. The selection happens before the pressure arrives.</w:t>
      </w:r>
    </w:p>
    <w:p w14:paraId="3855CF17" w14:textId="77777777" w:rsidR="00E5050D" w:rsidRDefault="001D3085">
      <w:pPr>
        <w:spacing w:after="120"/>
      </w:pPr>
      <w:r>
        <w:t>The four decision options. Before any execution begins the executive receives exactly four choices. Execute the pre-staged protocol exactly as built. Adjust the protocol before executing. Choose an entirely different protocol. Stand down with a governance record. This is enforced because it preserves executive authority while eliminating the blank screen problem. The executive is not handed a crisis and asked to improvise. They are handed a prepared response and asked to authorize or modify it.</w:t>
      </w:r>
    </w:p>
    <w:p w14:paraId="4EF67A53" w14:textId="77777777" w:rsidR="00E5050D" w:rsidRDefault="001D3085">
      <w:pPr>
        <w:spacing w:after="120"/>
      </w:pPr>
      <w:r>
        <w:t>The task deployment. When the executive authorizes the tasks deploy simultaneously to pre-assigned owners. Not sequentially. Not after a coordination meeting. Simultaneously. This is enforced because sequential deployment is the primary source of mobilization delay.</w:t>
      </w:r>
    </w:p>
    <w:p w14:paraId="60BF9B3E" w14:textId="77777777" w:rsidR="00E5050D" w:rsidRDefault="001D3085">
      <w:pPr>
        <w:spacing w:after="120"/>
      </w:pPr>
      <w:r>
        <w:t>The stakeholder notification. Pre-drafted communications go to pre-defined stakeholders through existing channels immediately upon authorization. Teams. Outlook. Email. This is enforced because communication under pressure is inconsistent by design. People say different things to different stakeholders. The pre-staged communications ensure consistency.</w:t>
      </w:r>
    </w:p>
    <w:p w14:paraId="31B3723D" w14:textId="77777777" w:rsidR="00E5050D" w:rsidRDefault="001D3085">
      <w:pPr>
        <w:spacing w:after="120"/>
      </w:pPr>
      <w:r>
        <w:t>The Close Out Gate. Before the debrief advances four fields must be completed. This is enforced because without structural enforcement the learning disappears. More on this below.</w:t>
      </w:r>
    </w:p>
    <w:p w14:paraId="4C326A65" w14:textId="77777777" w:rsidR="00E5050D" w:rsidRDefault="00E5050D">
      <w:pPr>
        <w:pBdr>
          <w:bottom w:val="single" w:sz="4" w:space="1" w:color="C9A84C"/>
        </w:pBdr>
        <w:spacing w:before="200" w:after="200"/>
      </w:pPr>
    </w:p>
    <w:p w14:paraId="45289589" w14:textId="77777777" w:rsidR="00E5050D" w:rsidRDefault="001D3085">
      <w:pPr>
        <w:pStyle w:val="Heading1"/>
      </w:pPr>
      <w:r>
        <w:t>What I Deliberately Left to the Human</w:t>
      </w:r>
    </w:p>
    <w:p w14:paraId="40FD7160" w14:textId="77777777" w:rsidR="00E5050D" w:rsidRDefault="001D3085">
      <w:pPr>
        <w:spacing w:after="120"/>
      </w:pPr>
      <w:r>
        <w:t>The system does not decide whether to act. The executive decides. Always.</w:t>
      </w:r>
    </w:p>
    <w:p w14:paraId="55F34A16" w14:textId="77777777" w:rsidR="00E5050D" w:rsidRDefault="001D3085">
      <w:pPr>
        <w:spacing w:after="120"/>
      </w:pPr>
      <w:r>
        <w:t xml:space="preserve">This was the most important design decision </w:t>
      </w:r>
      <w:proofErr w:type="gramStart"/>
      <w:r>
        <w:t>in</w:t>
      </w:r>
      <w:proofErr w:type="gramEnd"/>
      <w:r>
        <w:t xml:space="preserve"> the </w:t>
      </w:r>
      <w:proofErr w:type="gramStart"/>
      <w:r>
        <w:t>platform</w:t>
      </w:r>
      <w:proofErr w:type="gramEnd"/>
      <w:r>
        <w:t xml:space="preserve"> and I want to be precise about why I made it.</w:t>
      </w:r>
    </w:p>
    <w:p w14:paraId="716E2281" w14:textId="77777777" w:rsidR="00E5050D" w:rsidRDefault="001D3085">
      <w:pPr>
        <w:spacing w:after="120"/>
      </w:pPr>
      <w:r>
        <w:t xml:space="preserve">I could have built the system to execute automatically when a threshold is crossed. In financial infrastructure that is the right design. Machine speed decisions where the parameters are fully </w:t>
      </w:r>
      <w:proofErr w:type="gramStart"/>
      <w:r>
        <w:t>definable</w:t>
      </w:r>
      <w:proofErr w:type="gramEnd"/>
      <w:r>
        <w:t xml:space="preserve"> in advance and the accountability is mathematical.</w:t>
      </w:r>
    </w:p>
    <w:p w14:paraId="292E9A03" w14:textId="77777777" w:rsidR="00E5050D" w:rsidRDefault="001D3085">
      <w:pPr>
        <w:spacing w:after="120"/>
      </w:pPr>
      <w:r>
        <w:t>Strategic organizational response is different in kind. When an activist investor files a 13D the organization does not have a capital routing decision. It has an accountability decision. Who owns the response. What the board is told and when. What counsel is engaged and with what scope. What the public communication says. Those decisions carry legal exposure, reputational risk, and fiduciary responsibility that cannot be pre-coded because the accountability sits with a named human being not with a protocol</w:t>
      </w:r>
      <w:r>
        <w:t>.</w:t>
      </w:r>
    </w:p>
    <w:p w14:paraId="7BD73556" w14:textId="77777777" w:rsidR="00E5050D" w:rsidRDefault="001D3085">
      <w:pPr>
        <w:spacing w:after="120"/>
      </w:pPr>
      <w:r>
        <w:t xml:space="preserve">The boundary I drew is this. The architecture supplies everything that can be prepared in advance. The human carries everything that requires judgment about the specific moment. The </w:t>
      </w:r>
      <w:r>
        <w:lastRenderedPageBreak/>
        <w:t>four decision options preserve that boundary precisely. The preparation is complete. The authorization is human. The execution follows the authorization.</w:t>
      </w:r>
    </w:p>
    <w:p w14:paraId="0A2612B1" w14:textId="77777777" w:rsidR="00E5050D" w:rsidRDefault="001D3085">
      <w:pPr>
        <w:spacing w:after="120"/>
      </w:pPr>
      <w:r>
        <w:t>Removing that executive decision moment would not make the platform faster. It would make it ungovernable. The organizations I spent twenty years inside did not fail because decisions happened too slowly. They failed because nobody owned the decision when it arrived. The four options ensure that one person owns it every time.</w:t>
      </w:r>
    </w:p>
    <w:p w14:paraId="71A7B9E2" w14:textId="77777777" w:rsidR="00E5050D" w:rsidRDefault="00E5050D">
      <w:pPr>
        <w:pBdr>
          <w:bottom w:val="single" w:sz="4" w:space="1" w:color="C9A84C"/>
        </w:pBdr>
        <w:spacing w:before="200" w:after="200"/>
      </w:pPr>
    </w:p>
    <w:p w14:paraId="4A930C09" w14:textId="77777777" w:rsidR="00E5050D" w:rsidRDefault="001D3085">
      <w:pPr>
        <w:pStyle w:val="Heading1"/>
      </w:pPr>
      <w:r>
        <w:t>The Close Out Gate — Why Those Four Fields</w:t>
      </w:r>
    </w:p>
    <w:p w14:paraId="064195B5" w14:textId="77777777" w:rsidR="00E5050D" w:rsidRDefault="001D3085">
      <w:pPr>
        <w:spacing w:after="120"/>
      </w:pPr>
      <w:r>
        <w:t>The Close Out Gate blocks the debrief from advancing until four fields are completed. This design came directly from what you named in our spring exchanges about ownership as the thing that either transfers or does not.</w:t>
      </w:r>
    </w:p>
    <w:p w14:paraId="1D18EB77" w14:textId="77777777" w:rsidR="00E5050D" w:rsidRDefault="001D3085">
      <w:pPr>
        <w:spacing w:after="120"/>
      </w:pPr>
      <w:r>
        <w:t xml:space="preserve">The four fields are </w:t>
      </w:r>
      <w:proofErr w:type="gramStart"/>
      <w:r>
        <w:t>specific</w:t>
      </w:r>
      <w:proofErr w:type="gramEnd"/>
      <w:r>
        <w:t xml:space="preserve"> and I want to explain each one honestly.</w:t>
      </w:r>
    </w:p>
    <w:p w14:paraId="600DFC3C" w14:textId="77777777" w:rsidR="00E5050D" w:rsidRDefault="001D3085">
      <w:pPr>
        <w:pStyle w:val="Heading2"/>
      </w:pPr>
      <w:r>
        <w:t>What Held</w:t>
      </w:r>
    </w:p>
    <w:p w14:paraId="139278FE" w14:textId="77777777" w:rsidR="00E5050D" w:rsidRDefault="001D3085">
      <w:pPr>
        <w:spacing w:after="120"/>
      </w:pPr>
      <w:r>
        <w:t>This field asks which prepared response worked exactly as designed under live conditions. Not which tasks were completed. Which element of the preparation proved itself under actual pressure.</w:t>
      </w:r>
    </w:p>
    <w:p w14:paraId="75387107" w14:textId="77777777" w:rsidR="00E5050D" w:rsidRDefault="001D3085">
      <w:pPr>
        <w:spacing w:after="120"/>
      </w:pPr>
      <w:r>
        <w:t>This field exists because organizations have no mechanism for identifying what actually worked. Post-mortems describe what happened. They rarely identify what about the preparation was responsible for the positive outcome. Without naming what held the organization cannot deliberately replicate it.</w:t>
      </w:r>
    </w:p>
    <w:p w14:paraId="115501B2" w14:textId="77777777" w:rsidR="00E5050D" w:rsidRDefault="001D3085">
      <w:pPr>
        <w:pStyle w:val="Heading2"/>
      </w:pPr>
      <w:r>
        <w:t>What Did Not Hold</w:t>
      </w:r>
    </w:p>
    <w:p w14:paraId="052ECFBA" w14:textId="77777777" w:rsidR="00E5050D" w:rsidRDefault="001D3085">
      <w:pPr>
        <w:spacing w:after="120"/>
      </w:pPr>
      <w:r>
        <w:t>This field asks where the preparation failed or deviated under live pressure. Not where execution was poor. Where the preparation itself was insufficient for the actual conditions.</w:t>
      </w:r>
    </w:p>
    <w:p w14:paraId="6FE3BFAD" w14:textId="77777777" w:rsidR="00E5050D" w:rsidRDefault="001D3085">
      <w:pPr>
        <w:spacing w:after="120"/>
      </w:pPr>
      <w:r>
        <w:t>This field exists because the gap between preparation and reality is the most valuable learning the organization can capture. Every activation reveals something the preparation did not anticipate. That gap has to be named explicitly before it can be closed.</w:t>
      </w:r>
    </w:p>
    <w:p w14:paraId="0F3D3707" w14:textId="77777777" w:rsidR="00E5050D" w:rsidRDefault="001D3085">
      <w:pPr>
        <w:pStyle w:val="Heading2"/>
      </w:pPr>
      <w:r>
        <w:t>The Preparation Gap</w:t>
      </w:r>
    </w:p>
    <w:p w14:paraId="3A74BFAA" w14:textId="77777777" w:rsidR="00E5050D" w:rsidRDefault="001D3085">
      <w:pPr>
        <w:spacing w:after="120"/>
      </w:pPr>
      <w:r>
        <w:t>This field asks what conditions, decisions, or actors the protocol did not anticipate. It is the only optional field in the Close Out Gate.</w:t>
      </w:r>
    </w:p>
    <w:p w14:paraId="2BE9B879" w14:textId="77777777" w:rsidR="00E5050D" w:rsidRDefault="001D3085">
      <w:pPr>
        <w:spacing w:after="120"/>
      </w:pPr>
      <w:r>
        <w:t>It is optional because sometimes the preparation was sufficient and the gap field has nothing honest to contribute. Making it required when it is empty produces compliance without substance. I chose to leave it optional because forced completion of an empty field produces worse data than an honest blank.</w:t>
      </w:r>
    </w:p>
    <w:p w14:paraId="4056BA05" w14:textId="77777777" w:rsidR="00E5050D" w:rsidRDefault="001D3085">
      <w:pPr>
        <w:pStyle w:val="Heading2"/>
      </w:pPr>
      <w:r>
        <w:t>The One Thing to Encode</w:t>
      </w:r>
    </w:p>
    <w:p w14:paraId="5A2B3745" w14:textId="77777777" w:rsidR="00E5050D" w:rsidRDefault="001D3085">
      <w:pPr>
        <w:spacing w:after="120"/>
      </w:pPr>
      <w:r>
        <w:t>This field asks for the single change that gets built back into the protocol before the next activation. Not a list. One thing.</w:t>
      </w:r>
    </w:p>
    <w:p w14:paraId="46F429A8" w14:textId="77777777" w:rsidR="00E5050D" w:rsidRDefault="001D3085">
      <w:pPr>
        <w:spacing w:after="120"/>
      </w:pPr>
      <w:r>
        <w:t xml:space="preserve">The constraint to one is deliberate. Lists of lessons learned are the primary reason organizational learning disappears. They are too long to act on and too vague to implement. </w:t>
      </w:r>
      <w:r>
        <w:lastRenderedPageBreak/>
        <w:t>One specific change that can be built into the protocol before the next activation is the only form of learning that actually compounds.</w:t>
      </w:r>
    </w:p>
    <w:p w14:paraId="1FEEF8D6" w14:textId="77777777" w:rsidR="00E5050D" w:rsidRDefault="001D3085">
      <w:pPr>
        <w:spacing w:after="120"/>
      </w:pPr>
      <w:r>
        <w:t>The Close Out Gate as a whole exists because the preparation architecture and the learning architecture have to be connected by a structural enforcement mechanism. Without the gate the activation ends and the learning evaporates. With the gate the activation is not complete until the learning has been captured in a form that can be acted on.</w:t>
      </w:r>
    </w:p>
    <w:p w14:paraId="2DCCE550" w14:textId="77777777" w:rsidR="00E5050D" w:rsidRDefault="001D3085">
      <w:pPr>
        <w:spacing w:after="120"/>
      </w:pPr>
      <w:r>
        <w:t>That is the line you named in our exchanges. Architecture creates the conditions where the choice to ignore is no longer invisible. The Close Out Gate is that architecture applied to the learning moment.</w:t>
      </w:r>
    </w:p>
    <w:p w14:paraId="2885F10D" w14:textId="77777777" w:rsidR="00E5050D" w:rsidRDefault="00E5050D">
      <w:pPr>
        <w:pBdr>
          <w:bottom w:val="single" w:sz="4" w:space="1" w:color="C9A84C"/>
        </w:pBdr>
        <w:spacing w:before="200" w:after="200"/>
      </w:pPr>
    </w:p>
    <w:p w14:paraId="357D4209" w14:textId="77777777" w:rsidR="00E5050D" w:rsidRDefault="001D3085">
      <w:pPr>
        <w:pStyle w:val="Heading1"/>
      </w:pPr>
      <w:r>
        <w:t>The ADVANCE Loop — Why Three Activations</w:t>
      </w:r>
    </w:p>
    <w:p w14:paraId="215B2398" w14:textId="77777777" w:rsidR="00E5050D" w:rsidRDefault="001D3085">
      <w:pPr>
        <w:spacing w:after="120"/>
      </w:pPr>
      <w:r>
        <w:t>The ADVANCE loop classifies every protocol update as proven, disproven, or measuring. After three subsequent activations on the updated protocol the system classifies the hypothesis.</w:t>
      </w:r>
    </w:p>
    <w:p w14:paraId="40714D45" w14:textId="77777777" w:rsidR="00E5050D" w:rsidRDefault="001D3085">
      <w:pPr>
        <w:spacing w:after="120"/>
      </w:pPr>
      <w:r>
        <w:t>Three activations is not arbitrary. One activation produces a data point. Two produces a comparison. Three produces a pattern. A pattern is the minimum evidence base for a governance decision about whether to encode a change permanently or reverse it.</w:t>
      </w:r>
    </w:p>
    <w:p w14:paraId="55AE1BBE" w14:textId="77777777" w:rsidR="00E5050D" w:rsidRDefault="001D3085">
      <w:pPr>
        <w:spacing w:after="120"/>
      </w:pPr>
      <w:r>
        <w:t xml:space="preserve">The proven versus disproven binary is also deliberate. A scoring scale produces analysis paralysis. The organization spends time debating what a 6.7 out of 10 means for protocol design. Proven or disproven forces a binary judgment that produces action. Either the change improved the </w:t>
      </w:r>
      <w:proofErr w:type="gramStart"/>
      <w:r>
        <w:t>response</w:t>
      </w:r>
      <w:proofErr w:type="gramEnd"/>
      <w:r>
        <w:t xml:space="preserve"> or it did not. Either encode it permanently or reverse it.</w:t>
      </w:r>
    </w:p>
    <w:p w14:paraId="136B3366" w14:textId="77777777" w:rsidR="00E5050D" w:rsidRDefault="001D3085">
      <w:pPr>
        <w:spacing w:after="120"/>
      </w:pPr>
      <w:r>
        <w:t xml:space="preserve">The moat argument behind the ADVANCE loop is this. Every competitor in the coordination infrastructure space can be built from scratch in eighteen to </w:t>
      </w:r>
      <w:proofErr w:type="gramStart"/>
      <w:r>
        <w:t>twenty four</w:t>
      </w:r>
      <w:proofErr w:type="gramEnd"/>
      <w:r>
        <w:t xml:space="preserve"> months given sufficient capital. What cannot be rebuilt from scratch is three years of proven protocol improvements encoded from real activations. The institutional memory that compounds with every use is the only moat that is genuinely irreversible.</w:t>
      </w:r>
    </w:p>
    <w:p w14:paraId="129F8EB3" w14:textId="77777777" w:rsidR="00E5050D" w:rsidRDefault="00E5050D">
      <w:pPr>
        <w:pBdr>
          <w:bottom w:val="single" w:sz="4" w:space="1" w:color="C9A84C"/>
        </w:pBdr>
        <w:spacing w:before="200" w:after="200"/>
      </w:pPr>
    </w:p>
    <w:p w14:paraId="0E3216D0" w14:textId="77777777" w:rsidR="00E5050D" w:rsidRDefault="001D3085">
      <w:pPr>
        <w:pStyle w:val="Heading1"/>
      </w:pPr>
      <w:r>
        <w:t>Where I Drew the Boundary</w:t>
      </w:r>
    </w:p>
    <w:p w14:paraId="32A1DC5D" w14:textId="77777777" w:rsidR="00E5050D" w:rsidRDefault="001D3085">
      <w:pPr>
        <w:spacing w:after="120"/>
      </w:pPr>
      <w:r>
        <w:t>The line between what architecture can supply and what only human capacity can carry sits at the moment of authorization.</w:t>
      </w:r>
    </w:p>
    <w:p w14:paraId="068FBB79" w14:textId="77777777" w:rsidR="00E5050D" w:rsidRDefault="001D3085">
      <w:pPr>
        <w:spacing w:after="120"/>
      </w:pPr>
      <w:r>
        <w:t>Everything before that moment belongs to the architecture. Signal detection. Pattern matching. Protocol staging. Task assignment. Communication drafting. Stakeholder mapping. Budget routing. All of it is built before the trigger fires and deployed the moment the threshold is crossed.</w:t>
      </w:r>
    </w:p>
    <w:p w14:paraId="5317C2B5" w14:textId="77777777" w:rsidR="00E5050D" w:rsidRDefault="001D3085">
      <w:pPr>
        <w:spacing w:after="120"/>
      </w:pPr>
      <w:r>
        <w:t>The authorization moment belongs to the human. Not because the architecture could not automate it. Because the accountability for what follows the authorization cannot be delegated to a protocol. The human who authorizes the response owns the outcome. That ownership is the governance record the organization needs and the architecture cannot supply.</w:t>
      </w:r>
    </w:p>
    <w:p w14:paraId="51958AF8" w14:textId="77777777" w:rsidR="00E5050D" w:rsidRDefault="001D3085">
      <w:pPr>
        <w:spacing w:after="120"/>
      </w:pPr>
      <w:r>
        <w:t xml:space="preserve">After the authorization everything returns to the architecture. Task coordination. Stakeholder notification. Communication deployment. Progress tracking. Close Out Gate enforcement. </w:t>
      </w:r>
      <w:r>
        <w:lastRenderedPageBreak/>
        <w:t>ADVANCE loop classification. All of it runs without requiring the executive to manage the execution.</w:t>
      </w:r>
    </w:p>
    <w:p w14:paraId="7101378A" w14:textId="77777777" w:rsidR="00E5050D" w:rsidRDefault="001D3085">
      <w:pPr>
        <w:spacing w:after="120"/>
      </w:pPr>
      <w:r>
        <w:t>The boundary is narrow by design. One moment of human judgment surrounded by architecture that makes that judgment possible before the pressure arrives and accountable after it is made.</w:t>
      </w:r>
    </w:p>
    <w:p w14:paraId="56BC951A" w14:textId="77777777" w:rsidR="00E5050D" w:rsidRDefault="00E5050D">
      <w:pPr>
        <w:pBdr>
          <w:bottom w:val="single" w:sz="4" w:space="1" w:color="C9A84C"/>
        </w:pBdr>
        <w:spacing w:before="200" w:after="200"/>
      </w:pPr>
    </w:p>
    <w:p w14:paraId="1BB0FCE9" w14:textId="77777777" w:rsidR="00E5050D" w:rsidRDefault="001D3085">
      <w:pPr>
        <w:pStyle w:val="Heading1"/>
      </w:pPr>
      <w:r>
        <w:t>What I Have Not Yet Solved</w:t>
      </w:r>
    </w:p>
    <w:p w14:paraId="6FE330C9" w14:textId="77777777" w:rsidR="00E5050D" w:rsidRDefault="001D3085">
      <w:pPr>
        <w:spacing w:after="120"/>
      </w:pPr>
      <w:r>
        <w:t>I want to be honest about the gap your research keeps naming that the product has not yet closed.</w:t>
      </w:r>
    </w:p>
    <w:p w14:paraId="79D38D6C" w14:textId="77777777" w:rsidR="00E5050D" w:rsidRDefault="001D3085">
      <w:pPr>
        <w:spacing w:after="120"/>
      </w:pPr>
      <w:r>
        <w:t>The Close Out Gate enforces that the learning is captured. The ADVANCE loop enforces that the learning is classified and encoded. What neither of them yet fully addresses is whether the organization has developed enough operational trust in the prepared response to actually deploy it rather than reverting to the familiar default when the pressure arrives.</w:t>
      </w:r>
    </w:p>
    <w:p w14:paraId="43E5528F" w14:textId="77777777" w:rsidR="00E5050D" w:rsidRDefault="001D3085">
      <w:pPr>
        <w:spacing w:after="120"/>
      </w:pPr>
      <w:r>
        <w:t xml:space="preserve">The behavioral confidence gap you have been researching is real and I have seen it repeatedly. The infrastructure exists. The protocol exists. The executive has the four options in front of them. And they still call the same person they always call and start the familiar </w:t>
      </w:r>
      <w:proofErr w:type="gramStart"/>
      <w:r>
        <w:t>thirty day</w:t>
      </w:r>
      <w:proofErr w:type="gramEnd"/>
      <w:r>
        <w:t xml:space="preserve"> cycle anyway because the old behavior feels safer under pressure than the new infrastructure.</w:t>
      </w:r>
    </w:p>
    <w:p w14:paraId="4F9D0832" w14:textId="77777777" w:rsidR="00E5050D" w:rsidRDefault="001D3085">
      <w:pPr>
        <w:spacing w:after="120"/>
      </w:pPr>
      <w:r>
        <w:t>I believe the answer to that gap is activation history. The more times the organization deploys the platform under real conditions the more the institutional trust builds. The ADVANCE loop measures that trust indirectly through response time improvement. But the behavioral confidence layer you are mapping is upstream of what the architecture can currently measure.</w:t>
      </w:r>
    </w:p>
    <w:p w14:paraId="5650549B" w14:textId="77777777" w:rsidR="00E5050D" w:rsidRDefault="001D3085">
      <w:pPr>
        <w:spacing w:after="120"/>
      </w:pPr>
      <w:r>
        <w:t>That intersection between preparation architecture and behavioral confidence is where the next decade of this work sits. I believe you named that boundary more precisely than anyone else has and I wanted to acknowledge it honestly in this document.</w:t>
      </w:r>
    </w:p>
    <w:p w14:paraId="62CAB478" w14:textId="77777777" w:rsidR="00E5050D" w:rsidRDefault="00E5050D">
      <w:pPr>
        <w:pBdr>
          <w:bottom w:val="single" w:sz="4" w:space="1" w:color="C9A84C"/>
        </w:pBdr>
        <w:spacing w:before="200" w:after="200"/>
      </w:pPr>
    </w:p>
    <w:p w14:paraId="157A4A98" w14:textId="77777777" w:rsidR="00E5050D" w:rsidRDefault="001D3085">
      <w:pPr>
        <w:spacing w:before="80" w:after="80"/>
      </w:pPr>
      <w:r>
        <w:rPr>
          <w:rFonts w:ascii="Georgia" w:eastAsia="Georgia" w:hAnsi="Georgia" w:cs="Georgia"/>
          <w:b/>
          <w:bCs/>
          <w:i/>
          <w:iCs/>
          <w:color w:val="0A0F2E"/>
          <w:sz w:val="28"/>
          <w:szCs w:val="28"/>
        </w:rPr>
        <w:t>The response is ready before the trigger fires.</w:t>
      </w:r>
    </w:p>
    <w:p w14:paraId="0F8C6B62" w14:textId="77777777" w:rsidR="00E5050D" w:rsidRDefault="001D3085">
      <w:pPr>
        <w:spacing w:after="80"/>
      </w:pPr>
      <w:r>
        <w:rPr>
          <w:rFonts w:ascii="Georgia" w:eastAsia="Georgia" w:hAnsi="Georgia" w:cs="Georgia"/>
          <w:i/>
          <w:iCs/>
          <w:color w:val="666666"/>
        </w:rPr>
        <w:t>That is not a tagline. It is the design requirement every decision in this platform was built to meet.</w:t>
      </w:r>
    </w:p>
    <w:p w14:paraId="190050FE" w14:textId="77777777" w:rsidR="00E5050D" w:rsidRDefault="00E5050D">
      <w:pPr>
        <w:pBdr>
          <w:bottom w:val="single" w:sz="4" w:space="1" w:color="C9A84C"/>
        </w:pBdr>
        <w:spacing w:before="80" w:after="160"/>
      </w:pPr>
    </w:p>
    <w:p w14:paraId="3C2FD134" w14:textId="77777777" w:rsidR="00E5050D" w:rsidRDefault="001D3085">
      <w:r>
        <w:rPr>
          <w:color w:val="666666"/>
          <w:sz w:val="18"/>
          <w:szCs w:val="18"/>
        </w:rPr>
        <w:t>Martin Brunke  |  Founder, VaughnMartin  |  vaughnmartin.com</w:t>
      </w:r>
    </w:p>
    <w:sectPr w:rsidR="00E505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F5950"/>
    <w:multiLevelType w:val="hybridMultilevel"/>
    <w:tmpl w:val="9A30994A"/>
    <w:lvl w:ilvl="0" w:tplc="298C3CCC">
      <w:start w:val="1"/>
      <w:numFmt w:val="bullet"/>
      <w:lvlText w:val="●"/>
      <w:lvlJc w:val="left"/>
      <w:pPr>
        <w:ind w:left="720" w:hanging="360"/>
      </w:pPr>
    </w:lvl>
    <w:lvl w:ilvl="1" w:tplc="B0C05906">
      <w:start w:val="1"/>
      <w:numFmt w:val="bullet"/>
      <w:lvlText w:val="○"/>
      <w:lvlJc w:val="left"/>
      <w:pPr>
        <w:ind w:left="1440" w:hanging="360"/>
      </w:pPr>
    </w:lvl>
    <w:lvl w:ilvl="2" w:tplc="9F0277BE">
      <w:start w:val="1"/>
      <w:numFmt w:val="bullet"/>
      <w:lvlText w:val="■"/>
      <w:lvlJc w:val="left"/>
      <w:pPr>
        <w:ind w:left="2160" w:hanging="360"/>
      </w:pPr>
    </w:lvl>
    <w:lvl w:ilvl="3" w:tplc="0FAC8376">
      <w:start w:val="1"/>
      <w:numFmt w:val="bullet"/>
      <w:lvlText w:val="●"/>
      <w:lvlJc w:val="left"/>
      <w:pPr>
        <w:ind w:left="2880" w:hanging="360"/>
      </w:pPr>
    </w:lvl>
    <w:lvl w:ilvl="4" w:tplc="CB261BDC">
      <w:start w:val="1"/>
      <w:numFmt w:val="bullet"/>
      <w:lvlText w:val="○"/>
      <w:lvlJc w:val="left"/>
      <w:pPr>
        <w:ind w:left="3600" w:hanging="360"/>
      </w:pPr>
    </w:lvl>
    <w:lvl w:ilvl="5" w:tplc="380C8198">
      <w:start w:val="1"/>
      <w:numFmt w:val="bullet"/>
      <w:lvlText w:val="■"/>
      <w:lvlJc w:val="left"/>
      <w:pPr>
        <w:ind w:left="4320" w:hanging="360"/>
      </w:pPr>
    </w:lvl>
    <w:lvl w:ilvl="6" w:tplc="40F44D34">
      <w:start w:val="1"/>
      <w:numFmt w:val="bullet"/>
      <w:lvlText w:val="●"/>
      <w:lvlJc w:val="left"/>
      <w:pPr>
        <w:ind w:left="5040" w:hanging="360"/>
      </w:pPr>
    </w:lvl>
    <w:lvl w:ilvl="7" w:tplc="3D4AD3BC">
      <w:start w:val="1"/>
      <w:numFmt w:val="bullet"/>
      <w:lvlText w:val="●"/>
      <w:lvlJc w:val="left"/>
      <w:pPr>
        <w:ind w:left="5760" w:hanging="360"/>
      </w:pPr>
    </w:lvl>
    <w:lvl w:ilvl="8" w:tplc="91F61E36">
      <w:start w:val="1"/>
      <w:numFmt w:val="bullet"/>
      <w:lvlText w:val="●"/>
      <w:lvlJc w:val="left"/>
      <w:pPr>
        <w:ind w:left="6480" w:hanging="360"/>
      </w:pPr>
    </w:lvl>
  </w:abstractNum>
  <w:num w:numId="1" w16cid:durableId="8590054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50D"/>
    <w:rsid w:val="001D3085"/>
    <w:rsid w:val="008B20D4"/>
    <w:rsid w:val="00BB0A98"/>
    <w:rsid w:val="00E50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5D40C"/>
  <w15:docId w15:val="{4E51CB0B-C01F-4493-978E-B95E14834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A0F2E"/>
      <w:sz w:val="32"/>
      <w:szCs w:val="32"/>
    </w:rPr>
  </w:style>
  <w:style w:type="paragraph" w:styleId="Heading2">
    <w:name w:val="heading 2"/>
    <w:uiPriority w:val="9"/>
    <w:unhideWhenUsed/>
    <w:qFormat/>
    <w:pPr>
      <w:spacing w:before="240" w:after="80"/>
      <w:outlineLvl w:val="1"/>
    </w:pPr>
    <w:rPr>
      <w:b/>
      <w:bCs/>
      <w:color w:val="C9A84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1945</Words>
  <Characters>11090</Characters>
  <Application>Microsoft Office Word</Application>
  <DocSecurity>0</DocSecurity>
  <Lines>92</Lines>
  <Paragraphs>26</Paragraphs>
  <ScaleCrop>false</ScaleCrop>
  <Company/>
  <LinksUpToDate>false</LinksUpToDate>
  <CharactersWithSpaces>13009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Marty Brunke (CDI)</cp:lastModifiedBy>
  <cp:revision>2</cp:revision>
  <dcterms:created xsi:type="dcterms:W3CDTF">2026-06-05T16:38:00Z</dcterms:created>
  <dcterms:modified xsi:type="dcterms:W3CDTF">2026-06-05T16:38:00Z</dcterms:modified>
</cp:coreProperties>
</file>