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0A0F2E"/>
          <w:sz w:val="56"/>
          <w:szCs w:val="56"/>
        </w:rPr>
        <w:t xml:space="preserve">VaughnMartin</w:t>
      </w:r>
    </w:p>
    <w:p>
      <w:pPr>
        <w:spacing w:after="80"/>
      </w:pPr>
      <w:r>
        <w:rPr>
          <w:rFonts w:ascii="Georgia" w:cs="Georgia" w:eastAsia="Georgia" w:hAnsi="Georgia"/>
          <w:b/>
          <w:bCs/>
          <w:i/>
          <w:iCs/>
          <w:color w:val="C9A84C"/>
          <w:sz w:val="40"/>
          <w:szCs w:val="40"/>
        </w:rPr>
        <w:t xml:space="preserve">Readiness OS</w:t>
      </w:r>
    </w:p>
    <w:p>
      <w:pPr>
        <w:spacing w:after="40"/>
      </w:pPr>
      <w:r>
        <w:rPr>
          <w:rFonts w:ascii="Arial" w:cs="Arial" w:eastAsia="Arial" w:hAnsi="Arial"/>
          <w:color w:val="666666"/>
          <w:sz w:val="24"/>
          <w:szCs w:val="24"/>
        </w:rPr>
        <w:t xml:space="preserve">Product Overview &amp; Architecture</w:t>
      </w:r>
    </w:p>
    <w:p>
      <w:pPr>
        <w:spacing w:after="60"/>
      </w:pPr>
      <w:r>
        <w:rPr>
          <w:rFonts w:ascii="Arial" w:cs="Arial" w:eastAsia="Arial" w:hAnsi="Arial"/>
          <w:i/>
          <w:iCs/>
          <w:color w:val="666666"/>
          <w:sz w:val="18"/>
          <w:szCs w:val="18"/>
        </w:rPr>
        <w:t xml:space="preserve">June 2026 · Rev 50 · Confidential</w:t>
      </w:r>
    </w:p>
    <w:p>
      <w:pPr>
        <w:pBdr>
          <w:bottom w:val="single" w:color="C9A84C" w:sz="8" w:space="1"/>
        </w:pBdr>
        <w:spacing w:after="80" w:before="60"/>
      </w:pPr>
      <w:r>
        <w:t xml:space="preserve"/>
      </w:r>
    </w:p>
    <w:p>
      <w:pPr>
        <w:spacing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The response is ready before the trigger fires.</w:t>
            </w:r>
          </w:p>
        </w:tc>
      </w:tr>
    </w:tbl>
    <w:p>
      <w:pPr>
        <w:spacing w:after="280"/>
      </w:pPr>
      <w:r>
        <w:t xml:space="preserve"/>
      </w:r>
    </w:p>
    <w:p>
      <w:pPr>
        <w:spacing w:after="60" w:before="200"/>
      </w:pPr>
      <w:r>
        <w:rPr>
          <w:rFonts w:ascii="Arial" w:cs="Arial" w:eastAsia="Arial" w:hAnsi="Arial"/>
          <w:b/>
          <w:bCs/>
          <w:color w:val="C9A84C"/>
          <w:spacing w:val="80"/>
          <w:sz w:val="16"/>
          <w:szCs w:val="16"/>
        </w:rPr>
        <w:t xml:space="preserve">SECTION 01</w:t>
      </w:r>
    </w:p>
    <w:p>
      <w:pPr>
        <w:spacing w:after="120" w:before="320"/>
      </w:pPr>
      <w:r>
        <w:rPr>
          <w:rFonts w:ascii="Arial" w:cs="Arial" w:eastAsia="Arial" w:hAnsi="Arial"/>
          <w:b/>
          <w:bCs/>
          <w:color w:val="0A0F2E"/>
          <w:sz w:val="32"/>
          <w:szCs w:val="32"/>
        </w:rPr>
        <w:t xml:space="preserve">Product Overview</w:t>
      </w:r>
    </w:p>
    <w:p>
      <w:pPr>
        <w:spacing w:after="100"/>
      </w:pPr>
      <w:r>
        <w:rPr>
          <w:rFonts w:ascii="Arial" w:cs="Arial" w:eastAsia="Arial" w:hAnsi="Arial"/>
          <w:color w:val="333333"/>
          <w:sz w:val="20"/>
          <w:szCs w:val="20"/>
        </w:rPr>
        <w:t xml:space="preserve">VaughnMartin builds Readiness OS — coordination infrastructure for any organization, startup to Fortune 500.</w:t>
      </w:r>
    </w:p>
    <w:p>
      <w:pPr>
        <w:spacing w:after="100"/>
      </w:pPr>
      <w:r>
        <w:rPr>
          <w:rFonts w:ascii="Arial" w:cs="Arial" w:eastAsia="Arial" w:hAnsi="Arial"/>
          <w:color w:val="333333"/>
          <w:sz w:val="20"/>
          <w:szCs w:val="20"/>
        </w:rPr>
        <w:t xml:space="preserve">Readiness OS pre-stages project creation, task assignment, document staging, and budget allocation so the organization responds within 12 minutes of a strategic trigger firing — before the trigger fires.</w:t>
      </w:r>
    </w:p>
    <w:p>
      <w:pPr>
        <w:spacing w:after="80"/>
      </w:pPr>
      <w:r>
        <w:t xml:space="preserve"/>
      </w:r>
    </w:p>
    <w:p>
      <w:pPr>
        <w:spacing w:after="80" w:before="200"/>
      </w:pPr>
      <w:r>
        <w:rPr>
          <w:rFonts w:ascii="Arial" w:cs="Arial" w:eastAsia="Arial" w:hAnsi="Arial"/>
          <w:b/>
          <w:bCs/>
          <w:color w:val="C9A84C"/>
          <w:sz w:val="24"/>
          <w:szCs w:val="24"/>
        </w:rPr>
        <w:t xml:space="preserve">Thesis Arc</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Preparation → Readiness → Fearless</w:t>
            </w:r>
          </w:p>
        </w:tc>
      </w:tr>
    </w:tbl>
    <w:p>
      <w:pPr>
        <w:spacing w:after="120"/>
      </w:pPr>
      <w:r>
        <w:t xml:space="preserve"/>
      </w:r>
    </w:p>
    <w:p>
      <w:pPr>
        <w:spacing w:after="80" w:before="200"/>
      </w:pPr>
      <w:r>
        <w:rPr>
          <w:rFonts w:ascii="Arial" w:cs="Arial" w:eastAsia="Arial" w:hAnsi="Arial"/>
          <w:b/>
          <w:bCs/>
          <w:color w:val="C9A84C"/>
          <w:sz w:val="24"/>
          <w:szCs w:val="24"/>
        </w:rPr>
        <w:t xml:space="preserve">Target Market</w:t>
      </w:r>
    </w:p>
    <w:p>
      <w:pPr>
        <w:spacing w:after="100"/>
      </w:pPr>
      <w:r>
        <w:rPr>
          <w:rFonts w:ascii="Arial" w:cs="Arial" w:eastAsia="Arial" w:hAnsi="Arial"/>
          <w:color w:val="333333"/>
          <w:sz w:val="20"/>
          <w:szCs w:val="20"/>
        </w:rPr>
        <w:t xml:space="preserve">CEOs, CFOs, COOs, CIOs, CMOs, Chief Strategy Officers, Division Presidents, Board of Directors, and all C-suite and executive leadership roles across organizations of every size — startup to Fortune 500.</w:t>
      </w:r>
    </w:p>
    <w:p>
      <w:pPr>
        <w:spacing w:after="80"/>
      </w:pPr>
      <w:r>
        <w:t xml:space="preserve"/>
      </w:r>
    </w:p>
    <w:p>
      <w:pPr>
        <w:spacing w:after="80" w:before="200"/>
      </w:pPr>
      <w:r>
        <w:rPr>
          <w:rFonts w:ascii="Arial" w:cs="Arial" w:eastAsia="Arial" w:hAnsi="Arial"/>
          <w:b/>
          <w:bCs/>
          <w:color w:val="C9A84C"/>
          <w:sz w:val="24"/>
          <w:szCs w:val="24"/>
        </w:rPr>
        <w:t xml:space="preserve">Industry Scope</w:t>
      </w:r>
    </w:p>
    <w:p>
      <w:pPr>
        <w:spacing w:after="100"/>
      </w:pPr>
      <w:r>
        <w:rPr>
          <w:rFonts w:ascii="Arial" w:cs="Arial" w:eastAsia="Arial" w:hAnsi="Arial"/>
          <w:color w:val="333333"/>
          <w:sz w:val="20"/>
          <w:szCs w:val="20"/>
        </w:rPr>
        <w:t xml:space="preserve">Cross-industry by design. Financial services, manufacturing, healthcare, energy, retail, technology, and beyond. Any organization facing strategic velocity challenges.</w:t>
      </w:r>
    </w:p>
    <w:p>
      <w:pPr>
        <w:spacing w:after="80"/>
      </w:pPr>
      <w:r>
        <w:t xml:space="preserve"/>
      </w:r>
    </w:p>
    <w:p>
      <w:pPr>
        <w:spacing w:after="80" w:before="200"/>
      </w:pPr>
      <w:r>
        <w:rPr>
          <w:rFonts w:ascii="Arial" w:cs="Arial" w:eastAsia="Arial" w:hAnsi="Arial"/>
          <w:b/>
          <w:bCs/>
          <w:color w:val="C9A84C"/>
          <w:sz w:val="24"/>
          <w:szCs w:val="24"/>
        </w:rPr>
        <w:t xml:space="preserve">Executive Authority</w:t>
      </w:r>
    </w:p>
    <w:p>
      <w:pPr>
        <w:spacing w:after="100"/>
      </w:pPr>
      <w:r>
        <w:rPr>
          <w:rFonts w:ascii="Arial" w:cs="Arial" w:eastAsia="Arial" w:hAnsi="Arial"/>
          <w:color w:val="333333"/>
          <w:sz w:val="20"/>
          <w:szCs w:val="20"/>
        </w:rPr>
        <w:t xml:space="preserve">No protocol activates without executive authorization. AI monitors, scores signals, and recommends the right protocol. Executives decide. The decision is the same. The mobilization cycle surrounding it is compressed from 30 days to 12 minutes.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AI monitors. Executives decide. Execution pre-staged.</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02</w:t>
      </w:r>
    </w:p>
    <w:p>
      <w:pPr>
        <w:spacing w:after="120" w:before="320"/>
      </w:pPr>
      <w:r>
        <w:rPr>
          <w:rFonts w:ascii="Arial" w:cs="Arial" w:eastAsia="Arial" w:hAnsi="Arial"/>
          <w:b/>
          <w:bCs/>
          <w:color w:val="0A0F2E"/>
          <w:sz w:val="32"/>
          <w:szCs w:val="32"/>
        </w:rPr>
        <w:t xml:space="preserve">The Five Sequence Value Story</w:t>
      </w:r>
    </w:p>
    <w:p>
      <w:pPr>
        <w:spacing w:after="60"/>
      </w:pPr>
      <w:r>
        <w:t xml:space="preserve"/>
      </w:r>
    </w:p>
    <w:p>
      <w:pPr>
        <w:spacing w:after="80" w:before="200"/>
      </w:pPr>
      <w:r>
        <w:rPr>
          <w:rFonts w:ascii="Arial" w:cs="Arial" w:eastAsia="Arial" w:hAnsi="Arial"/>
          <w:b/>
          <w:bCs/>
          <w:color w:val="C9A84C"/>
          <w:sz w:val="24"/>
          <w:szCs w:val="24"/>
        </w:rPr>
        <w:t xml:space="preserve">Sequence 1 — Name Every Situation</w:t>
      </w:r>
    </w:p>
    <w:p>
      <w:pPr>
        <w:spacing w:after="100"/>
      </w:pPr>
      <w:r>
        <w:rPr>
          <w:rFonts w:ascii="Arial" w:cs="Arial" w:eastAsia="Arial" w:hAnsi="Arial"/>
          <w:color w:val="333333"/>
          <w:sz w:val="20"/>
          <w:szCs w:val="20"/>
        </w:rPr>
        <w:t xml:space="preserve">Organizations define every scenario they might face using 180 pre-built Readiness Protocols across 9 strategic domains plus 30 compound protocols for dual-track cross-domain crises. 210 total protocols.</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40"/>
        <w:gridCol w:w="3600"/>
      </w:tblGrid>
      <w:tr>
        <w:tc>
          <w:tcPr>
            <w:tcW w:type="dxa" w:w="50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Strategic Domain</w:t>
            </w:r>
          </w:p>
        </w:tc>
        <w:tc>
          <w:tcPr>
            <w:tcW w:type="dxa" w:w="36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Protocols</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Financial Strategy</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Market Dynamics</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22</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Operational Excellence</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21</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Technology &amp; Innovation</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20</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 Governance</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19</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Market Opportunities</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Brand &amp; Reputation</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17</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Regulatory &amp; Compliance</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15</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Talent &amp; Leadership</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14</w:t>
            </w:r>
          </w:p>
        </w:tc>
      </w:tr>
    </w:tbl>
    <w:p>
      <w:pPr>
        <w:spacing w:after="120"/>
      </w:pPr>
      <w:r>
        <w:t xml:space="preserve"/>
      </w:r>
    </w:p>
    <w:p>
      <w:pPr>
        <w:spacing w:after="80" w:before="200"/>
      </w:pPr>
      <w:r>
        <w:rPr>
          <w:rFonts w:ascii="Arial" w:cs="Arial" w:eastAsia="Arial" w:hAnsi="Arial"/>
          <w:b/>
          <w:bCs/>
          <w:color w:val="C9A84C"/>
          <w:sz w:val="24"/>
          <w:szCs w:val="24"/>
        </w:rPr>
        <w:t xml:space="preserve">Sequence 2 — Define the Threshold</w:t>
      </w:r>
    </w:p>
    <w:p>
      <w:pPr>
        <w:spacing w:after="100"/>
      </w:pPr>
      <w:r>
        <w:rPr>
          <w:rFonts w:ascii="Arial" w:cs="Arial" w:eastAsia="Arial" w:hAnsi="Arial"/>
          <w:color w:val="333333"/>
          <w:sz w:val="20"/>
          <w:szCs w:val="20"/>
        </w:rPr>
        <w:t xml:space="preserve">Organizations define 248+ data points across 20 signal categories that when combined signal a strategic trigger. The system monitors continuously in 15-minute cycles across 39 live data sources. 221 trigger patterns monitored.</w:t>
      </w:r>
    </w:p>
    <w:p>
      <w:pPr>
        <w:spacing w:after="120"/>
      </w:pPr>
      <w:r>
        <w:t xml:space="preserve"/>
      </w:r>
    </w:p>
    <w:p>
      <w:pPr>
        <w:spacing w:after="80" w:before="200"/>
      </w:pPr>
      <w:r>
        <w:rPr>
          <w:rFonts w:ascii="Arial" w:cs="Arial" w:eastAsia="Arial" w:hAnsi="Arial"/>
          <w:b/>
          <w:bCs/>
          <w:color w:val="C9A84C"/>
          <w:sz w:val="24"/>
          <w:szCs w:val="24"/>
        </w:rPr>
        <w:t xml:space="preserve">Sequence 3 — Four Executive Choices at Threshold</w:t>
      </w:r>
    </w:p>
    <w:p>
      <w:pPr>
        <w:spacing w:after="100"/>
      </w:pPr>
      <w:r>
        <w:rPr>
          <w:rFonts w:ascii="Arial" w:cs="Arial" w:eastAsia="Arial" w:hAnsi="Arial"/>
          <w:color w:val="333333"/>
          <w:sz w:val="20"/>
          <w:szCs w:val="20"/>
        </w:rPr>
        <w:t xml:space="preserve">When the threshold is crossed executives receive four structured choices. One executive decision unlocks everything simultaneously. No committee. No meeting. No thirty days.</w:t>
      </w:r>
    </w:p>
    <w:p>
      <w:pPr>
        <w:spacing w:after="80"/>
      </w:pPr>
      <w:r>
        <w:t xml:space="preserve"/>
      </w:r>
    </w:p>
    <w:p>
      <w:pPr>
        <w:spacing w:after="60"/>
        <w:ind w:left="360" w:hanging="240"/>
      </w:pPr>
      <w:r>
        <w:rPr>
          <w:rFonts w:ascii="Arial" w:cs="Arial" w:eastAsia="Arial" w:hAnsi="Arial"/>
          <w:b/>
          <w:bCs/>
          <w:color w:val="C9A84C"/>
          <w:sz w:val="20"/>
          <w:szCs w:val="20"/>
        </w:rPr>
        <w:t xml:space="preserve">• </w:t>
      </w:r>
      <w:r>
        <w:rPr>
          <w:rFonts w:ascii="Arial" w:cs="Arial" w:eastAsia="Arial" w:hAnsi="Arial"/>
          <w:b/>
          <w:bCs/>
          <w:color w:val="333333"/>
          <w:sz w:val="20"/>
          <w:szCs w:val="20"/>
        </w:rPr>
        <w:t xml:space="preserve">Execute the protocol exactly as pre-staged — full activation no changes</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Adjust the protocol before executing — Audible Called</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Choose an entirely different protocol from the library</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Stand down with a governance record — timestamped explicit decision not to act</w:t>
      </w:r>
    </w:p>
    <w:p>
      <w:pPr>
        <w:spacing w:after="120"/>
      </w:pPr>
      <w:r>
        <w:t xml:space="preserve"/>
      </w:r>
    </w:p>
    <w:p>
      <w:pPr>
        <w:spacing w:after="80" w:before="200"/>
      </w:pPr>
      <w:r>
        <w:rPr>
          <w:rFonts w:ascii="Arial" w:cs="Arial" w:eastAsia="Arial" w:hAnsi="Arial"/>
          <w:b/>
          <w:bCs/>
          <w:color w:val="C9A84C"/>
          <w:sz w:val="24"/>
          <w:szCs w:val="24"/>
        </w:rPr>
        <w:t xml:space="preserve">Sequence 4 — Coordinate Through Your Existing Stack</w:t>
      </w:r>
    </w:p>
    <w:p>
      <w:pPr>
        <w:spacing w:after="100"/>
      </w:pPr>
      <w:r>
        <w:rPr>
          <w:rFonts w:ascii="Arial" w:cs="Arial" w:eastAsia="Arial" w:hAnsi="Arial"/>
          <w:color w:val="333333"/>
          <w:sz w:val="20"/>
          <w:szCs w:val="20"/>
        </w:rPr>
        <w:t xml:space="preserve">Execution coordinates through whatever technology stack the organization already owns. 55+ pre-built connectors. Microsoft Teams, Outlook, SharePoint, and Entra are live today. Salesforce, ServiceNow, Slack, Jira, Asana, and more. No rip and replace. Readiness OS is the operating model layer above the existing investment.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Every enterprise has Microsoft's AI stack. None have the operating model to use it.</w:t>
            </w:r>
          </w:p>
        </w:tc>
      </w:tr>
    </w:tbl>
    <w:p>
      <w:pPr>
        <w:spacing w:after="120"/>
      </w:pPr>
      <w:r>
        <w:t xml:space="preserve"/>
      </w:r>
    </w:p>
    <w:p>
      <w:pPr>
        <w:spacing w:after="80" w:before="200"/>
      </w:pPr>
      <w:r>
        <w:rPr>
          <w:rFonts w:ascii="Arial" w:cs="Arial" w:eastAsia="Arial" w:hAnsi="Arial"/>
          <w:b/>
          <w:bCs/>
          <w:color w:val="C9A84C"/>
          <w:sz w:val="24"/>
          <w:szCs w:val="24"/>
        </w:rPr>
        <w:t xml:space="preserve">Sequence 5 — Encode Every Learning</w:t>
      </w:r>
    </w:p>
    <w:p>
      <w:pPr>
        <w:spacing w:after="100"/>
      </w:pPr>
      <w:r>
        <w:rPr>
          <w:rFonts w:ascii="Arial" w:cs="Arial" w:eastAsia="Arial" w:hAnsi="Arial"/>
          <w:color w:val="333333"/>
          <w:sz w:val="20"/>
          <w:szCs w:val="20"/>
        </w:rPr>
        <w:t xml:space="preserve">Every activation encodes what was learned back into preparation before the next trigger arrives through the ADVANCE loop. Causal hypothesis classification. Proven or disproven after three subsequent activations. The platform gets measurably smarter with every use. The moat compounds.</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03</w:t>
      </w:r>
    </w:p>
    <w:p>
      <w:pPr>
        <w:spacing w:after="120" w:before="320"/>
      </w:pPr>
      <w:r>
        <w:rPr>
          <w:rFonts w:ascii="Arial" w:cs="Arial" w:eastAsia="Arial" w:hAnsi="Arial"/>
          <w:b/>
          <w:bCs/>
          <w:color w:val="0A0F2E"/>
          <w:sz w:val="32"/>
          <w:szCs w:val="32"/>
        </w:rPr>
        <w:t xml:space="preserve">The IDEA Framework™</w:t>
      </w:r>
    </w:p>
    <w:p>
      <w:pPr>
        <w:spacing w:after="100"/>
      </w:pPr>
      <w:r>
        <w:rPr>
          <w:rFonts w:ascii="Arial" w:cs="Arial" w:eastAsia="Arial" w:hAnsi="Arial"/>
          <w:color w:val="333333"/>
          <w:sz w:val="20"/>
          <w:szCs w:val="20"/>
        </w:rPr>
        <w:t xml:space="preserve">The platform's internal execution model uses four named phases delivering a complete cycle from signal detection to institutional learning.</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6720"/>
      </w:tblGrid>
      <w:tr>
        <w:tc>
          <w:tcPr>
            <w:tcW w:type="dxa" w:w="4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67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What It Delivers</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I</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IDENTIFY</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Pre-staged protocol recognized. Decision rights mapped before pressure arrives. Nothing improvised.</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DETECT</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Signal monitoring fires. 248+ data points scored against 221 trigger patterns in real time.</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EXECUTE</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Executive authorizes. 12 minutes from threshold to live coordinated execution.</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ADVANCE</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Institutional learning encoded. Proven or disproven after three activations. Moat compounds.</w:t>
            </w:r>
          </w:p>
        </w:tc>
      </w:tr>
    </w:tbl>
    <w:p>
      <w:pPr>
        <w:spacing w:after="120"/>
      </w:pPr>
      <w:r>
        <w:t xml:space="preserve"/>
      </w:r>
    </w:p>
    <w:p>
      <w:pPr>
        <w:spacing w:after="100"/>
      </w:pPr>
      <w:r>
        <w:rPr>
          <w:rFonts w:ascii="Arial" w:cs="Arial" w:eastAsia="Arial" w:hAnsi="Arial"/>
          <w:color w:val="333333"/>
          <w:sz w:val="20"/>
          <w:szCs w:val="20"/>
        </w:rPr>
        <w:t xml:space="preserve">External marketing describes five organizational outcomes: PREPARE → DETECT → DECIDE → EXECUTE → LEARN. These describe what enterprises gain organizationally. The four IDEA phases describe how the platform delivers each cycle mechanically. Both are accurate at different levels of abstraction.</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04</w:t>
      </w:r>
    </w:p>
    <w:p>
      <w:pPr>
        <w:spacing w:after="120" w:before="320"/>
      </w:pPr>
      <w:r>
        <w:rPr>
          <w:rFonts w:ascii="Arial" w:cs="Arial" w:eastAsia="Arial" w:hAnsi="Arial"/>
          <w:b/>
          <w:bCs/>
          <w:color w:val="0A0F2E"/>
          <w:sz w:val="32"/>
          <w:szCs w:val="32"/>
        </w:rPr>
        <w:t xml:space="preserve">Canonical Metrics</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Canonical Value</w:t>
            </w:r>
          </w:p>
        </w:tc>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Readiness Protocols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180 core + 30 compound = 210 total</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User-facing canonical count</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Strategic Domains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9</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User-facing canonical metric</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Executive Triggers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221</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User-facing canonical metric</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Signal Data Points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248+</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Always with + suffix</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Live Data Sources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39 RSS feeds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Polled every 15 minutes continuously</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Execution Head Start</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3,600×</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30 days ÷ 12 minutes = 3,600×</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Mobilization Baseline</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30 days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Industry standard mobilization cycle</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Readiness OS Response</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12 minutes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Threshold to coordinated execution</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Connectors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55+</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Pre-built connector catalog</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Live</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4 connectors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Teams · Outlook · SharePoint · Entra</w:t>
            </w:r>
          </w:p>
        </w:tc>
      </w:tr>
    </w:tbl>
    <w:p>
      <w:pPr>
        <w:spacing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30 days compressed to 12 minutes. That is not a speed advantage. That is a structural advantage.</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05</w:t>
      </w:r>
    </w:p>
    <w:p>
      <w:pPr>
        <w:spacing w:after="120" w:before="320"/>
      </w:pPr>
      <w:r>
        <w:rPr>
          <w:rFonts w:ascii="Arial" w:cs="Arial" w:eastAsia="Arial" w:hAnsi="Arial"/>
          <w:b/>
          <w:bCs/>
          <w:color w:val="0A0F2E"/>
          <w:sz w:val="32"/>
          <w:szCs w:val="32"/>
        </w:rPr>
        <w:t xml:space="preserve">Enterprise Pricing — Locked May 2026</w:t>
      </w:r>
    </w:p>
    <w:p>
      <w:pPr>
        <w:spacing w:after="60"/>
      </w:pPr>
      <w:r>
        <w:t xml:space="preserve"/>
      </w:r>
    </w:p>
    <w:p>
      <w:pPr>
        <w:spacing w:after="80" w:before="200"/>
      </w:pPr>
      <w:r>
        <w:rPr>
          <w:rFonts w:ascii="Arial" w:cs="Arial" w:eastAsia="Arial" w:hAnsi="Arial"/>
          <w:b/>
          <w:bCs/>
          <w:color w:val="C9A84C"/>
          <w:sz w:val="24"/>
          <w:szCs w:val="24"/>
        </w:rPr>
        <w:t xml:space="preserve">Enterprise Tiers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5040"/>
      </w:tblGrid>
      <w:tr>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9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Annual Price</w:t>
            </w:r>
          </w:p>
        </w:tc>
        <w:tc>
          <w:tcPr>
            <w:tcW w:type="dxa" w:w="50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What You Get</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Core</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$250,000/yr</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Readiness OS platform. 180 Readiness Protocols. Continuous signal monitoring. 12-minute response orchestration. The complete operating model.</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Foresight</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$450,000/yr</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Everything in Core plus Digital Twin simulation (Shadow Strategy Simulator) and predictive foresight alerts. War-gaming responses to triggers that have not fired yet.</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Enterprise</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$750K–$1.5M/yr</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Everything in Foresight plus autonomous evolution network. Protocols that improve in aggregate across every client activation. Multi-entity and global deployments.</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Founding Partner</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$75,000 (90-day)</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Entry path. 100% credited to Year 1 subscription. Structured validation partnership with defined milestones and conversion conversation at day 90.</w:t>
            </w:r>
          </w:p>
        </w:tc>
      </w:tr>
    </w:tbl>
    <w:p>
      <w:pPr>
        <w:spacing w:after="160"/>
      </w:pPr>
      <w:r>
        <w:t xml:space="preserve"/>
      </w:r>
    </w:p>
    <w:p>
      <w:pPr>
        <w:spacing w:after="80" w:before="200"/>
      </w:pPr>
      <w:r>
        <w:rPr>
          <w:rFonts w:ascii="Arial" w:cs="Arial" w:eastAsia="Arial" w:hAnsi="Arial"/>
          <w:b/>
          <w:bCs/>
          <w:color w:val="C9A84C"/>
          <w:sz w:val="24"/>
          <w:szCs w:val="24"/>
        </w:rPr>
        <w:t xml:space="preserve">Growth Segment — Permanent Product Track</w:t>
      </w:r>
    </w:p>
    <w:p>
      <w:pPr>
        <w:spacing w:after="100"/>
      </w:pPr>
      <w:r>
        <w:rPr>
          <w:rFonts w:ascii="Arial" w:cs="Arial" w:eastAsia="Arial" w:hAnsi="Arial"/>
          <w:color w:val="333333"/>
          <w:sz w:val="20"/>
          <w:szCs w:val="20"/>
        </w:rPr>
        <w:t xml:space="preserve">Targets SMBs and PE-backed startups. Same platform at every tier. Not a discounted product. No per-seat pricing. All Growth CTAs route to /contact.</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240"/>
      </w:tblGrid>
      <w:tr>
        <w:tc>
          <w:tcPr>
            <w:tcW w:type="dxa" w:w="18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Annual Price</w:t>
            </w:r>
          </w:p>
        </w:tc>
        <w:tc>
          <w:tcPr>
            <w:tcW w:type="dxa" w:w="18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Monthly Price</w:t>
            </w:r>
          </w:p>
        </w:tc>
        <w:tc>
          <w:tcPr>
            <w:tcW w:type="dxa" w:w="32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18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Ready</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$75,000/yr</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$7,500/mo</w:t>
            </w:r>
          </w:p>
        </w:tc>
        <w:tc>
          <w:tcPr>
            <w:tcW w:type="dxa" w:w="32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Core deployment — startup to growing mid-market</w:t>
            </w:r>
          </w:p>
        </w:tc>
      </w:tr>
      <w:tr>
        <w:tc>
          <w:tcPr>
            <w:tcW w:type="dxa" w:w="18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Responsive</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$150,000/yr</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$15,000/mo</w:t>
            </w:r>
          </w:p>
        </w:tc>
        <w:tc>
          <w:tcPr>
            <w:tcW w:type="dxa" w:w="32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Expanded domains and signal monitoring</w:t>
            </w:r>
          </w:p>
        </w:tc>
      </w:tr>
      <w:tr>
        <w:tc>
          <w:tcPr>
            <w:tcW w:type="dxa" w:w="18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Orchestrated</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$250,000/yr</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$25,000/mo</w:t>
            </w:r>
          </w:p>
        </w:tc>
        <w:tc>
          <w:tcPr>
            <w:tcW w:type="dxa" w:w="32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deployment scope — PE-backed and high-growth</w:t>
            </w:r>
          </w:p>
        </w:tc>
      </w:tr>
    </w:tbl>
    <w:p>
      <w:pPr>
        <w:spacing w:after="120"/>
      </w:pPr>
      <w:r>
        <w:t xml:space="preserve"/>
      </w:r>
    </w:p>
    <w:p>
      <w:pPr>
        <w:spacing w:after="100"/>
      </w:pPr>
      <w:r>
        <w:rPr>
          <w:rFonts w:ascii="Arial" w:cs="Arial" w:eastAsia="Arial" w:hAnsi="Arial"/>
          <w:color w:val="333333"/>
          <w:sz w:val="20"/>
          <w:szCs w:val="20"/>
        </w:rPr>
        <w:t xml:space="preserve">Annual pricing is market rate. Monthly pricing carries a 20% flexibility surcharge — framed as two months free on annual.</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06</w:t>
      </w:r>
    </w:p>
    <w:p>
      <w:pPr>
        <w:spacing w:after="120" w:before="320"/>
      </w:pPr>
      <w:r>
        <w:rPr>
          <w:rFonts w:ascii="Arial" w:cs="Arial" w:eastAsia="Arial" w:hAnsi="Arial"/>
          <w:b/>
          <w:bCs/>
          <w:color w:val="0A0F2E"/>
          <w:sz w:val="32"/>
          <w:szCs w:val="32"/>
        </w:rPr>
        <w:t xml:space="preserve">Microsoft Ecosystem Positioning</w:t>
      </w:r>
    </w:p>
    <w:p>
      <w:pPr>
        <w:spacing w:after="100"/>
      </w:pPr>
      <w:r>
        <w:rPr>
          <w:rFonts w:ascii="Arial" w:cs="Arial" w:eastAsia="Arial" w:hAnsi="Arial"/>
          <w:color w:val="333333"/>
          <w:sz w:val="20"/>
          <w:szCs w:val="20"/>
        </w:rPr>
        <w:t xml:space="preserve">Readiness OS is the operating model layer above the Microsoft investment — not a replacement, an orchestrator. Every enterprise already owns the stack. None have the coordination layer that makes it actionable when a strategic trigger fires.</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Microsoft Integration</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Teams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stakeholder notification and coordination</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Outlook</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communication deployment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SharePoint</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document staging</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Entra</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identity and access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Copilot Studio</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Power Automate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Sentinel</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Fabric</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07</w:t>
      </w:r>
    </w:p>
    <w:p>
      <w:pPr>
        <w:spacing w:after="120" w:before="320"/>
      </w:pPr>
      <w:r>
        <w:rPr>
          <w:rFonts w:ascii="Arial" w:cs="Arial" w:eastAsia="Arial" w:hAnsi="Arial"/>
          <w:b/>
          <w:bCs/>
          <w:color w:val="0A0F2E"/>
          <w:sz w:val="32"/>
          <w:szCs w:val="32"/>
        </w:rPr>
        <w:t xml:space="preserve">The Close Out Gate</w:t>
      </w:r>
    </w:p>
    <w:p>
      <w:pPr>
        <w:spacing w:after="100"/>
      </w:pPr>
      <w:r>
        <w:rPr>
          <w:rFonts w:ascii="Arial" w:cs="Arial" w:eastAsia="Arial" w:hAnsi="Arial"/>
          <w:color w:val="333333"/>
          <w:sz w:val="20"/>
          <w:szCs w:val="20"/>
        </w:rPr>
        <w:t xml:space="preserve">The Close Out Gate blocks the debrief from advancing until four structured fields are completed. This is the governance architecture that ensures the learning is captured rather than evaporating after each activation.</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528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2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What Held</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Required</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Which prepared response worked exactly as designed under live conditions. Names what to deliberately replicate.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What Did Not Hold</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Required</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Where the preparation failed or deviated under live pressure. Names the gap between preparation and reality.</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The Preparation Gap</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Optional</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What conditions decisions or actors the protocol did not anticipate. Optional because forced completion of an empty field produces worse data than an honest blank.</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The One Thing to Encode</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Required</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Single specific change built back into the protocol before the next activation. One only. The constraint is deliberate — lists disappear. One change compounds.</w:t>
            </w:r>
          </w:p>
        </w:tc>
      </w:tr>
    </w:tbl>
    <w:p>
      <w:pPr>
        <w:spacing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Architecture creates the conditions where the choice to ignore is no longer invisible. The Close Out Gate is that architecture applied to the learning moment.</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08</w:t>
      </w:r>
    </w:p>
    <w:p>
      <w:pPr>
        <w:spacing w:after="120" w:before="320"/>
      </w:pPr>
      <w:r>
        <w:rPr>
          <w:rFonts w:ascii="Arial" w:cs="Arial" w:eastAsia="Arial" w:hAnsi="Arial"/>
          <w:b/>
          <w:bCs/>
          <w:color w:val="0A0F2E"/>
          <w:sz w:val="32"/>
          <w:szCs w:val="32"/>
        </w:rPr>
        <w:t xml:space="preserve">The ADVANCE Loop</w:t>
      </w:r>
    </w:p>
    <w:p>
      <w:pPr>
        <w:spacing w:after="100"/>
      </w:pPr>
      <w:r>
        <w:rPr>
          <w:rFonts w:ascii="Arial" w:cs="Arial" w:eastAsia="Arial" w:hAnsi="Arial"/>
          <w:color w:val="333333"/>
          <w:sz w:val="20"/>
          <w:szCs w:val="20"/>
        </w:rPr>
        <w:t xml:space="preserve">Every activation produces a causal hypothesis. Every hypothesis is classified as proven or disproven after three subsequent activations. The platform gets measurably smarter with every use.</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80"/>
        <w:gridCol w:w="4320"/>
        <w:gridCol w:w="2640"/>
      </w:tblGrid>
      <w:tr>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26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Proven</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Actual improvement ≥ 80% of expected after ≥ 3 activations</w:t>
            </w:r>
          </w:p>
        </w:tc>
        <w:tc>
          <w:tcPr>
            <w:tcW w:type="dxa" w:w="26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Change encoded permanently into protocol</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Disproven</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No improvement or regression after ≥ 3 activations</w:t>
            </w:r>
          </w:p>
        </w:tc>
        <w:tc>
          <w:tcPr>
            <w:tcW w:type="dxa" w:w="26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Change reversed — original restored</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Measuring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Fewer than 3 post-update activations</w:t>
            </w:r>
          </w:p>
        </w:tc>
        <w:tc>
          <w:tcPr>
            <w:tcW w:type="dxa" w:w="26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Hypothesis active — classification pending</w:t>
            </w:r>
          </w:p>
        </w:tc>
      </w:tr>
    </w:tbl>
    <w:p>
      <w:pPr>
        <w:spacing w:after="120"/>
      </w:pPr>
      <w:r>
        <w:t xml:space="preserve"/>
      </w:r>
    </w:p>
    <w:p>
      <w:pPr>
        <w:spacing w:after="100"/>
      </w:pPr>
      <w:r>
        <w:rPr>
          <w:rFonts w:ascii="Arial" w:cs="Arial" w:eastAsia="Arial" w:hAnsi="Arial"/>
          <w:color w:val="333333"/>
          <w:sz w:val="20"/>
          <w:szCs w:val="20"/>
        </w:rPr>
        <w:t xml:space="preserve">Three activations is not arbitrary. One produces a data point. Two produces a comparison. Three produces a pattern — the minimum evidence base for a governance decision about whether to encode a change permanently or reverse it.</w:t>
      </w:r>
    </w:p>
    <w:p>
      <w:pPr>
        <w:spacing w:after="80"/>
      </w:pPr>
      <w:r>
        <w:t xml:space="preserve"/>
      </w:r>
    </w:p>
    <w:p>
      <w:pPr>
        <w:spacing w:after="100"/>
      </w:pPr>
      <w:r>
        <w:rPr>
          <w:rFonts w:ascii="Arial" w:cs="Arial" w:eastAsia="Arial" w:hAnsi="Arial"/>
          <w:color w:val="333333"/>
          <w:sz w:val="20"/>
          <w:szCs w:val="20"/>
        </w:rPr>
        <w:t xml:space="preserve">Proven versus disproven binary is deliberate. A scoring scale produces analysis paralysis. Binary judgment produces action.</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09</w:t>
      </w:r>
    </w:p>
    <w:p>
      <w:pPr>
        <w:spacing w:after="120" w:before="320"/>
      </w:pPr>
      <w:r>
        <w:rPr>
          <w:rFonts w:ascii="Arial" w:cs="Arial" w:eastAsia="Arial" w:hAnsi="Arial"/>
          <w:b/>
          <w:bCs/>
          <w:color w:val="0A0F2E"/>
          <w:sz w:val="32"/>
          <w:szCs w:val="32"/>
        </w:rPr>
        <w:t xml:space="preserve">Strategic Category Labels</w:t>
      </w:r>
    </w:p>
    <w:p>
      <w:pPr>
        <w:spacing w:after="100"/>
      </w:pPr>
      <w:r>
        <w:rPr>
          <w:rFonts w:ascii="Arial" w:cs="Arial" w:eastAsia="Arial" w:hAnsi="Arial"/>
          <w:color w:val="333333"/>
          <w:sz w:val="20"/>
          <w:szCs w:val="20"/>
        </w:rPr>
        <w:t xml:space="preserve">Three protocol categories correspond to the nature of the organizational response required. User-facing labels are locked. Internal database enum keys are separate and must never appear in visible copy.</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680"/>
        <w:gridCol w:w="1680"/>
        <w:gridCol w:w="312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User-Facing Label</w:t>
            </w:r>
          </w:p>
        </w:tc>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Internal DB Key</w:t>
            </w:r>
          </w:p>
        </w:tc>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31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Protocol Focus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GROWTH &amp; POSITIONING</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offense</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Teal #2B8A6E</w:t>
            </w:r>
          </w:p>
        </w:tc>
        <w:tc>
          <w:tcPr>
            <w:tcW w:type="dxa" w:w="31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Market entry, competitive response, expansion</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RISK &amp; RESILIENCE</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defense</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Navy #0A0F2E</w:t>
            </w:r>
          </w:p>
        </w:tc>
        <w:tc>
          <w:tcPr>
            <w:tcW w:type="dxa" w:w="31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Crisis response, regulatory, cybersecurity, financial pressure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TRANSFORMATION</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special_teams</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Gold #C9A84C</w:t>
            </w:r>
          </w:p>
        </w:tc>
        <w:tc>
          <w:tcPr>
            <w:tcW w:type="dxa" w:w="31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M&amp;A integration, leadership transition, operating model change</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10</w:t>
      </w:r>
    </w:p>
    <w:p>
      <w:pPr>
        <w:spacing w:after="120" w:before="320"/>
      </w:pPr>
      <w:r>
        <w:rPr>
          <w:rFonts w:ascii="Arial" w:cs="Arial" w:eastAsia="Arial" w:hAnsi="Arial"/>
          <w:b/>
          <w:bCs/>
          <w:color w:val="0A0F2E"/>
          <w:sz w:val="32"/>
          <w:szCs w:val="32"/>
        </w:rPr>
        <w:t xml:space="preserve">Product Architecture</w:t>
      </w:r>
    </w:p>
    <w:p>
      <w:pPr>
        <w:spacing w:after="60"/>
      </w:pPr>
      <w:r>
        <w:t xml:space="preserve"/>
      </w:r>
    </w:p>
    <w:p>
      <w:pPr>
        <w:spacing w:after="80" w:before="200"/>
      </w:pPr>
      <w:r>
        <w:rPr>
          <w:rFonts w:ascii="Arial" w:cs="Arial" w:eastAsia="Arial" w:hAnsi="Arial"/>
          <w:b/>
          <w:bCs/>
          <w:color w:val="C9A84C"/>
          <w:sz w:val="24"/>
          <w:szCs w:val="24"/>
        </w:rPr>
        <w:t xml:space="preserve">Core Platform Pages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20"/>
        <w:gridCol w:w="2400"/>
        <w:gridCol w:w="4320"/>
      </w:tblGrid>
      <w:tr>
        <w:tc>
          <w:tcPr>
            <w:tcW w:type="dxa" w:w="19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4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Dashboard</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/dashboard</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Main logged-in home with AI Copilot panel and quick-access trigger activation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Mission Control</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/mission-control</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Executive war room — real-time trigger activation, War Room Pulse Map, compound threat alerts</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Protocol Library</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/playbook-library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210 protocols browseable by 9 strategic domains. 3 public without login.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Protocol Activation Console</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/playbook-activation/:triggerId/:playbookId</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execution interface — task tracking, stakeholder notification, debrief, ROI calculation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Signal Intelligence Hub</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/signal-intelligence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monitoring of all 248+ data points — requires auth and organization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ADVANCE Intelligence</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/advance-intelligence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Learning Velocity Index — proven/disproven improvements, pending queue, protocol timeline</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Simulation Studio</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/simulation-studio</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Shadow Strategy Simulator — war-game responses to triggers that have not fired yet</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Strategic Recorder</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/strategic-recorder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Convert tribal knowledge and post-mortems into custom protocol outlines</w:t>
            </w:r>
          </w:p>
        </w:tc>
      </w:tr>
    </w:tbl>
    <w:p>
      <w:pPr>
        <w:spacing w:after="120"/>
      </w:pPr>
      <w:r>
        <w:t xml:space="preserve"/>
      </w:r>
    </w:p>
    <w:p>
      <w:pPr>
        <w:spacing w:after="80" w:before="200"/>
      </w:pPr>
      <w:r>
        <w:rPr>
          <w:rFonts w:ascii="Arial" w:cs="Arial" w:eastAsia="Arial" w:hAnsi="Arial"/>
          <w:b/>
          <w:bCs/>
          <w:color w:val="C9A84C"/>
          <w:sz w:val="24"/>
          <w:szCs w:val="24"/>
        </w:rPr>
        <w:t xml:space="preserve">Public Entry Points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32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GuidedStart</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/begin, /start</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Highest-drama no-nav immersive demo — full screen, no auth required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Try Demo</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/try-demo</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7-phase scripted demo — no auth required. Ransomware, competitor, regulatory, deal-risk scenarios.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Readiness Benchmark</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/readiness-benchmark</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Free 5-question self-assessment — public lead magnet. Peer benchmarks shown.</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Design Logic</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/design-logic</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Written design reasoning for practitioner and researcher engagement</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How It Executes</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/how-it-executes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Animated 6-step execution chain visualization — 5 scenario tabs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Proof Story</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/proof-story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Three full activation narratives with before/after timelines and financial outcomes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ROI Calculator</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/roi-calculator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Platform cost vs mobilization tax — live calculation with vendor stack comparison</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Founding Partner Program</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/founding-partner-program</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Primary enterprise conversion page — inline application form, no redirect</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Executive Departure Brief</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/executive-departure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Single-URL boardroom sales instrument — CFO departure scenario for board-level demos</w:t>
            </w:r>
          </w:p>
        </w:tc>
      </w:tr>
    </w:tbl>
    <w:p>
      <w:pPr>
        <w:spacing w:after="120"/>
      </w:pPr>
      <w:r>
        <w:t xml:space="preserve"/>
      </w:r>
    </w:p>
    <w:p>
      <w:pPr>
        <w:spacing w:after="80" w:before="200"/>
      </w:pPr>
      <w:r>
        <w:rPr>
          <w:rFonts w:ascii="Arial" w:cs="Arial" w:eastAsia="Arial" w:hAnsi="Arial"/>
          <w:b/>
          <w:bCs/>
          <w:color w:val="C9A84C"/>
          <w:sz w:val="24"/>
          <w:szCs w:val="24"/>
        </w:rPr>
        <w:t xml:space="preserve">Investor and Credibility Pages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32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Investor Landing</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/investor-landing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investor pitch page — public, not gated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Investor Resources</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/investor-resources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investor materials — gated access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Board Briefings</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/board-briefings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Board reports and AI Board Deck Generator — investor gated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Technical Architecture</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/technical-architecture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Four-layer architecture walkthrough — public, no auth required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Security Compliance</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/security-compliance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Procurement-ready security one-pager — SOC 2 roadmap, DPA, InfoSec FAQ</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Founder Story</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/founder-story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Manifesto — seven sections. The origin of VaughnMartin and Readiness OS.</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11</w:t>
      </w:r>
    </w:p>
    <w:p>
      <w:pPr>
        <w:spacing w:after="120" w:before="320"/>
      </w:pPr>
      <w:r>
        <w:rPr>
          <w:rFonts w:ascii="Arial" w:cs="Arial" w:eastAsia="Arial" w:hAnsi="Arial"/>
          <w:b/>
          <w:bCs/>
          <w:color w:val="0A0F2E"/>
          <w:sz w:val="32"/>
          <w:szCs w:val="32"/>
        </w:rPr>
        <w:t xml:space="preserve">Technology Stack</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7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Frontend</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React 18, TypeScript, Vite, Radix UI, shadcn/ui, Tailwind CSS, Framer Motion, Lucide React</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Backend</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Node.js, Express.js, TypeScript, Socket.IO WebSocket server</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Database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PostgreSQL via Drizzle ORM — Neon serverless</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Authentication</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Replit OIDC + Passport.js — sessions stored in PostgreSQL</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 Primary</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Azure OpenAI</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 Fallback</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OpenAI GPT-4o</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Email</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Resend — vaughnmartin.com domain verified — pilot@vaughnmartin.com primary sender</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Real-time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Socket.IO WebSocket server</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Deployment</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Replit Autoscale — vaughnmartin.com custom domain</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Build Strategy</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Pre-built dist/ committed to repo — deployment build step is no-op</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12</w:t>
      </w:r>
    </w:p>
    <w:p>
      <w:pPr>
        <w:spacing w:after="120" w:before="320"/>
      </w:pPr>
      <w:r>
        <w:rPr>
          <w:rFonts w:ascii="Arial" w:cs="Arial" w:eastAsia="Arial" w:hAnsi="Arial"/>
          <w:b/>
          <w:bCs/>
          <w:color w:val="0A0F2E"/>
          <w:sz w:val="32"/>
          <w:szCs w:val="32"/>
        </w:rPr>
        <w:t xml:space="preserve">Design System</w:t>
      </w:r>
    </w:p>
    <w:p>
      <w:pPr>
        <w:spacing w:after="60"/>
      </w:pPr>
      <w:r>
        <w:t xml:space="preserve"/>
      </w:r>
    </w:p>
    <w:p>
      <w:pPr>
        <w:spacing w:after="80" w:before="200"/>
      </w:pPr>
      <w:r>
        <w:rPr>
          <w:rFonts w:ascii="Arial" w:cs="Arial" w:eastAsia="Arial" w:hAnsi="Arial"/>
          <w:b/>
          <w:bCs/>
          <w:color w:val="C9A84C"/>
          <w:sz w:val="24"/>
          <w:szCs w:val="24"/>
        </w:rPr>
        <w:t xml:space="preserve">Canonical Colors — Only These Are Permitted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5760"/>
      </w:tblGrid>
      <w:tr>
        <w:tc>
          <w:tcPr>
            <w:tcW w:type="dxa" w:w="14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57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Permitted Use</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Navy</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#0A0F2E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Headings, text, borders, small dark elements, buttons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Navy BG</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#132558</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Large dark section backgrounds on Homepage only — not text or buttons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Navy Mid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#141B45</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Hover states, secondary dark surfaces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Gold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#C9A84C</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Accents, labels, metric numbers, CTA highlights — NEVER as background</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Gold Light</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#DFC178</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Gold on dark backgrounds, hover gold states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Teal</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#2B8A6E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Success states, GROWTH &amp; POSITIONING protocols, progress bars, teal CTAs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Teal Light</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#3BAF8A</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Teal on dark backgrounds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Off-white</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#F8F7F4</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Page backgrounds, light card surfaces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Border</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#E8E4DC</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Card borders, dividers, input borders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Muted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#6B7280</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Helper text, secondary labels, timestamps</w:t>
            </w:r>
          </w:p>
        </w:tc>
      </w:tr>
    </w:tbl>
    <w:p>
      <w:pPr>
        <w:spacing w:after="120"/>
      </w:pPr>
      <w:r>
        <w:t xml:space="preserve"/>
      </w:r>
    </w:p>
    <w:p>
      <w:pPr>
        <w:spacing w:after="80" w:before="200"/>
      </w:pPr>
      <w:r>
        <w:rPr>
          <w:rFonts w:ascii="Arial" w:cs="Arial" w:eastAsia="Arial" w:hAnsi="Arial"/>
          <w:b/>
          <w:bCs/>
          <w:color w:val="C9A84C"/>
          <w:sz w:val="24"/>
          <w:szCs w:val="24"/>
        </w:rPr>
        <w:t xml:space="preserve">Typography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1920"/>
        <w:gridCol w:w="3840"/>
      </w:tblGrid>
      <w:tr>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19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Variable Name</w:t>
            </w:r>
          </w:p>
        </w:tc>
        <w:tc>
          <w:tcPr>
            <w:tcW w:type="dxa" w:w="38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Use</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Cormorant Garamond</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GEO or CG</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Display headings, editorial copy, manifesto sections</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Barlow</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BAR or DM</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Body text, UI labels, general copy</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Barlow Condensed</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BC</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Caps labels, section identifiers, condensed UI</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JetBrains Mono</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Data displays, technical labels, metric numbers</w:t>
            </w:r>
          </w:p>
        </w:tc>
      </w:tr>
    </w:tbl>
    <w:p>
      <w:pPr>
        <w:spacing w:after="120"/>
      </w:pPr>
      <w:r>
        <w:t xml:space="preserve"/>
      </w:r>
    </w:p>
    <w:p>
      <w:pPr>
        <w:spacing w:after="100"/>
      </w:pPr>
      <w:r>
        <w:rPr>
          <w:rFonts w:ascii="Arial" w:cs="Arial" w:eastAsia="Arial" w:hAnsi="Arial"/>
          <w:color w:val="333333"/>
          <w:sz w:val="20"/>
          <w:szCs w:val="20"/>
        </w:rPr>
        <w:t xml:space="preserve">Never use: purple, violet, cyan, indigo, blue-600 or above. Replace with teal or amber equivalents. Inter and DM Sans are fully retired.</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13</w:t>
      </w:r>
    </w:p>
    <w:p>
      <w:pPr>
        <w:spacing w:after="120" w:before="320"/>
      </w:pPr>
      <w:r>
        <w:rPr>
          <w:rFonts w:ascii="Arial" w:cs="Arial" w:eastAsia="Arial" w:hAnsi="Arial"/>
          <w:b/>
          <w:bCs/>
          <w:color w:val="0A0F2E"/>
          <w:sz w:val="32"/>
          <w:szCs w:val="32"/>
        </w:rPr>
        <w:t xml:space="preserve">Current State — June 2026</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c>
          <w:tcPr>
            <w:tcW w:type="dxa" w:w="36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0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Platform Revision</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Rev 50</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Page Components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208</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Client-Side Routes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242</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Unit Tests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189 passing</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E2E Tests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121 passing — Playwright against vaughnmartin.com</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Deployment</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vaughnmartin.com — Replit Autoscale</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Signal Pipeline</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39 live RSS feeds — 15-minute ingestion cycles — 24/7/365</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Protocols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180 core + 30 compound = 210 total</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Triggers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221 monitored continuously</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Data Points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248+ across 20 signal categories</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14</w:t>
      </w:r>
    </w:p>
    <w:p>
      <w:pPr>
        <w:spacing w:after="120" w:before="320"/>
      </w:pPr>
      <w:r>
        <w:rPr>
          <w:rFonts w:ascii="Arial" w:cs="Arial" w:eastAsia="Arial" w:hAnsi="Arial"/>
          <w:b/>
          <w:bCs/>
          <w:color w:val="0A0F2E"/>
          <w:sz w:val="32"/>
          <w:szCs w:val="32"/>
        </w:rPr>
        <w:t xml:space="preserve">Approved Narrative Patterns</w:t>
      </w:r>
    </w:p>
    <w:p>
      <w:pPr>
        <w:spacing w:after="60"/>
      </w:pPr>
      <w:r>
        <w:t xml:space="preserve"/>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"The response is ready before the trigger fires." — Canonical tagline. Locked.</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"30 days compressed to 12 minutes." — Always this framing for the execution head start.</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"3,600× Execution Head Start — not a speed advantage. A structural advantage."</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"Every enterprise has Microsoft's AI stack. None have the operating model to use it."</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"AI monitors. Executives decide. Execution pre-staged."</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"No playbook activates without executive approval."</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"While others mobilize, you're already executing."</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"The response was ready before the trigger fired. That's preparation. That's readiness. That's how enterprises become fearless."</w:t>
      </w:r>
    </w:p>
    <w:p>
      <w:pPr>
        <w:spacing w:after="120"/>
      </w:pPr>
      <w:r>
        <w:t xml:space="preserve"/>
      </w:r>
    </w:p>
    <w:p>
      <w:pPr>
        <w:spacing w:after="80" w:before="200"/>
      </w:pPr>
      <w:r>
        <w:rPr>
          <w:rFonts w:ascii="Arial" w:cs="Arial" w:eastAsia="Arial" w:hAnsi="Arial"/>
          <w:b/>
          <w:bCs/>
          <w:color w:val="C9A84C"/>
          <w:sz w:val="24"/>
          <w:szCs w:val="24"/>
        </w:rPr>
        <w:t xml:space="preserve">Retired — Never Use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Retired Phrase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Correct Replacement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72 hours as mobilization baseline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30 days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340× or 360×</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3,600× Execution Head Start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Fortune 1000 as exclusive qualifier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startup to Fortune 500</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AI-powered / AI-driven / AI-generated</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signal-based / system-analyzed / pre-staged</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Human-AI partnership</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AI monitors. Executives authorize.</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Offense / Defense / Special Teams (user-facing)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GROWTH &amp; POSITIONING / RISK &amp; RESILIENCE / TRANSFORMATION</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Execution OS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Readiness OS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Playbooks (standalone)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Protocols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Agentic Execution Layer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The Operating Model Layer</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Speed advantage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3,600× Execution Head Start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170 protocols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180 core + 30 compound = 210 total</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16 signal categories (user-facing)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9 strategic domains, 221 triggers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GPT-4o in user-facing copy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Omit — use feature description only</w:t>
            </w:r>
          </w:p>
        </w:tc>
      </w:tr>
    </w:tbl>
    <w:p>
      <w:pPr>
        <w:pBdr>
          <w:bottom w:val="single" w:color="C9A84C" w:sz="4" w:space="1"/>
        </w:pBdr>
        <w:spacing w:after="160" w:before="160"/>
      </w:pPr>
      <w:r>
        <w:t xml:space="preserve"/>
      </w:r>
    </w:p>
    <w:p>
      <w:pPr>
        <w:spacing w:after="80" w:before="120"/>
      </w:pPr>
      <w:r>
        <w:rPr>
          <w:rFonts w:ascii="Georgia" w:cs="Georgia" w:eastAsia="Georgia" w:hAnsi="Georgia"/>
          <w:b/>
          <w:bCs/>
          <w:i/>
          <w:iCs/>
          <w:color w:val="0A0F2E"/>
          <w:sz w:val="30"/>
          <w:szCs w:val="30"/>
        </w:rPr>
        <w:t xml:space="preserve">The response is ready before the trigger fires.</w:t>
      </w:r>
    </w:p>
    <w:p>
      <w:pPr>
        <w:spacing w:after="60"/>
      </w:pPr>
      <w:r>
        <w:rPr>
          <w:rFonts w:ascii="Georgia" w:cs="Georgia" w:eastAsia="Georgia" w:hAnsi="Georgia"/>
          <w:i/>
          <w:iCs/>
          <w:color w:val="C9A84C"/>
          <w:sz w:val="22"/>
          <w:szCs w:val="22"/>
        </w:rPr>
        <w:t xml:space="preserve">Preparation → Readiness → Fearless</w:t>
      </w:r>
    </w:p>
    <w:p>
      <w:pPr>
        <w:pBdr>
          <w:bottom w:val="single" w:color="C9A84C" w:sz="4" w:space="1"/>
        </w:pBdr>
        <w:spacing w:after="120" w:before="60"/>
      </w:pPr>
      <w:r>
        <w:t xml:space="preserve"/>
      </w:r>
    </w:p>
    <w:p>
      <w:pPr>
        <w:jc w:val="left"/>
      </w:pPr>
      <w:r>
        <w:rPr>
          <w:rFonts w:ascii="Arial" w:cs="Arial" w:eastAsia="Arial" w:hAnsi="Arial"/>
          <w:i/>
          <w:iCs/>
          <w:color w:val="666666"/>
          <w:sz w:val="16"/>
          <w:szCs w:val="16"/>
        </w:rPr>
        <w:t xml:space="preserve">VaughnMartin  ·  Readiness OS  ·  vaughnmartin.com  ·  June 2026  ·  Rev 50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2026-06-08T19:13:25.348Z</dcterms:created>
  <dcterms:modified xsi:type="dcterms:W3CDTF">2026-06-08T19:13:25.359Z</dcterms:modified>
</cp:coreProperties>
</file>

<file path=docProps/custom.xml><?xml version="1.0" encoding="utf-8"?>
<Properties xmlns="http://schemas.openxmlformats.org/officeDocument/2006/custom-properties" xmlns:vt="http://schemas.openxmlformats.org/officeDocument/2006/docPropsVTypes"/>
</file>