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60" w:before="0"/>
      </w:pPr>
      <w:r>
        <w:rPr>
          <w:rFonts w:ascii="Georgia" w:cs="Georgia" w:eastAsia="Georgia" w:hAnsi="Georgia"/>
          <w:b/>
          <w:bCs/>
          <w:color w:val="0A0F2E"/>
          <w:spacing w:val="100"/>
          <w:sz w:val="28"/>
          <w:szCs w:val="28"/>
        </w:rPr>
        <w:t xml:space="preserve">VAUGHNMARTIN</w:t>
      </w:r>
    </w:p>
    <w:p>
      <w:pPr>
        <w:spacing w:after="1000" w:before="0"/>
      </w:pPr>
      <w:r>
        <w:rPr>
          <w:rFonts w:ascii="Arial" w:cs="Arial" w:eastAsia="Arial" w:hAnsi="Arial"/>
          <w:color w:val="2B8A6E"/>
          <w:spacing w:val="180"/>
          <w:sz w:val="20"/>
          <w:szCs w:val="20"/>
        </w:rPr>
        <w:t xml:space="preserve">READINESS OS</w:t>
      </w:r>
    </w:p>
    <w:p>
      <w:pPr>
        <w:pBdr>
          <w:bottom w:val="single" w:color="C9A84C" w:sz="18" w:space="4"/>
        </w:pBdr>
        <w:spacing w:after="320" w:before="0"/>
      </w:pPr>
      <w:r>
        <w:t xml:space="preserve"/>
      </w:r>
    </w:p>
    <w:p>
      <w:pPr>
        <w:spacing w:after="200" w:before="0"/>
      </w:pPr>
      <w:r>
        <w:rPr>
          <w:rFonts w:ascii="Arial" w:cs="Arial" w:eastAsia="Arial" w:hAnsi="Arial"/>
          <w:b/>
          <w:bCs/>
          <w:color w:val="C9A84C"/>
          <w:spacing w:val="120"/>
          <w:sz w:val="18"/>
          <w:szCs w:val="18"/>
        </w:rPr>
        <w:t xml:space="preserve">PILOT ACTIVATION GUIDE</w:t>
      </w:r>
    </w:p>
    <w:p>
      <w:pPr>
        <w:spacing w:after="180" w:before="0" w:line="420"/>
      </w:pPr>
      <w:r>
        <w:rPr>
          <w:rFonts w:ascii="Georgia" w:cs="Georgia" w:eastAsia="Georgia" w:hAnsi="Georgia"/>
          <w:b/>
          <w:bCs/>
          <w:color w:val="0A0F2E"/>
          <w:sz w:val="64"/>
          <w:szCs w:val="64"/>
        </w:rPr>
        <w:t xml:space="preserve">Your First 30 Days</w:t>
      </w:r>
    </w:p>
    <w:p>
      <w:pPr>
        <w:spacing w:after="400" w:before="0" w:line="420"/>
      </w:pPr>
      <w:r>
        <w:rPr>
          <w:rFonts w:ascii="Georgia" w:cs="Georgia" w:eastAsia="Georgia" w:hAnsi="Georgia"/>
          <w:i/>
          <w:iCs/>
          <w:color w:val="0A0F2E"/>
          <w:sz w:val="48"/>
          <w:szCs w:val="48"/>
        </w:rPr>
        <w:t xml:space="preserve">Inside Readiness OS</w:t>
      </w:r>
    </w:p>
    <w:p>
      <w:pPr>
        <w:spacing w:after="100" w:before="0"/>
      </w:pPr>
      <w:r>
        <w:rPr>
          <w:rFonts w:ascii="Georgia" w:cs="Georgia" w:eastAsia="Georgia" w:hAnsi="Georgia"/>
          <w:i/>
          <w:iCs/>
          <w:color w:val="2B8A6E"/>
          <w:sz w:val="26"/>
          <w:szCs w:val="26"/>
        </w:rPr>
        <w:t xml:space="preserve">The response is ready before the trigger fires.</w:t>
      </w:r>
    </w:p>
    <w:p>
      <w:pPr>
        <w:spacing w:after="2400" w:before="0"/>
      </w:pPr>
      <w:r>
        <w:t xml:space="preserve"/>
      </w:r>
    </w:p>
    <w:p>
      <w:pPr>
        <w:pBdr>
          <w:top w:val="single" w:color="E8E4DC" w:sz="6" w:space="4"/>
        </w:pBdr>
        <w:spacing w:after="80" w:before="0"/>
      </w:pPr>
      <w:r>
        <w:t xml:space="preserve"/>
      </w:r>
    </w:p>
    <w:p>
      <w:pPr>
        <w:spacing w:after="0" w:before="0"/>
      </w:pPr>
      <w:r>
        <w:rPr>
          <w:rFonts w:ascii="Arial" w:cs="Arial" w:eastAsia="Arial" w:hAnsi="Arial"/>
          <w:color w:val="6B7280"/>
          <w:sz w:val="18"/>
          <w:szCs w:val="18"/>
        </w:rPr>
        <w:t xml:space="preserve">Prepared for:  </w:t>
      </w:r>
      <w:r>
        <w:rPr>
          <w:rFonts w:ascii="Arial" w:cs="Arial" w:eastAsia="Arial" w:hAnsi="Arial"/>
          <w:b/>
          <w:bCs/>
          <w:color w:val="0A0F2E"/>
          <w:sz w:val="18"/>
          <w:szCs w:val="18"/>
        </w:rPr>
        <w:t xml:space="preserve">Pilot Customer, Executive Team</w:t>
      </w:r>
      <w:r>
        <w:rPr>
          <w:rFonts w:ascii="Arial" w:cs="Arial" w:eastAsia="Arial" w:hAnsi="Arial"/>
          <w:sz w:val="18"/>
          <w:szCs w:val="18"/>
        </w:rPr>
        <w:t xml:space="preserve">                                                 </w:t>
      </w:r>
      <w:r>
        <w:rPr>
          <w:rFonts w:ascii="Arial" w:cs="Arial" w:eastAsia="Arial" w:hAnsi="Arial"/>
          <w:color w:val="6B7280"/>
          <w:sz w:val="18"/>
          <w:szCs w:val="18"/>
        </w:rPr>
        <w:t xml:space="preserve">Issued by:  </w:t>
      </w:r>
      <w:r>
        <w:rPr>
          <w:rFonts w:ascii="Arial" w:cs="Arial" w:eastAsia="Arial" w:hAnsi="Arial"/>
          <w:b/>
          <w:bCs/>
          <w:color w:val="0A0F2E"/>
          <w:sz w:val="18"/>
          <w:szCs w:val="18"/>
        </w:rPr>
        <w:t xml:space="preserve">VaughnMartin</w:t>
      </w:r>
    </w:p>
    <w:p>
      <w:r>
        <w:br w:type="page"/>
      </w:r>
    </w:p>
    <w:p>
      <w:pPr>
        <w:spacing w:after="80" w:before="240"/>
      </w:pPr>
      <w:r>
        <w:rPr>
          <w:rFonts w:ascii="Arial" w:cs="Arial" w:eastAsia="Arial" w:hAnsi="Arial"/>
          <w:b/>
          <w:bCs/>
          <w:color w:val="C9A84C"/>
          <w:spacing w:val="60"/>
          <w:sz w:val="18"/>
          <w:szCs w:val="18"/>
        </w:rPr>
        <w:t xml:space="preserve">THE PRINCIPLE</w:t>
      </w:r>
    </w:p>
    <w:p>
      <w:pPr>
        <w:pStyle w:val="Heading1"/>
        <w:spacing w:after="160" w:before="100"/>
      </w:pPr>
      <w:r>
        <w:rPr>
          <w:rFonts w:ascii="Georgia" w:cs="Georgia" w:eastAsia="Georgia" w:hAnsi="Georgia"/>
          <w:b/>
          <w:bCs/>
          <w:color w:val="0A0F2E"/>
          <w:sz w:val="36"/>
          <w:szCs w:val="36"/>
        </w:rPr>
        <w:t xml:space="preserve">Start With an Activation, Not a Tour</w:t>
      </w:r>
    </w:p>
    <w:p>
      <w:pPr>
        <w:spacing w:after="140" w:before="80" w:line="320"/>
        <w:jc w:val="left"/>
      </w:pPr>
      <w:r>
        <w:rPr>
          <w:rFonts w:ascii="Arial" w:cs="Arial" w:eastAsia="Arial" w:hAnsi="Arial"/>
          <w:color w:val="1F2937"/>
          <w:sz w:val="22"/>
          <w:szCs w:val="22"/>
        </w:rPr>
        <w:t xml:space="preserve">The fastest path to belief in Readiness OS is experiencing the 30-day to 12-minute collapse once, on your own screen, with your own click. Library exploration, signal configuration, and custom playbooks only land after you have felt that compression. </w:t>
      </w:r>
      <w:r>
        <w:rPr>
          <w:rFonts w:ascii="Arial" w:cs="Arial" w:eastAsia="Arial" w:hAnsi="Arial"/>
          <w:b/>
          <w:bCs/>
          <w:color w:val="0A0F2E"/>
          <w:sz w:val="22"/>
          <w:szCs w:val="22"/>
        </w:rPr>
        <w:t xml:space="preserve">Lead with the collapse.</w:t>
      </w:r>
    </w:p>
    <w:p>
      <w:pPr>
        <w:spacing w:after="140" w:before="80" w:line="320"/>
        <w:jc w:val="left"/>
      </w:pPr>
      <w:r>
        <w:rPr>
          <w:rFonts w:ascii="Arial" w:cs="Arial" w:eastAsia="Arial" w:hAnsi="Arial"/>
          <w:color w:val="1F2937"/>
          <w:sz w:val="22"/>
          <w:szCs w:val="22"/>
        </w:rPr>
        <w:t xml:space="preserve">Readiness OS does not sell features. It sells the elimination of the 30-day mobilization cycle. Every recommendation in this guide is designed to surface that elimination as quickly, as clearly, and as repeatedly as possible across your first thirty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8F7F4" w:val="clear"/>
            <w:tcMar>
              <w:top w:type="dxa" w:w="240"/>
              <w:left w:type="dxa" w:w="340"/>
              <w:bottom w:type="dxa" w:w="240"/>
              <w:right w:type="dxa" w:w="240"/>
            </w:tcMar>
          </w:tcPr>
          <w:p>
            <w:pPr>
              <w:spacing w:after="80" w:before="100" w:line="340"/>
            </w:pPr>
            <w:r>
              <w:rPr>
                <w:rFonts w:ascii="Georgia" w:cs="Georgia" w:eastAsia="Georgia" w:hAnsi="Georgia"/>
                <w:i/>
                <w:iCs/>
                <w:color w:val="0A0F2E"/>
                <w:sz w:val="26"/>
                <w:szCs w:val="26"/>
              </w:rPr>
              <w:t xml:space="preserve">AI monitors. Executives decide. Execution pre-staged.</w:t>
            </w:r>
          </w:p>
          <w:p>
            <w:pPr>
              <w:spacing w:after="100" w:before="0"/>
            </w:pPr>
            <w:r>
              <w:rPr>
                <w:rFonts w:ascii="Arial" w:cs="Arial" w:eastAsia="Arial" w:hAnsi="Arial"/>
                <w:color w:val="6B7280"/>
                <w:sz w:val="20"/>
                <w:szCs w:val="20"/>
              </w:rPr>
              <w:t xml:space="preserve">— Readiness OS operating principle</w:t>
            </w:r>
          </w:p>
        </w:tc>
      </w:tr>
    </w:tbl>
    <w:p>
      <w:pPr>
        <w:spacing w:after="200" w:before="0"/>
      </w:pPr>
      <w:r>
        <w:t xml:space="preserve"/>
      </w:r>
    </w:p>
    <w:p>
      <w:pPr>
        <w:pBdr>
          <w:bottom w:val="single" w:color="C9A84C" w:sz="12" w:space="4"/>
        </w:pBdr>
        <w:spacing w:after="200" w:before="160"/>
      </w:pPr>
      <w:r>
        <w:t xml:space="preserve"/>
      </w:r>
    </w:p>
    <w:p>
      <w:pPr>
        <w:spacing w:after="80" w:before="240"/>
      </w:pPr>
      <w:r>
        <w:rPr>
          <w:rFonts w:ascii="Arial" w:cs="Arial" w:eastAsia="Arial" w:hAnsi="Arial"/>
          <w:b/>
          <w:bCs/>
          <w:color w:val="C9A84C"/>
          <w:spacing w:val="60"/>
          <w:sz w:val="18"/>
          <w:szCs w:val="18"/>
        </w:rPr>
        <w:t xml:space="preserve">FIRST 20 MINUTES</w:t>
      </w:r>
    </w:p>
    <w:p>
      <w:pPr>
        <w:pStyle w:val="Heading1"/>
        <w:spacing w:after="160" w:before="100"/>
      </w:pPr>
      <w:r>
        <w:rPr>
          <w:rFonts w:ascii="Georgia" w:cs="Georgia" w:eastAsia="Georgia" w:hAnsi="Georgia"/>
          <w:b/>
          <w:bCs/>
          <w:color w:val="0A0F2E"/>
          <w:sz w:val="36"/>
          <w:szCs w:val="36"/>
        </w:rPr>
        <w:t xml:space="preserve">The First Session</w:t>
      </w:r>
    </w:p>
    <w:p>
      <w:pPr>
        <w:spacing w:after="140" w:before="80" w:line="320"/>
        <w:jc w:val="left"/>
      </w:pPr>
      <w:r>
        <w:rPr>
          <w:rFonts w:ascii="Arial" w:cs="Arial" w:eastAsia="Arial" w:hAnsi="Arial"/>
          <w:color w:val="1F2937"/>
          <w:sz w:val="22"/>
          <w:szCs w:val="22"/>
        </w:rPr>
        <w:t xml:space="preserve">A guaranteed trigger alert is already waiting in your inbox by the time you click the magic link. </w:t>
      </w:r>
      <w:r>
        <w:rPr>
          <w:rFonts w:ascii="Arial" w:cs="Arial" w:eastAsia="Arial" w:hAnsi="Arial"/>
          <w:b/>
          <w:bCs/>
          <w:color w:val="0A0F2E"/>
          <w:sz w:val="22"/>
          <w:szCs w:val="22"/>
        </w:rPr>
        <w:t xml:space="preserve">AI Competitive Disruption. 94% confidence. Pre-staged by the system. </w:t>
      </w:r>
      <w:r>
        <w:rPr>
          <w:rFonts w:ascii="Arial" w:cs="Arial" w:eastAsia="Arial" w:hAnsi="Arial"/>
          <w:color w:val="1F2937"/>
          <w:sz w:val="22"/>
          <w:szCs w:val="22"/>
        </w:rPr>
        <w:t xml:space="preserve">Do not skip past it. This is the single most important interaction of your first week.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180"/>
              <w:left w:type="dxa" w:w="0"/>
              <w:bottom w:type="dxa" w:w="180"/>
              <w:right w:type="dxa" w:w="0"/>
            </w:tcMar>
            <w:vAlign w:val="top"/>
          </w:tcPr>
          <w:p>
            <w:pPr>
              <w:spacing w:after="0" w:before="0"/>
            </w:pPr>
            <w:r>
              <w:rPr>
                <w:rFonts w:ascii="Georgia" w:cs="Georgia" w:eastAsia="Georgia" w:hAnsi="Georgia"/>
                <w:b/>
                <w:bCs/>
                <w:color w:val="C9A84C"/>
                <w:sz w:val="52"/>
                <w:szCs w:val="52"/>
              </w:rPr>
              <w:t xml:space="preserve">01</w:t>
            </w:r>
          </w:p>
        </w:tc>
        <w:tc>
          <w:tcPr>
            <w:tcW w:type="dxa" w:w="8460"/>
            <w:tcBorders>
              <w:top w:val="none" w:color="FFFFFF" w:sz="0"/>
              <w:left w:val="single" w:color="E8E4DC" w:sz="12"/>
              <w:bottom w:val="none" w:color="FFFFFF" w:sz="0"/>
              <w:right w:val="none" w:color="FFFFFF" w:sz="0"/>
            </w:tcBorders>
            <w:tcMar>
              <w:top w:type="dxa" w:w="180"/>
              <w:left w:type="dxa" w:w="200"/>
              <w:bottom w:type="dxa" w:w="180"/>
              <w:right w:type="dxa" w:w="100"/>
            </w:tcMar>
            <w:vAlign w:val="top"/>
          </w:tcPr>
          <w:p>
            <w:pPr>
              <w:spacing w:after="100" w:before="0"/>
            </w:pPr>
            <w:r>
              <w:rPr>
                <w:rFonts w:ascii="Georgia" w:cs="Georgia" w:eastAsia="Georgia" w:hAnsi="Georgia"/>
                <w:b/>
                <w:bCs/>
                <w:color w:val="0A0F2E"/>
                <w:sz w:val="26"/>
                <w:szCs w:val="26"/>
              </w:rPr>
              <w:t xml:space="preserve">Enter through the alert</w:t>
            </w:r>
          </w:p>
          <w:p>
            <w:pPr>
              <w:spacing w:after="100" w:before="0" w:line="320"/>
            </w:pPr>
            <w:r>
              <w:rPr>
                <w:rFonts w:ascii="Arial" w:cs="Arial" w:eastAsia="Arial" w:hAnsi="Arial"/>
                <w:color w:val="1F2937"/>
                <w:sz w:val="22"/>
                <w:szCs w:val="22"/>
              </w:rPr>
              <w:t xml:space="preserve">Click the magic link in your welcome email. The system routes you into Mission Control with the trigger pulsing live. Skip the onboarding wizard using the Skip to Platform button in the header — you will complete it after the first activation, not before.</w:t>
            </w:r>
          </w:p>
          <w:p>
            <w:pPr>
              <w:spacing w:after="0" w:before="0"/>
            </w:pPr>
            <w:r>
              <w:rPr>
                <w:rFonts w:ascii="Arial" w:cs="Arial" w:eastAsia="Arial" w:hAnsi="Arial"/>
                <w:b/>
                <w:bCs/>
                <w:color w:val="2B8A6E"/>
                <w:sz w:val="20"/>
                <w:szCs w:val="20"/>
              </w:rPr>
              <w:t xml:space="preserve">Route: </w:t>
            </w:r>
            <w:r>
              <w:rPr>
                <w:rFonts w:ascii="Consolas" w:cs="Consolas" w:eastAsia="Consolas" w:hAnsi="Consolas"/>
                <w:color w:val="0A0F2E"/>
                <w:sz w:val="20"/>
                <w:szCs w:val="20"/>
              </w:rPr>
              <w:t xml:space="preserve">/mission-control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180"/>
              <w:left w:type="dxa" w:w="0"/>
              <w:bottom w:type="dxa" w:w="180"/>
              <w:right w:type="dxa" w:w="0"/>
            </w:tcMar>
            <w:vAlign w:val="top"/>
          </w:tcPr>
          <w:p>
            <w:pPr>
              <w:spacing w:after="0" w:before="0"/>
            </w:pPr>
            <w:r>
              <w:rPr>
                <w:rFonts w:ascii="Georgia" w:cs="Georgia" w:eastAsia="Georgia" w:hAnsi="Georgia"/>
                <w:b/>
                <w:bCs/>
                <w:color w:val="C9A84C"/>
                <w:sz w:val="52"/>
                <w:szCs w:val="52"/>
              </w:rPr>
              <w:t xml:space="preserve">02</w:t>
            </w:r>
          </w:p>
        </w:tc>
        <w:tc>
          <w:tcPr>
            <w:tcW w:type="dxa" w:w="8460"/>
            <w:tcBorders>
              <w:top w:val="none" w:color="FFFFFF" w:sz="0"/>
              <w:left w:val="single" w:color="E8E4DC" w:sz="12"/>
              <w:bottom w:val="none" w:color="FFFFFF" w:sz="0"/>
              <w:right w:val="none" w:color="FFFFFF" w:sz="0"/>
            </w:tcBorders>
            <w:tcMar>
              <w:top w:type="dxa" w:w="180"/>
              <w:left w:type="dxa" w:w="200"/>
              <w:bottom w:type="dxa" w:w="180"/>
              <w:right w:type="dxa" w:w="100"/>
            </w:tcMar>
            <w:vAlign w:val="top"/>
          </w:tcPr>
          <w:p>
            <w:pPr>
              <w:spacing w:after="100" w:before="0"/>
            </w:pPr>
            <w:r>
              <w:rPr>
                <w:rFonts w:ascii="Georgia" w:cs="Georgia" w:eastAsia="Georgia" w:hAnsi="Georgia"/>
                <w:b/>
                <w:bCs/>
                <w:color w:val="0A0F2E"/>
                <w:sz w:val="26"/>
                <w:szCs w:val="26"/>
              </w:rPr>
              <w:t xml:space="preserve">Activate the response</w:t>
            </w:r>
          </w:p>
          <w:p>
            <w:pPr>
              <w:spacing w:after="100" w:before="0" w:line="320"/>
            </w:pPr>
            <w:r>
              <w:rPr>
                <w:rFonts w:ascii="Arial" w:cs="Arial" w:eastAsia="Arial" w:hAnsi="Arial"/>
                <w:color w:val="1F2937"/>
                <w:sz w:val="22"/>
                <w:szCs w:val="22"/>
              </w:rPr>
              <w:t xml:space="preserve">Click Activate Response on the pending trigger. The system matches the trigger to the pre-staged playbook, seeds seven domain-specific tasks, and drops you into the activation console. A signal-based execution brief loads with mission framing, critical roles, top risks, and commander note.</w:t>
            </w:r>
          </w:p>
          <w:p>
            <w:pPr>
              <w:spacing w:after="0" w:before="0"/>
            </w:pPr>
            <w:r>
              <w:rPr>
                <w:rFonts w:ascii="Arial" w:cs="Arial" w:eastAsia="Arial" w:hAnsi="Arial"/>
                <w:b/>
                <w:bCs/>
                <w:color w:val="2B8A6E"/>
                <w:sz w:val="20"/>
                <w:szCs w:val="20"/>
              </w:rPr>
              <w:t xml:space="preserve">Route: </w:t>
            </w:r>
            <w:r>
              <w:rPr>
                <w:rFonts w:ascii="Consolas" w:cs="Consolas" w:eastAsia="Consolas" w:hAnsi="Consolas"/>
                <w:color w:val="0A0F2E"/>
                <w:sz w:val="20"/>
                <w:szCs w:val="20"/>
              </w:rPr>
              <w:t xml:space="preserve">/playbook-activation/manual/:id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180"/>
              <w:left w:type="dxa" w:w="0"/>
              <w:bottom w:type="dxa" w:w="180"/>
              <w:right w:type="dxa" w:w="0"/>
            </w:tcMar>
            <w:vAlign w:val="top"/>
          </w:tcPr>
          <w:p>
            <w:pPr>
              <w:spacing w:after="0" w:before="0"/>
            </w:pPr>
            <w:r>
              <w:rPr>
                <w:rFonts w:ascii="Georgia" w:cs="Georgia" w:eastAsia="Georgia" w:hAnsi="Georgia"/>
                <w:b/>
                <w:bCs/>
                <w:color w:val="C9A84C"/>
                <w:sz w:val="52"/>
                <w:szCs w:val="52"/>
              </w:rPr>
              <w:t xml:space="preserve">03</w:t>
            </w:r>
          </w:p>
        </w:tc>
        <w:tc>
          <w:tcPr>
            <w:tcW w:type="dxa" w:w="8460"/>
            <w:tcBorders>
              <w:top w:val="none" w:color="FFFFFF" w:sz="0"/>
              <w:left w:val="single" w:color="E8E4DC" w:sz="12"/>
              <w:bottom w:val="none" w:color="FFFFFF" w:sz="0"/>
              <w:right w:val="none" w:color="FFFFFF" w:sz="0"/>
            </w:tcBorders>
            <w:tcMar>
              <w:top w:type="dxa" w:w="180"/>
              <w:left w:type="dxa" w:w="200"/>
              <w:bottom w:type="dxa" w:w="180"/>
              <w:right w:type="dxa" w:w="100"/>
            </w:tcMar>
            <w:vAlign w:val="top"/>
          </w:tcPr>
          <w:p>
            <w:pPr>
              <w:spacing w:after="100" w:before="0"/>
            </w:pPr>
            <w:r>
              <w:rPr>
                <w:rFonts w:ascii="Georgia" w:cs="Georgia" w:eastAsia="Georgia" w:hAnsi="Georgia"/>
                <w:b/>
                <w:bCs/>
                <w:color w:val="0A0F2E"/>
                <w:sz w:val="26"/>
                <w:szCs w:val="26"/>
              </w:rPr>
              <w:t xml:space="preserve">Watch the cascade</w:t>
            </w:r>
          </w:p>
          <w:p>
            <w:pPr>
              <w:spacing w:after="100" w:before="0" w:line="320"/>
            </w:pPr>
            <w:r>
              <w:rPr>
                <w:rFonts w:ascii="Arial" w:cs="Arial" w:eastAsia="Arial" w:hAnsi="Arial"/>
                <w:color w:val="1F2937"/>
                <w:sz w:val="22"/>
                <w:szCs w:val="22"/>
              </w:rPr>
              <w:t xml:space="preserve">Stakeholders cycle through Pending → Notified → Acknowledged. Tasks auto-progress every 20 seconds. The live activity feed timestamps every movement. The debrief fires automatically on completion showing the 3,600× Execution Head Start and the dollar value preserved against the 30-day mobilization baseline.</w:t>
            </w:r>
          </w:p>
          <w:p>
            <w:pPr>
              <w:spacing w:after="0" w:before="0"/>
            </w:pPr>
            <w:r>
              <w:rPr>
                <w:rFonts w:ascii="Arial" w:cs="Arial" w:eastAsia="Arial" w:hAnsi="Arial"/>
                <w:b/>
                <w:bCs/>
                <w:color w:val="2B8A6E"/>
                <w:sz w:val="20"/>
                <w:szCs w:val="20"/>
              </w:rPr>
              <w:t xml:space="preserve">Route: </w:t>
            </w:r>
            <w:r>
              <w:rPr>
                <w:rFonts w:ascii="Consolas" w:cs="Consolas" w:eastAsia="Consolas" w:hAnsi="Consolas"/>
                <w:color w:val="0A0F2E"/>
                <w:sz w:val="20"/>
                <w:szCs w:val="20"/>
              </w:rPr>
              <w:t xml:space="preserve">Automatic</w:t>
            </w:r>
          </w:p>
        </w:tc>
      </w:tr>
    </w:tbl>
    <w:p>
      <w:pPr>
        <w:spacing w:after="240" w:before="0"/>
      </w:pPr>
      <w:r>
        <w:t xml:space="preserve"/>
      </w:r>
    </w:p>
    <w:p>
      <w:pPr>
        <w:spacing w:after="140" w:before="80" w:line="320"/>
        <w:jc w:val="left"/>
      </w:pPr>
      <w:r>
        <w:rPr>
          <w:rFonts w:ascii="Arial" w:cs="Arial" w:eastAsia="Arial" w:hAnsi="Arial"/>
          <w:b/>
          <w:bCs/>
          <w:color w:val="0A0F2E"/>
          <w:sz w:val="22"/>
          <w:szCs w:val="22"/>
        </w:rPr>
        <w:t xml:space="preserve">That is the aha moment.</w:t>
      </w:r>
      <w:r>
        <w:rPr>
          <w:rFonts w:ascii="Arial" w:cs="Arial" w:eastAsia="Arial" w:hAnsi="Arial"/>
          <w:color w:val="1F2937"/>
          <w:sz w:val="22"/>
          <w:szCs w:val="22"/>
        </w:rPr>
        <w:t xml:space="preserve"> End-to-end in under fifteen minutes. You now understand what Readiness OS does in a way no demo video ever delivers — not because you watched it, but because you authorized it.</w:t>
      </w:r>
    </w:p>
    <w:p>
      <w:pPr>
        <w:spacing w:after="100" w:before="0"/>
      </w:pPr>
      <w:r>
        <w:t xml:space="preserve"/>
      </w:r>
    </w:p>
    <w:p>
      <w:pPr>
        <w:pBdr>
          <w:bottom w:val="single" w:color="C9A84C" w:sz="12" w:space="4"/>
        </w:pBdr>
        <w:spacing w:after="200" w:before="160"/>
      </w:pPr>
      <w:r>
        <w:t xml:space="preserve"/>
      </w:r>
    </w:p>
    <w:p>
      <w:pPr>
        <w:spacing w:after="80" w:before="240"/>
      </w:pPr>
      <w:r>
        <w:rPr>
          <w:rFonts w:ascii="Arial" w:cs="Arial" w:eastAsia="Arial" w:hAnsi="Arial"/>
          <w:b/>
          <w:bCs/>
          <w:color w:val="C9A84C"/>
          <w:spacing w:val="60"/>
          <w:sz w:val="18"/>
          <w:szCs w:val="18"/>
        </w:rPr>
        <w:t xml:space="preserve">DAYS 2 – 7</w:t>
      </w:r>
    </w:p>
    <w:p>
      <w:pPr>
        <w:pStyle w:val="Heading1"/>
        <w:spacing w:after="160" w:before="100"/>
      </w:pPr>
      <w:r>
        <w:rPr>
          <w:rFonts w:ascii="Georgia" w:cs="Georgia" w:eastAsia="Georgia" w:hAnsi="Georgia"/>
          <w:b/>
          <w:bCs/>
          <w:color w:val="0A0F2E"/>
          <w:sz w:val="36"/>
          <w:szCs w:val="36"/>
        </w:rPr>
        <w:t xml:space="preserve">The Rest of Week One</w:t>
      </w:r>
    </w:p>
    <w:p>
      <w:pPr>
        <w:pStyle w:val="Heading2"/>
        <w:spacing w:after="120" w:before="280"/>
      </w:pPr>
      <w:r>
        <w:rPr>
          <w:rFonts w:ascii="Georgia" w:cs="Georgia" w:eastAsia="Georgia" w:hAnsi="Georgia"/>
          <w:b/>
          <w:bCs/>
          <w:color w:val="0A0F2E"/>
          <w:sz w:val="26"/>
          <w:szCs w:val="26"/>
        </w:rPr>
        <w:t xml:space="preserve">Prove it is not a single demo</w:t>
      </w:r>
    </w:p>
    <w:p>
      <w:pPr>
        <w:spacing w:after="140" w:before="80" w:line="320"/>
        <w:jc w:val="left"/>
      </w:pPr>
      <w:r>
        <w:rPr>
          <w:rFonts w:ascii="Arial" w:cs="Arial" w:eastAsia="Arial" w:hAnsi="Arial"/>
          <w:color w:val="1F2937"/>
          <w:sz w:val="22"/>
          <w:szCs w:val="22"/>
        </w:rPr>
        <w:t xml:space="preserve">Visit the Executive Departure Brief at </w:t>
      </w:r>
      <w:r>
        <w:rPr>
          <w:rFonts w:ascii="Consolas" w:cs="Consolas" w:eastAsia="Consolas" w:hAnsi="Consolas"/>
          <w:b/>
          <w:bCs/>
          <w:color w:val="0A0F2E"/>
          <w:sz w:val="22"/>
          <w:szCs w:val="22"/>
        </w:rPr>
        <w:t xml:space="preserve">/executive-departure</w:t>
      </w:r>
      <w:r>
        <w:rPr>
          <w:rFonts w:ascii="Arial" w:cs="Arial" w:eastAsia="Arial" w:hAnsi="Arial"/>
          <w:color w:val="1F2937"/>
          <w:sz w:val="22"/>
          <w:szCs w:val="22"/>
        </w:rPr>
        <w:t xml:space="preserve">. A different domain — Talent &amp; Leadership. A different trigger — CFO resignation at 6:47 AM. A different playbook — C-Suite Continuity Response. Same collapse. Two activations across different content prove the platform is not a single demo. It is infrastructure.</w:t>
      </w:r>
    </w:p>
    <w:p>
      <w:pPr>
        <w:pStyle w:val="Heading2"/>
        <w:spacing w:after="120" w:before="280"/>
      </w:pPr>
      <w:r>
        <w:rPr>
          <w:rFonts w:ascii="Georgia" w:cs="Georgia" w:eastAsia="Georgia" w:hAnsi="Georgia"/>
          <w:b/>
          <w:bCs/>
          <w:color w:val="0A0F2E"/>
          <w:sz w:val="26"/>
          <w:szCs w:val="26"/>
        </w:rPr>
        <w:t xml:space="preserve">Confirm your three worst fears are already staged</w:t>
      </w:r>
    </w:p>
    <w:p>
      <w:pPr>
        <w:spacing w:after="140" w:before="80" w:line="320"/>
        <w:jc w:val="left"/>
      </w:pPr>
      <w:r>
        <w:rPr>
          <w:rFonts w:ascii="Arial" w:cs="Arial" w:eastAsia="Arial" w:hAnsi="Arial"/>
          <w:color w:val="1F2937"/>
          <w:sz w:val="22"/>
          <w:szCs w:val="22"/>
        </w:rPr>
        <w:t xml:space="preserve">Open the Playbook Library. Do not browse all 170. Search instead for the three scenarios that keep you up at night — ransomware, SEC investigation, competitor acquisition, data breach, supplier collapse — and confirm those exact playbooks exist, pre-staged, with stakeholder maps and decision gates already defined. </w:t>
      </w:r>
      <w:r>
        <w:rPr>
          <w:rFonts w:ascii="Arial" w:cs="Arial" w:eastAsia="Arial" w:hAnsi="Arial"/>
          <w:b/>
          <w:bCs/>
          <w:color w:val="0A0F2E"/>
          <w:sz w:val="22"/>
          <w:szCs w:val="22"/>
        </w:rPr>
        <w:t xml:space="preserve">This is the moment the platform stops feeling like software and starts feeling like an insurance policy you wish you had bought two years ago.</w:t>
      </w:r>
    </w:p>
    <w:p>
      <w:pPr>
        <w:spacing w:after="140" w:before="80" w:line="320"/>
        <w:jc w:val="left"/>
      </w:pPr>
      <w:r>
        <w:rPr>
          <w:rFonts w:ascii="Arial" w:cs="Arial" w:eastAsia="Arial" w:hAnsi="Arial"/>
          <w:b/>
          <w:bCs/>
          <w:color w:val="2B8A6E"/>
          <w:sz w:val="22"/>
          <w:szCs w:val="22"/>
        </w:rPr>
        <w:t xml:space="preserve">Route: </w:t>
      </w:r>
      <w:r>
        <w:rPr>
          <w:rFonts w:ascii="Consolas" w:cs="Consolas" w:eastAsia="Consolas" w:hAnsi="Consolas"/>
          <w:color w:val="0A0F2E"/>
          <w:sz w:val="22"/>
          <w:szCs w:val="22"/>
        </w:rPr>
        <w:t xml:space="preserve">/playbook-library</w:t>
      </w:r>
    </w:p>
    <w:p>
      <w:pPr>
        <w:pStyle w:val="Heading2"/>
        <w:spacing w:after="120" w:before="280"/>
      </w:pPr>
      <w:r>
        <w:rPr>
          <w:rFonts w:ascii="Georgia" w:cs="Georgia" w:eastAsia="Georgia" w:hAnsi="Georgia"/>
          <w:b/>
          <w:bCs/>
          <w:color w:val="0A0F2E"/>
          <w:sz w:val="26"/>
          <w:szCs w:val="26"/>
        </w:rPr>
        <w:t xml:space="preserve">Test the scenario you are most afraid of</w:t>
      </w:r>
    </w:p>
    <w:p>
      <w:pPr>
        <w:spacing w:after="140" w:before="80" w:line="320"/>
        <w:jc w:val="left"/>
      </w:pPr>
      <w:r>
        <w:rPr>
          <w:rFonts w:ascii="Arial" w:cs="Arial" w:eastAsia="Arial" w:hAnsi="Arial"/>
          <w:color w:val="1F2937"/>
          <w:sz w:val="22"/>
          <w:szCs w:val="22"/>
        </w:rPr>
        <w:t xml:space="preserve">Open the Shadow Strategy Simulator. Type the exact scenario you dread — in your own words, in as much detail as you can stand. Survive and Thrive scores render as circular gauges. Covered domains light up. Coverage gaps surface. </w:t>
      </w:r>
      <w:r>
        <w:rPr>
          <w:rFonts w:ascii="Arial" w:cs="Arial" w:eastAsia="Arial" w:hAnsi="Arial"/>
          <w:b/>
          <w:bCs/>
          <w:color w:val="0A0F2E"/>
          <w:sz w:val="22"/>
          <w:szCs w:val="22"/>
        </w:rPr>
        <w:t xml:space="preserve">This is where customization begins and where you stop thinking of Readiness OS as something that arrived and start thinking of it as something you own.</w:t>
      </w:r>
    </w:p>
    <w:p>
      <w:pPr>
        <w:spacing w:after="140" w:before="80" w:line="320"/>
        <w:jc w:val="left"/>
      </w:pPr>
      <w:r>
        <w:rPr>
          <w:rFonts w:ascii="Arial" w:cs="Arial" w:eastAsia="Arial" w:hAnsi="Arial"/>
          <w:b/>
          <w:bCs/>
          <w:color w:val="2B8A6E"/>
          <w:sz w:val="22"/>
          <w:szCs w:val="22"/>
        </w:rPr>
        <w:t xml:space="preserve">Route: </w:t>
      </w:r>
      <w:r>
        <w:rPr>
          <w:rFonts w:ascii="Consolas" w:cs="Consolas" w:eastAsia="Consolas" w:hAnsi="Consolas"/>
          <w:color w:val="0A0F2E"/>
          <w:sz w:val="22"/>
          <w:szCs w:val="22"/>
        </w:rPr>
        <w:t xml:space="preserve">/simulation-studio</w:t>
      </w:r>
    </w:p>
    <w:p>
      <w:pPr>
        <w:spacing w:after="200" w:before="0"/>
      </w:pPr>
      <w:r>
        <w:t xml:space="preserve"/>
      </w:r>
    </w:p>
    <w:p>
      <w:pPr>
        <w:pBdr>
          <w:bottom w:val="single" w:color="C9A84C" w:sz="12" w:space="4"/>
        </w:pBdr>
        <w:spacing w:after="200" w:before="160"/>
      </w:pPr>
      <w:r>
        <w:t xml:space="preserve"/>
      </w:r>
    </w:p>
    <w:p>
      <w:pPr>
        <w:spacing w:after="80" w:before="240"/>
      </w:pPr>
      <w:r>
        <w:rPr>
          <w:rFonts w:ascii="Arial" w:cs="Arial" w:eastAsia="Arial" w:hAnsi="Arial"/>
          <w:b/>
          <w:bCs/>
          <w:color w:val="C9A84C"/>
          <w:spacing w:val="60"/>
          <w:sz w:val="18"/>
          <w:szCs w:val="18"/>
        </w:rPr>
        <w:t xml:space="preserve">DAYS 8 – 14</w:t>
      </w:r>
    </w:p>
    <w:p>
      <w:pPr>
        <w:pStyle w:val="Heading1"/>
        <w:spacing w:after="160" w:before="100"/>
      </w:pPr>
      <w:r>
        <w:rPr>
          <w:rFonts w:ascii="Georgia" w:cs="Georgia" w:eastAsia="Georgia" w:hAnsi="Georgia"/>
          <w:b/>
          <w:bCs/>
          <w:color w:val="0A0F2E"/>
          <w:sz w:val="36"/>
          <w:szCs w:val="36"/>
        </w:rPr>
        <w:t xml:space="preserve">Week Two — Make It Yours</w:t>
      </w:r>
    </w:p>
    <w:p>
      <w:pPr>
        <w:pStyle w:val="Heading2"/>
        <w:spacing w:after="120" w:before="280"/>
      </w:pPr>
      <w:r>
        <w:rPr>
          <w:rFonts w:ascii="Georgia" w:cs="Georgia" w:eastAsia="Georgia" w:hAnsi="Georgia"/>
          <w:b/>
          <w:bCs/>
          <w:color w:val="0A0F2E"/>
          <w:sz w:val="26"/>
          <w:szCs w:val="26"/>
        </w:rPr>
        <w:t xml:space="preserve">Turn tribal knowledge into institutional memory</w:t>
      </w:r>
    </w:p>
    <w:p>
      <w:pPr>
        <w:spacing w:after="140" w:before="80" w:line="320"/>
        <w:jc w:val="left"/>
      </w:pPr>
      <w:r>
        <w:rPr>
          <w:rFonts w:ascii="Arial" w:cs="Arial" w:eastAsia="Arial" w:hAnsi="Arial"/>
          <w:color w:val="1F2937"/>
          <w:sz w:val="22"/>
          <w:szCs w:val="22"/>
        </w:rPr>
        <w:t xml:space="preserve">Open the Strategic Recorder. Paste your worst post-mortem — the incident everyone in the organization still remembers, the one where the after-action review never led to anything that changed. Watch the platform convert that tribal knowledge into a custom playbook outline in minutes. </w:t>
      </w:r>
      <w:r>
        <w:rPr>
          <w:rFonts w:ascii="Arial" w:cs="Arial" w:eastAsia="Arial" w:hAnsi="Arial"/>
          <w:b/>
          <w:bCs/>
          <w:color w:val="0A0F2E"/>
          <w:sz w:val="22"/>
          <w:szCs w:val="22"/>
        </w:rPr>
        <w:t xml:space="preserve">This is the moment you understand compounding.</w:t>
      </w:r>
      <w:r>
        <w:rPr>
          <w:rFonts w:ascii="Arial" w:cs="Arial" w:eastAsia="Arial" w:hAnsi="Arial"/>
          <w:color w:val="1F2937"/>
          <w:sz w:val="22"/>
          <w:szCs w:val="22"/>
        </w:rPr>
        <w:t xml:space="preserve"> Every crisis your organization has already survived becomes a pre-staged response for the next one.</w:t>
      </w:r>
    </w:p>
    <w:p>
      <w:pPr>
        <w:spacing w:after="140" w:before="80" w:line="320"/>
        <w:jc w:val="left"/>
      </w:pPr>
      <w:r>
        <w:rPr>
          <w:rFonts w:ascii="Arial" w:cs="Arial" w:eastAsia="Arial" w:hAnsi="Arial"/>
          <w:b/>
          <w:bCs/>
          <w:color w:val="2B8A6E"/>
          <w:sz w:val="22"/>
          <w:szCs w:val="22"/>
        </w:rPr>
        <w:t xml:space="preserve">Route: </w:t>
      </w:r>
      <w:r>
        <w:rPr>
          <w:rFonts w:ascii="Consolas" w:cs="Consolas" w:eastAsia="Consolas" w:hAnsi="Consolas"/>
          <w:color w:val="0A0F2E"/>
          <w:sz w:val="22"/>
          <w:szCs w:val="22"/>
        </w:rPr>
        <w:t xml:space="preserve">/strategic-recorder</w:t>
      </w:r>
    </w:p>
    <w:p>
      <w:pPr>
        <w:pStyle w:val="Heading2"/>
        <w:spacing w:after="120" w:before="280"/>
      </w:pPr>
      <w:r>
        <w:rPr>
          <w:rFonts w:ascii="Georgia" w:cs="Georgia" w:eastAsia="Georgia" w:hAnsi="Georgia"/>
          <w:b/>
          <w:bCs/>
          <w:color w:val="0A0F2E"/>
          <w:sz w:val="26"/>
          <w:szCs w:val="26"/>
        </w:rPr>
        <w:t xml:space="preserve">Make the signal layer yours</w:t>
      </w:r>
    </w:p>
    <w:p>
      <w:pPr>
        <w:spacing w:after="140" w:before="80" w:line="320"/>
        <w:jc w:val="left"/>
      </w:pPr>
      <w:r>
        <w:rPr>
          <w:rFonts w:ascii="Arial" w:cs="Arial" w:eastAsia="Arial" w:hAnsi="Arial"/>
          <w:color w:val="1F2937"/>
          <w:sz w:val="22"/>
          <w:szCs w:val="22"/>
        </w:rPr>
        <w:t xml:space="preserve">Open Signal Configuration. Walk through the category-level toggles. Disable the data points that do not apply to your industry. Confirm the 221 triggers that most threaten your business are active and watched on the 15-minute cycle. This is where the platform stops being a generic library and starts being </w:t>
      </w:r>
      <w:r>
        <w:rPr>
          <w:rFonts w:ascii="Arial" w:cs="Arial" w:eastAsia="Arial" w:hAnsi="Arial"/>
          <w:b/>
          <w:bCs/>
          <w:i/>
          <w:iCs/>
          <w:color w:val="1F2937"/>
          <w:sz w:val="22"/>
          <w:szCs w:val="22"/>
        </w:rPr>
        <w:t xml:space="preserve">your</w:t>
      </w:r>
      <w:r>
        <w:rPr>
          <w:rFonts w:ascii="Arial" w:cs="Arial" w:eastAsia="Arial" w:hAnsi="Arial"/>
          <w:color w:val="1F2937"/>
          <w:sz w:val="22"/>
          <w:szCs w:val="22"/>
        </w:rPr>
        <w:t xml:space="preserve"> readiness infrastructure.</w:t>
      </w:r>
    </w:p>
    <w:p>
      <w:pPr>
        <w:spacing w:after="140" w:before="80" w:line="320"/>
        <w:jc w:val="left"/>
      </w:pPr>
      <w:r>
        <w:rPr>
          <w:rFonts w:ascii="Arial" w:cs="Arial" w:eastAsia="Arial" w:hAnsi="Arial"/>
          <w:b/>
          <w:bCs/>
          <w:color w:val="2B8A6E"/>
          <w:sz w:val="22"/>
          <w:szCs w:val="22"/>
        </w:rPr>
        <w:t xml:space="preserve">Route: </w:t>
      </w:r>
      <w:r>
        <w:rPr>
          <w:rFonts w:ascii="Consolas" w:cs="Consolas" w:eastAsia="Consolas" w:hAnsi="Consolas"/>
          <w:color w:val="0A0F2E"/>
          <w:sz w:val="22"/>
          <w:szCs w:val="22"/>
        </w:rPr>
        <w:t xml:space="preserve">/signal-configuration</w:t>
      </w:r>
    </w:p>
    <w:p>
      <w:pPr>
        <w:spacing w:after="200" w:before="0"/>
      </w:pPr>
      <w:r>
        <w:t xml:space="preserve"/>
      </w:r>
    </w:p>
    <w:p>
      <w:pPr>
        <w:pBdr>
          <w:bottom w:val="single" w:color="C9A84C" w:sz="12" w:space="4"/>
        </w:pBdr>
        <w:spacing w:after="200" w:before="160"/>
      </w:pPr>
      <w:r>
        <w:t xml:space="preserve"/>
      </w:r>
    </w:p>
    <w:p>
      <w:pPr>
        <w:spacing w:after="80" w:before="240"/>
      </w:pPr>
      <w:r>
        <w:rPr>
          <w:rFonts w:ascii="Arial" w:cs="Arial" w:eastAsia="Arial" w:hAnsi="Arial"/>
          <w:b/>
          <w:bCs/>
          <w:color w:val="C9A84C"/>
          <w:spacing w:val="60"/>
          <w:sz w:val="18"/>
          <w:szCs w:val="18"/>
        </w:rPr>
        <w:t xml:space="preserve">DAY 30</w:t>
      </w:r>
    </w:p>
    <w:p>
      <w:pPr>
        <w:pStyle w:val="Heading1"/>
        <w:spacing w:after="160" w:before="100"/>
      </w:pPr>
      <w:r>
        <w:rPr>
          <w:rFonts w:ascii="Georgia" w:cs="Georgia" w:eastAsia="Georgia" w:hAnsi="Georgia"/>
          <w:b/>
          <w:bCs/>
          <w:color w:val="0A0F2E"/>
          <w:sz w:val="36"/>
          <w:szCs w:val="36"/>
        </w:rPr>
        <w:t xml:space="preserve">The Renewal Conversation Writes Itself</w:t>
      </w:r>
    </w:p>
    <w:p>
      <w:pPr>
        <w:spacing w:after="140" w:before="80" w:line="320"/>
        <w:jc w:val="left"/>
      </w:pPr>
      <w:r>
        <w:rPr>
          <w:rFonts w:ascii="Arial" w:cs="Arial" w:eastAsia="Arial" w:hAnsi="Arial"/>
          <w:color w:val="1F2937"/>
          <w:sz w:val="22"/>
          <w:szCs w:val="22"/>
        </w:rPr>
        <w:t xml:space="preserve">By Day 30 you have activated a handful of real or drilled playbooks. Open the ROI Dashboard. The hero metric shows value preserved this period — measured in dollars, calculated against the 30-day mobilization baseline at the Fortune 1000 coordination rate. The board report is printable.</w:t>
      </w:r>
    </w:p>
    <w:p>
      <w:pPr>
        <w:spacing w:after="140" w:before="80" w:line="320"/>
        <w:jc w:val="left"/>
      </w:pPr>
      <w:r>
        <w:rPr>
          <w:rFonts w:ascii="Arial" w:cs="Arial" w:eastAsia="Arial" w:hAnsi="Arial"/>
          <w:b/>
          <w:bCs/>
          <w:color w:val="0A0F2E"/>
          <w:sz w:val="22"/>
          <w:szCs w:val="22"/>
        </w:rPr>
        <w:t xml:space="preserve">This is what you bring to the next executive staff meeting.</w:t>
      </w:r>
      <w:r>
        <w:rPr>
          <w:rFonts w:ascii="Arial" w:cs="Arial" w:eastAsia="Arial" w:hAnsi="Arial"/>
          <w:color w:val="1F2937"/>
          <w:sz w:val="22"/>
          <w:szCs w:val="22"/>
        </w:rPr>
        <w:t xml:space="preserve"> This is what you bring to the next board deck. This is the renewal conversation writing itself.</w:t>
      </w:r>
    </w:p>
    <w:p>
      <w:pPr>
        <w:spacing w:after="140" w:before="80" w:line="320"/>
        <w:jc w:val="left"/>
      </w:pPr>
      <w:r>
        <w:rPr>
          <w:rFonts w:ascii="Arial" w:cs="Arial" w:eastAsia="Arial" w:hAnsi="Arial"/>
          <w:b/>
          <w:bCs/>
          <w:color w:val="2B8A6E"/>
          <w:sz w:val="22"/>
          <w:szCs w:val="22"/>
        </w:rPr>
        <w:t xml:space="preserve">Route: </w:t>
      </w:r>
      <w:r>
        <w:rPr>
          <w:rFonts w:ascii="Consolas" w:cs="Consolas" w:eastAsia="Consolas" w:hAnsi="Consolas"/>
          <w:color w:val="0A0F2E"/>
          <w:sz w:val="22"/>
          <w:szCs w:val="22"/>
        </w:rPr>
        <w:t xml:space="preserve">/roi-dashboard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8F7F4" w:val="clear"/>
            <w:tcMar>
              <w:top w:type="dxa" w:w="240"/>
              <w:left w:type="dxa" w:w="340"/>
              <w:bottom w:type="dxa" w:w="240"/>
              <w:right w:type="dxa" w:w="240"/>
            </w:tcMar>
          </w:tcPr>
          <w:p>
            <w:pPr>
              <w:spacing w:after="80" w:before="100" w:line="340"/>
            </w:pPr>
            <w:r>
              <w:rPr>
                <w:rFonts w:ascii="Georgia" w:cs="Georgia" w:eastAsia="Georgia" w:hAnsi="Georgia"/>
                <w:i/>
                <w:iCs/>
                <w:color w:val="0A0F2E"/>
                <w:sz w:val="26"/>
                <w:szCs w:val="26"/>
              </w:rPr>
              <w:t xml:space="preserve">Every enterprise has Microsoft's AI stack. None have the operating model to use it. Readiness OS is that operating model.</w:t>
            </w:r>
          </w:p>
          <w:p>
            <w:pPr>
              <w:spacing w:after="100" w:before="0"/>
            </w:pPr>
            <w:r>
              <w:rPr>
                <w:rFonts w:ascii="Arial" w:cs="Arial" w:eastAsia="Arial" w:hAnsi="Arial"/>
                <w:color w:val="6B7280"/>
                <w:sz w:val="20"/>
                <w:szCs w:val="20"/>
              </w:rPr>
              <w:t xml:space="preserve">— Platform positioning</w:t>
            </w:r>
          </w:p>
        </w:tc>
      </w:tr>
    </w:tbl>
    <w:p>
      <w:pPr>
        <w:spacing w:after="100" w:before="0"/>
      </w:pPr>
      <w:r>
        <w:t xml:space="preserve"/>
      </w:r>
    </w:p>
    <w:p>
      <w:pPr>
        <w:pBdr>
          <w:bottom w:val="single" w:color="C9A84C" w:sz="12" w:space="4"/>
        </w:pBdr>
        <w:spacing w:after="200" w:before="160"/>
      </w:pPr>
      <w:r>
        <w:t xml:space="preserve"/>
      </w:r>
    </w:p>
    <w:p>
      <w:pPr>
        <w:spacing w:after="80" w:before="240"/>
      </w:pPr>
      <w:r>
        <w:rPr>
          <w:rFonts w:ascii="Arial" w:cs="Arial" w:eastAsia="Arial" w:hAnsi="Arial"/>
          <w:b/>
          <w:bCs/>
          <w:color w:val="C9A84C"/>
          <w:spacing w:val="60"/>
          <w:sz w:val="18"/>
          <w:szCs w:val="18"/>
        </w:rPr>
        <w:t xml:space="preserve">GUARDRAILS</w:t>
      </w:r>
    </w:p>
    <w:p>
      <w:pPr>
        <w:pStyle w:val="Heading1"/>
        <w:spacing w:after="160" w:before="100"/>
      </w:pPr>
      <w:r>
        <w:rPr>
          <w:rFonts w:ascii="Georgia" w:cs="Georgia" w:eastAsia="Georgia" w:hAnsi="Georgia"/>
          <w:b/>
          <w:bCs/>
          <w:color w:val="0A0F2E"/>
          <w:sz w:val="36"/>
          <w:szCs w:val="36"/>
        </w:rPr>
        <w:t xml:space="preserve">What Never to Do</w:t>
      </w:r>
    </w:p>
    <w:p>
      <w:pPr>
        <w:spacing w:after="140" w:before="80" w:line="320"/>
        <w:jc w:val="left"/>
      </w:pPr>
      <w:r>
        <w:rPr>
          <w:rFonts w:ascii="Arial" w:cs="Arial" w:eastAsia="Arial" w:hAnsi="Arial"/>
          <w:color w:val="1F2937"/>
          <w:sz w:val="22"/>
          <w:szCs w:val="22"/>
        </w:rPr>
        <w:t xml:space="preserve">Four paths look like natural starting points and are all wrong. Each is correct later. None is correct first.</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4DC" w:sz="6"/>
              <w:right w:val="none" w:color="FFFFFF" w:sz="0"/>
            </w:tcBorders>
            <w:tcMar>
              <w:top w:type="dxa" w:w="140"/>
              <w:left w:type="dxa" w:w="200"/>
              <w:bottom w:type="dxa" w:w="140"/>
              <w:right w:type="dxa" w:w="200"/>
            </w:tcMar>
          </w:tcPr>
          <w:p>
            <w:pPr>
              <w:spacing w:after="0" w:before="0"/>
            </w:pPr>
            <w:r>
              <w:rPr>
                <w:rFonts w:ascii="Arial" w:cs="Arial" w:eastAsia="Arial" w:hAnsi="Arial"/>
                <w:b/>
                <w:bCs/>
                <w:color w:val="B84A4A"/>
                <w:sz w:val="22"/>
                <w:szCs w:val="22"/>
              </w:rPr>
              <w:t xml:space="preserve">✕   </w:t>
            </w:r>
            <w:r>
              <w:rPr>
                <w:rFonts w:ascii="Arial" w:cs="Arial" w:eastAsia="Arial" w:hAnsi="Arial"/>
                <w:color w:val="1F2937"/>
                <w:sz w:val="22"/>
                <w:szCs w:val="22"/>
              </w:rPr>
              <w:t xml:space="preserve">Do not lead with the 5-step onboarding wizard. It teaches the platform before proving the compression.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4DC" w:sz="6"/>
              <w:right w:val="none" w:color="FFFFFF" w:sz="0"/>
            </w:tcBorders>
            <w:tcMar>
              <w:top w:type="dxa" w:w="140"/>
              <w:left w:type="dxa" w:w="200"/>
              <w:bottom w:type="dxa" w:w="140"/>
              <w:right w:type="dxa" w:w="200"/>
            </w:tcMar>
          </w:tcPr>
          <w:p>
            <w:pPr>
              <w:spacing w:after="0" w:before="0"/>
            </w:pPr>
            <w:r>
              <w:rPr>
                <w:rFonts w:ascii="Arial" w:cs="Arial" w:eastAsia="Arial" w:hAnsi="Arial"/>
                <w:b/>
                <w:bCs/>
                <w:color w:val="B84A4A"/>
                <w:sz w:val="22"/>
                <w:szCs w:val="22"/>
              </w:rPr>
              <w:t xml:space="preserve">✕   </w:t>
            </w:r>
            <w:r>
              <w:rPr>
                <w:rFonts w:ascii="Arial" w:cs="Arial" w:eastAsia="Arial" w:hAnsi="Arial"/>
                <w:color w:val="1F2937"/>
                <w:sz w:val="22"/>
                <w:szCs w:val="22"/>
              </w:rPr>
              <w:t xml:space="preserve">Do not lead with the Signal Intelligence Hub. Raw signal volume without context looks like noise, not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4DC" w:sz="6"/>
              <w:right w:val="none" w:color="FFFFFF" w:sz="0"/>
            </w:tcBorders>
            <w:tcMar>
              <w:top w:type="dxa" w:w="140"/>
              <w:left w:type="dxa" w:w="200"/>
              <w:bottom w:type="dxa" w:w="140"/>
              <w:right w:type="dxa" w:w="200"/>
            </w:tcMar>
          </w:tcPr>
          <w:p>
            <w:pPr>
              <w:spacing w:after="0" w:before="0"/>
            </w:pPr>
            <w:r>
              <w:rPr>
                <w:rFonts w:ascii="Arial" w:cs="Arial" w:eastAsia="Arial" w:hAnsi="Arial"/>
                <w:b/>
                <w:bCs/>
                <w:color w:val="B84A4A"/>
                <w:sz w:val="22"/>
                <w:szCs w:val="22"/>
              </w:rPr>
              <w:t xml:space="preserve">✕   </w:t>
            </w:r>
            <w:r>
              <w:rPr>
                <w:rFonts w:ascii="Arial" w:cs="Arial" w:eastAsia="Arial" w:hAnsi="Arial"/>
                <w:color w:val="1F2937"/>
                <w:sz w:val="22"/>
                <w:szCs w:val="22"/>
              </w:rPr>
              <w:t xml:space="preserve">Do not lead with Settings. Configuration before belief is a tour of knobs no one yet understands.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4DC" w:sz="6"/>
              <w:right w:val="none" w:color="FFFFFF" w:sz="0"/>
            </w:tcBorders>
            <w:tcMar>
              <w:top w:type="dxa" w:w="140"/>
              <w:left w:type="dxa" w:w="200"/>
              <w:bottom w:type="dxa" w:w="140"/>
              <w:right w:type="dxa" w:w="200"/>
            </w:tcMar>
          </w:tcPr>
          <w:p>
            <w:pPr>
              <w:spacing w:after="0" w:before="0"/>
            </w:pPr>
            <w:r>
              <w:rPr>
                <w:rFonts w:ascii="Arial" w:cs="Arial" w:eastAsia="Arial" w:hAnsi="Arial"/>
                <w:b/>
                <w:bCs/>
                <w:color w:val="B84A4A"/>
                <w:sz w:val="22"/>
                <w:szCs w:val="22"/>
              </w:rPr>
              <w:t xml:space="preserve">✕   </w:t>
            </w:r>
            <w:r>
              <w:rPr>
                <w:rFonts w:ascii="Arial" w:cs="Arial" w:eastAsia="Arial" w:hAnsi="Arial"/>
                <w:color w:val="1F2937"/>
                <w:sz w:val="22"/>
                <w:szCs w:val="22"/>
              </w:rPr>
              <w:t xml:space="preserve">Do not browse all 170 playbooks on day one. Search for three you fear. Let the depth reveal itself on your schedule.</w:t>
            </w:r>
          </w:p>
        </w:tc>
      </w:tr>
    </w:tbl>
    <w:p>
      <w:pPr>
        <w:spacing w:after="240" w:before="0"/>
      </w:pPr>
      <w:r>
        <w:t xml:space="preserve"/>
      </w:r>
    </w:p>
    <w:p>
      <w:pPr>
        <w:spacing w:after="140" w:before="80" w:line="320"/>
        <w:jc w:val="left"/>
      </w:pPr>
      <w:r>
        <w:rPr>
          <w:rFonts w:ascii="Arial" w:cs="Arial" w:eastAsia="Arial" w:hAnsi="Arial"/>
          <w:b/>
          <w:bCs/>
          <w:color w:val="0A0F2E"/>
          <w:sz w:val="22"/>
          <w:szCs w:val="22"/>
        </w:rPr>
        <w:t xml:space="preserve">Lead with the collapse. </w:t>
      </w:r>
      <w:r>
        <w:rPr>
          <w:rFonts w:ascii="Arial" w:cs="Arial" w:eastAsia="Arial" w:hAnsi="Arial"/>
          <w:color w:val="1F2937"/>
          <w:sz w:val="22"/>
          <w:szCs w:val="22"/>
        </w:rPr>
        <w:t xml:space="preserve">The rest of the platform opens on its own after that.</w:t>
      </w:r>
    </w:p>
    <w:p>
      <w:pPr>
        <w:spacing w:after="100" w:before="0"/>
      </w:pPr>
      <w:r>
        <w:t xml:space="preserve"/>
      </w:r>
    </w:p>
    <w:p>
      <w:r>
        <w:br w:type="page"/>
      </w:r>
    </w:p>
    <w:p>
      <w:pPr>
        <w:spacing w:after="80" w:before="240"/>
      </w:pPr>
      <w:r>
        <w:rPr>
          <w:rFonts w:ascii="Arial" w:cs="Arial" w:eastAsia="Arial" w:hAnsi="Arial"/>
          <w:b/>
          <w:bCs/>
          <w:color w:val="C9A84C"/>
          <w:spacing w:val="60"/>
          <w:sz w:val="18"/>
          <w:szCs w:val="18"/>
        </w:rPr>
        <w:t xml:space="preserve">REFERENCE</w:t>
      </w:r>
    </w:p>
    <w:p>
      <w:pPr>
        <w:pStyle w:val="Heading1"/>
        <w:spacing w:after="160" w:before="100"/>
      </w:pPr>
      <w:r>
        <w:rPr>
          <w:rFonts w:ascii="Georgia" w:cs="Georgia" w:eastAsia="Georgia" w:hAnsi="Georgia"/>
          <w:b/>
          <w:bCs/>
          <w:color w:val="0A0F2E"/>
          <w:sz w:val="36"/>
          <w:szCs w:val="36"/>
        </w:rPr>
        <w:t xml:space="preserve">30 Days at a Glance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rPr>
          <w:tblHeader/>
        </w:trPr>
        <w:tc>
          <w:tcPr>
            <w:tcW w:type="dxa" w:w="1440"/>
            <w:tcBorders>
              <w:top w:val="single" w:color="0A0F2E" w:sz="6"/>
              <w:left w:val="single" w:color="0A0F2E" w:sz="6"/>
              <w:bottom w:val="single" w:color="0A0F2E" w:sz="6"/>
              <w:right w:val="single" w:color="0A0F2E" w:sz="6"/>
            </w:tcBorders>
            <w:shd w:fill="0A0F2E" w:val="clear"/>
            <w:tcMar>
              <w:top w:type="dxa" w:w="140"/>
              <w:left w:type="dxa" w:w="180"/>
              <w:bottom w:type="dxa" w:w="140"/>
              <w:right w:type="dxa" w:w="180"/>
            </w:tcMar>
            <w:vAlign w:val="center"/>
          </w:tcPr>
          <w:p>
            <w:pPr>
              <w:spacing w:after="0" w:before="0"/>
            </w:pPr>
            <w:r>
              <w:rPr>
                <w:rFonts w:ascii="Arial" w:cs="Arial" w:eastAsia="Arial" w:hAnsi="Arial"/>
                <w:b/>
                <w:bCs/>
                <w:color w:val="FFFFFF"/>
                <w:spacing w:val="80"/>
                <w:sz w:val="18"/>
                <w:szCs w:val="18"/>
              </w:rPr>
              <w:t xml:space="preserve">WHEN</w:t>
            </w:r>
          </w:p>
        </w:tc>
        <w:tc>
          <w:tcPr>
            <w:tcW w:type="dxa" w:w="3240"/>
            <w:tcBorders>
              <w:top w:val="single" w:color="0A0F2E" w:sz="6"/>
              <w:left w:val="single" w:color="0A0F2E" w:sz="6"/>
              <w:bottom w:val="single" w:color="0A0F2E" w:sz="6"/>
              <w:right w:val="single" w:color="0A0F2E" w:sz="6"/>
            </w:tcBorders>
            <w:shd w:fill="0A0F2E" w:val="clear"/>
            <w:tcMar>
              <w:top w:type="dxa" w:w="140"/>
              <w:left w:type="dxa" w:w="180"/>
              <w:bottom w:type="dxa" w:w="140"/>
              <w:right w:type="dxa" w:w="180"/>
            </w:tcMar>
            <w:vAlign w:val="center"/>
          </w:tcPr>
          <w:p>
            <w:pPr>
              <w:spacing w:after="0" w:before="0"/>
            </w:pPr>
            <w:r>
              <w:rPr>
                <w:rFonts w:ascii="Arial" w:cs="Arial" w:eastAsia="Arial" w:hAnsi="Arial"/>
                <w:b/>
                <w:bCs/>
                <w:color w:val="FFFFFF"/>
                <w:spacing w:val="80"/>
                <w:sz w:val="18"/>
                <w:szCs w:val="18"/>
              </w:rPr>
              <w:t xml:space="preserve">WHAT</w:t>
            </w:r>
          </w:p>
        </w:tc>
        <w:tc>
          <w:tcPr>
            <w:tcW w:type="dxa" w:w="4680"/>
            <w:tcBorders>
              <w:top w:val="single" w:color="0A0F2E" w:sz="6"/>
              <w:left w:val="single" w:color="0A0F2E" w:sz="6"/>
              <w:bottom w:val="single" w:color="0A0F2E" w:sz="6"/>
              <w:right w:val="single" w:color="0A0F2E" w:sz="6"/>
            </w:tcBorders>
            <w:shd w:fill="0A0F2E" w:val="clear"/>
            <w:tcMar>
              <w:top w:type="dxa" w:w="140"/>
              <w:left w:type="dxa" w:w="180"/>
              <w:bottom w:type="dxa" w:w="140"/>
              <w:right w:type="dxa" w:w="180"/>
            </w:tcMar>
            <w:vAlign w:val="center"/>
          </w:tcPr>
          <w:p>
            <w:pPr>
              <w:spacing w:after="0" w:before="0"/>
            </w:pPr>
            <w:r>
              <w:rPr>
                <w:rFonts w:ascii="Arial" w:cs="Arial" w:eastAsia="Arial" w:hAnsi="Arial"/>
                <w:b/>
                <w:bCs/>
                <w:color w:val="FFFFFF"/>
                <w:spacing w:val="80"/>
                <w:sz w:val="18"/>
                <w:szCs w:val="18"/>
              </w:rPr>
              <w:t xml:space="preserve">WHY IT MATTERS</w:t>
            </w:r>
          </w:p>
        </w:tc>
      </w:tr>
      <w:tr>
        <w:tc>
          <w:tcPr>
            <w:tcW w:type="dxa" w:w="144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pPr>
            <w:r>
              <w:rPr>
                <w:rFonts w:ascii="Arial" w:cs="Arial" w:eastAsia="Arial" w:hAnsi="Arial"/>
                <w:b/>
                <w:bCs/>
                <w:color w:val="C9A84C"/>
                <w:sz w:val="20"/>
                <w:szCs w:val="20"/>
              </w:rPr>
              <w:t xml:space="preserve">First 20 min</w:t>
            </w:r>
          </w:p>
        </w:tc>
        <w:tc>
          <w:tcPr>
            <w:tcW w:type="dxa" w:w="324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pPr>
            <w:r>
              <w:rPr>
                <w:rFonts w:ascii="Arial" w:cs="Arial" w:eastAsia="Arial" w:hAnsi="Arial"/>
                <w:b/>
                <w:bCs/>
                <w:color w:val="0A0F2E"/>
                <w:sz w:val="20"/>
                <w:szCs w:val="20"/>
              </w:rPr>
              <w:t xml:space="preserve">Activate the welcome trigger alert</w:t>
            </w:r>
          </w:p>
        </w:tc>
        <w:tc>
          <w:tcPr>
            <w:tcW w:type="dxa" w:w="468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line="300"/>
            </w:pPr>
            <w:r>
              <w:rPr>
                <w:rFonts w:ascii="Arial" w:cs="Arial" w:eastAsia="Arial" w:hAnsi="Arial"/>
                <w:color w:val="1F2937"/>
                <w:sz w:val="20"/>
                <w:szCs w:val="20"/>
              </w:rPr>
              <w:t xml:space="preserve">Feel the 30-day to 12-minute collapse once, on your own click.</w:t>
            </w:r>
          </w:p>
        </w:tc>
      </w:tr>
      <w:tr>
        <w:tc>
          <w:tcPr>
            <w:tcW w:type="dxa" w:w="144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pPr>
            <w:r>
              <w:rPr>
                <w:rFonts w:ascii="Arial" w:cs="Arial" w:eastAsia="Arial" w:hAnsi="Arial"/>
                <w:b/>
                <w:bCs/>
                <w:color w:val="C9A84C"/>
                <w:sz w:val="20"/>
                <w:szCs w:val="20"/>
              </w:rPr>
              <w:t xml:space="preserve">Days 2 – 7</w:t>
            </w:r>
          </w:p>
        </w:tc>
        <w:tc>
          <w:tcPr>
            <w:tcW w:type="dxa" w:w="324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pPr>
            <w:r>
              <w:rPr>
                <w:rFonts w:ascii="Arial" w:cs="Arial" w:eastAsia="Arial" w:hAnsi="Arial"/>
                <w:b/>
                <w:bCs/>
                <w:color w:val="0A0F2E"/>
                <w:sz w:val="20"/>
                <w:szCs w:val="20"/>
              </w:rPr>
              <w:t xml:space="preserve">Executive Departure Brief + three fear-based playbook searches</w:t>
            </w:r>
          </w:p>
        </w:tc>
        <w:tc>
          <w:tcPr>
            <w:tcW w:type="dxa" w:w="468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line="300"/>
            </w:pPr>
            <w:r>
              <w:rPr>
                <w:rFonts w:ascii="Arial" w:cs="Arial" w:eastAsia="Arial" w:hAnsi="Arial"/>
                <w:color w:val="1F2937"/>
                <w:sz w:val="20"/>
                <w:szCs w:val="20"/>
              </w:rPr>
              <w:t xml:space="preserve">Prove the platform is not one demo. It is infrastructure.</w:t>
            </w:r>
          </w:p>
        </w:tc>
      </w:tr>
      <w:tr>
        <w:tc>
          <w:tcPr>
            <w:tcW w:type="dxa" w:w="144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pPr>
            <w:r>
              <w:rPr>
                <w:rFonts w:ascii="Arial" w:cs="Arial" w:eastAsia="Arial" w:hAnsi="Arial"/>
                <w:b/>
                <w:bCs/>
                <w:color w:val="C9A84C"/>
                <w:sz w:val="20"/>
                <w:szCs w:val="20"/>
              </w:rPr>
              <w:t xml:space="preserve">Days 2 – 7</w:t>
            </w:r>
          </w:p>
        </w:tc>
        <w:tc>
          <w:tcPr>
            <w:tcW w:type="dxa" w:w="324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pPr>
            <w:r>
              <w:rPr>
                <w:rFonts w:ascii="Arial" w:cs="Arial" w:eastAsia="Arial" w:hAnsi="Arial"/>
                <w:b/>
                <w:bCs/>
                <w:color w:val="0A0F2E"/>
                <w:sz w:val="20"/>
                <w:szCs w:val="20"/>
              </w:rPr>
              <w:t xml:space="preserve">Shadow Strategy Simulator</w:t>
            </w:r>
          </w:p>
        </w:tc>
        <w:tc>
          <w:tcPr>
            <w:tcW w:type="dxa" w:w="468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line="300"/>
            </w:pPr>
            <w:r>
              <w:rPr>
                <w:rFonts w:ascii="Arial" w:cs="Arial" w:eastAsia="Arial" w:hAnsi="Arial"/>
                <w:color w:val="1F2937"/>
                <w:sz w:val="20"/>
                <w:szCs w:val="20"/>
              </w:rPr>
              <w:t xml:space="preserve">Test your worst-case scenario. Surface coverage gaps.</w:t>
            </w:r>
          </w:p>
        </w:tc>
      </w:tr>
      <w:tr>
        <w:tc>
          <w:tcPr>
            <w:tcW w:type="dxa" w:w="144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pPr>
            <w:r>
              <w:rPr>
                <w:rFonts w:ascii="Arial" w:cs="Arial" w:eastAsia="Arial" w:hAnsi="Arial"/>
                <w:b/>
                <w:bCs/>
                <w:color w:val="C9A84C"/>
                <w:sz w:val="20"/>
                <w:szCs w:val="20"/>
              </w:rPr>
              <w:t xml:space="preserve">Days 8 – 14</w:t>
            </w:r>
          </w:p>
        </w:tc>
        <w:tc>
          <w:tcPr>
            <w:tcW w:type="dxa" w:w="324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pPr>
            <w:r>
              <w:rPr>
                <w:rFonts w:ascii="Arial" w:cs="Arial" w:eastAsia="Arial" w:hAnsi="Arial"/>
                <w:b/>
                <w:bCs/>
                <w:color w:val="0A0F2E"/>
                <w:sz w:val="20"/>
                <w:szCs w:val="20"/>
              </w:rPr>
              <w:t xml:space="preserve">Strategic Recorder</w:t>
            </w:r>
          </w:p>
        </w:tc>
        <w:tc>
          <w:tcPr>
            <w:tcW w:type="dxa" w:w="468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line="300"/>
            </w:pPr>
            <w:r>
              <w:rPr>
                <w:rFonts w:ascii="Arial" w:cs="Arial" w:eastAsia="Arial" w:hAnsi="Arial"/>
                <w:color w:val="1F2937"/>
                <w:sz w:val="20"/>
                <w:szCs w:val="20"/>
              </w:rPr>
              <w:t xml:space="preserve">Convert a post-mortem into a custom playbook. Feel compounding.</w:t>
            </w:r>
          </w:p>
        </w:tc>
      </w:tr>
      <w:tr>
        <w:tc>
          <w:tcPr>
            <w:tcW w:type="dxa" w:w="144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pPr>
            <w:r>
              <w:rPr>
                <w:rFonts w:ascii="Arial" w:cs="Arial" w:eastAsia="Arial" w:hAnsi="Arial"/>
                <w:b/>
                <w:bCs/>
                <w:color w:val="C9A84C"/>
                <w:sz w:val="20"/>
                <w:szCs w:val="20"/>
              </w:rPr>
              <w:t xml:space="preserve">Days 8 – 14</w:t>
            </w:r>
          </w:p>
        </w:tc>
        <w:tc>
          <w:tcPr>
            <w:tcW w:type="dxa" w:w="324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pPr>
            <w:r>
              <w:rPr>
                <w:rFonts w:ascii="Arial" w:cs="Arial" w:eastAsia="Arial" w:hAnsi="Arial"/>
                <w:b/>
                <w:bCs/>
                <w:color w:val="0A0F2E"/>
                <w:sz w:val="20"/>
                <w:szCs w:val="20"/>
              </w:rPr>
              <w:t xml:space="preserve">Signal Configuration</w:t>
            </w:r>
          </w:p>
        </w:tc>
        <w:tc>
          <w:tcPr>
            <w:tcW w:type="dxa" w:w="4680"/>
            <w:tcBorders>
              <w:top w:val="single" w:color="E8E4DC" w:sz="6"/>
              <w:left w:val="single" w:color="E8E4DC" w:sz="6"/>
              <w:bottom w:val="single" w:color="E8E4DC" w:sz="6"/>
              <w:right w:val="single" w:color="E8E4DC" w:sz="6"/>
            </w:tcBorders>
            <w:shd w:fill="FFFFFF" w:val="clear"/>
            <w:tcMar>
              <w:top w:type="dxa" w:w="140"/>
              <w:left w:type="dxa" w:w="180"/>
              <w:bottom w:type="dxa" w:w="140"/>
              <w:right w:type="dxa" w:w="180"/>
            </w:tcMar>
            <w:vAlign w:val="top"/>
          </w:tcPr>
          <w:p>
            <w:pPr>
              <w:spacing w:after="0" w:before="0" w:line="300"/>
            </w:pPr>
            <w:r>
              <w:rPr>
                <w:rFonts w:ascii="Arial" w:cs="Arial" w:eastAsia="Arial" w:hAnsi="Arial"/>
                <w:color w:val="1F2937"/>
                <w:sz w:val="20"/>
                <w:szCs w:val="20"/>
              </w:rPr>
              <w:t xml:space="preserve">Tune the 221 triggers to your industry reality.</w:t>
            </w:r>
          </w:p>
        </w:tc>
      </w:tr>
      <w:tr>
        <w:tc>
          <w:tcPr>
            <w:tcW w:type="dxa" w:w="144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pPr>
            <w:r>
              <w:rPr>
                <w:rFonts w:ascii="Arial" w:cs="Arial" w:eastAsia="Arial" w:hAnsi="Arial"/>
                <w:b/>
                <w:bCs/>
                <w:color w:val="C9A84C"/>
                <w:sz w:val="20"/>
                <w:szCs w:val="20"/>
              </w:rPr>
              <w:t xml:space="preserve">Day 30</w:t>
            </w:r>
          </w:p>
        </w:tc>
        <w:tc>
          <w:tcPr>
            <w:tcW w:type="dxa" w:w="324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pPr>
            <w:r>
              <w:rPr>
                <w:rFonts w:ascii="Arial" w:cs="Arial" w:eastAsia="Arial" w:hAnsi="Arial"/>
                <w:b/>
                <w:bCs/>
                <w:color w:val="0A0F2E"/>
                <w:sz w:val="20"/>
                <w:szCs w:val="20"/>
              </w:rPr>
              <w:t xml:space="preserve">ROI Dashboard + Board Report</w:t>
            </w:r>
          </w:p>
        </w:tc>
        <w:tc>
          <w:tcPr>
            <w:tcW w:type="dxa" w:w="4680"/>
            <w:tcBorders>
              <w:top w:val="single" w:color="E8E4DC" w:sz="6"/>
              <w:left w:val="single" w:color="E8E4DC" w:sz="6"/>
              <w:bottom w:val="single" w:color="E8E4DC" w:sz="6"/>
              <w:right w:val="single" w:color="E8E4DC" w:sz="6"/>
            </w:tcBorders>
            <w:shd w:fill="F8F7F4" w:val="clear"/>
            <w:tcMar>
              <w:top w:type="dxa" w:w="140"/>
              <w:left w:type="dxa" w:w="180"/>
              <w:bottom w:type="dxa" w:w="140"/>
              <w:right w:type="dxa" w:w="180"/>
            </w:tcMar>
            <w:vAlign w:val="top"/>
          </w:tcPr>
          <w:p>
            <w:pPr>
              <w:spacing w:after="0" w:before="0" w:line="300"/>
            </w:pPr>
            <w:r>
              <w:rPr>
                <w:rFonts w:ascii="Arial" w:cs="Arial" w:eastAsia="Arial" w:hAnsi="Arial"/>
                <w:color w:val="1F2937"/>
                <w:sz w:val="20"/>
                <w:szCs w:val="20"/>
              </w:rPr>
              <w:t xml:space="preserve">Value preserved this period. Renewal conversation writes itself.</w:t>
            </w:r>
          </w:p>
        </w:tc>
      </w:tr>
    </w:tbl>
    <w:p>
      <w:pPr>
        <w:spacing w:after="300" w:before="0"/>
      </w:pPr>
      <w:r>
        <w:t xml:space="preserve"/>
      </w:r>
    </w:p>
    <w:p>
      <w:pPr>
        <w:pBdr>
          <w:bottom w:val="single" w:color="C9A84C" w:sz="18" w:space="4"/>
        </w:pBdr>
        <w:spacing w:after="200" w:before="160"/>
      </w:pPr>
      <w:r>
        <w:t xml:space="preserve"/>
      </w:r>
    </w:p>
    <w:p>
      <w:pPr>
        <w:spacing w:after="160" w:before="200"/>
        <w:jc w:val="center"/>
      </w:pPr>
      <w:r>
        <w:rPr>
          <w:rFonts w:ascii="Arial" w:cs="Arial" w:eastAsia="Arial" w:hAnsi="Arial"/>
          <w:b/>
          <w:bCs/>
          <w:color w:val="C9A84C"/>
          <w:spacing w:val="80"/>
          <w:sz w:val="22"/>
          <w:szCs w:val="22"/>
        </w:rPr>
        <w:t xml:space="preserve">PREPARATION    ·    READINESS    ·    FEARLESS</w:t>
      </w:r>
    </w:p>
    <w:p>
      <w:pPr>
        <w:spacing w:after="200" w:before="0" w:line="440"/>
        <w:jc w:val="center"/>
      </w:pPr>
      <w:r>
        <w:rPr>
          <w:rFonts w:ascii="Georgia" w:cs="Georgia" w:eastAsia="Georgia" w:hAnsi="Georgia"/>
          <w:i/>
          <w:iCs/>
          <w:color w:val="0A0F2E"/>
          <w:sz w:val="32"/>
          <w:szCs w:val="32"/>
        </w:rPr>
        <w:t xml:space="preserve">The response is ready before the trigger fires.</w:t>
      </w:r>
    </w:p>
    <w:p>
      <w:pPr>
        <w:spacing w:after="0" w:before="200"/>
        <w:jc w:val="center"/>
      </w:pPr>
      <w:r>
        <w:rPr>
          <w:rFonts w:ascii="Arial" w:cs="Arial" w:eastAsia="Arial" w:hAnsi="Arial"/>
          <w:color w:val="6B7280"/>
          <w:spacing w:val="60"/>
          <w:sz w:val="18"/>
          <w:szCs w:val="18"/>
        </w:rPr>
        <w:t xml:space="preserve">VaughnMartin  ·  Readiness OS  ·  vaughnmartin.com</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4" w:space="8"/>
      </w:pBdr>
      <w:tabs>
        <w:tab w:val="right" w:pos="9360"/>
      </w:tabs>
      <w:spacing w:after="0" w:before="0"/>
    </w:pPr>
    <w:r>
      <w:rPr>
        <w:rFonts w:ascii="Georgia" w:cs="Georgia" w:eastAsia="Georgia" w:hAnsi="Georgia"/>
        <w:i/>
        <w:iCs/>
        <w:color w:val="6B7280"/>
        <w:sz w:val="16"/>
        <w:szCs w:val="16"/>
      </w:rPr>
      <w:t xml:space="preserve">The response is ready before the trigger fires.</w:t>
    </w:r>
    <w:r>
      <w:rPr>
        <w:sz w:val="16"/>
        <w:szCs w:val="16"/>
      </w:rPr>
      <w:t xml:space="preserve">	</w:t>
    </w:r>
    <w:r>
      <w:rPr>
        <w:rFonts w:ascii="Arial" w:cs="Arial" w:eastAsia="Arial" w:hAnsi="Arial"/>
        <w:color w:val="6B7280"/>
        <w:sz w:val="16"/>
        <w:szCs w:val="16"/>
      </w:rPr>
      <w:t xml:space="preserve">Page </w:t>
    </w:r>
    <w:r>
      <w:rPr>
        <w:rFonts w:ascii="Arial" w:cs="Arial" w:eastAsia="Arial" w:hAnsi="Arial"/>
        <w:b/>
        <w:bCs/>
        <w:color w:val="0A0F2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C" w:sz="4" w:space="8"/>
      </w:pBdr>
      <w:tabs>
        <w:tab w:val="right" w:pos="9360"/>
      </w:tabs>
      <w:spacing w:after="0" w:before="0"/>
    </w:pPr>
    <w:r>
      <w:rPr>
        <w:rFonts w:ascii="Georgia" w:cs="Georgia" w:eastAsia="Georgia" w:hAnsi="Georgia"/>
        <w:b/>
        <w:bCs/>
        <w:color w:val="0A0F2E"/>
        <w:spacing w:val="80"/>
        <w:sz w:val="16"/>
        <w:szCs w:val="16"/>
      </w:rPr>
      <w:t xml:space="preserve">VAUGHNMARTIN</w:t>
    </w:r>
    <w:r>
      <w:rPr>
        <w:rFonts w:ascii="Arial" w:cs="Arial" w:eastAsia="Arial" w:hAnsi="Arial"/>
        <w:color w:val="2B8A6E"/>
        <w:spacing w:val="80"/>
        <w:sz w:val="16"/>
        <w:szCs w:val="16"/>
      </w:rPr>
      <w:t xml:space="preserve">  ·  READINESS OS</w:t>
    </w:r>
    <w:r>
      <w:rPr>
        <w:sz w:val="16"/>
        <w:szCs w:val="16"/>
      </w:rPr>
      <w:t xml:space="preserve">	</w:t>
    </w:r>
    <w:r>
      <w:rPr>
        <w:rFonts w:ascii="Georgia" w:cs="Georgia" w:eastAsia="Georgia" w:hAnsi="Georgia"/>
        <w:i/>
        <w:iCs/>
        <w:color w:val="6B7280"/>
        <w:sz w:val="16"/>
        <w:szCs w:val="16"/>
      </w:rPr>
      <w:t xml:space="preserve">Pilot Activation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Georgia" w:cs="Georgia" w:eastAsia="Georgia" w:hAnsi="Georgia"/>
      <w:b/>
      <w:bCs/>
      <w:color w:val="0A0F2E"/>
      <w:sz w:val="36"/>
      <w:szCs w:val="36"/>
    </w:rPr>
  </w:style>
  <w:style w:type="paragraph" w:styleId="Heading2">
    <w:name w:val="Heading 2"/>
    <w:basedOn w:val="Normal"/>
    <w:next w:val="Normal"/>
    <w:qFormat/>
    <w:pPr>
      <w:spacing w:after="120" w:before="200"/>
      <w:outlineLvl w:val="1"/>
    </w:pPr>
    <w:rPr>
      <w:rFonts w:ascii="Georgia" w:cs="Georgia" w:eastAsia="Georgia" w:hAnsi="Georgia"/>
      <w:b/>
      <w:bCs/>
      <w:color w:val="0A0F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OS — Pilot Activation Guide</dc:title>
  <dc:creator>VaughnMartin</dc:creator>
  <dc:description>The first 30 days inside Readiness OS, for pilot customers on activation day.</dc:description>
  <cp:lastModifiedBy>Un-named</cp:lastModifiedBy>
  <cp:revision>1</cp:revision>
  <dcterms:created xsi:type="dcterms:W3CDTF">2026-04-18T03:57:55.481Z</dcterms:created>
  <dcterms:modified xsi:type="dcterms:W3CDTF">2026-04-18T03:57:55.481Z</dcterms:modified>
</cp:coreProperties>
</file>

<file path=docProps/custom.xml><?xml version="1.0" encoding="utf-8"?>
<Properties xmlns="http://schemas.openxmlformats.org/officeDocument/2006/custom-properties" xmlns:vt="http://schemas.openxmlformats.org/officeDocument/2006/docPropsVTypes"/>
</file>