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800"/>
        <w:jc w:val="center"/>
      </w:pPr>
      <w:r>
        <w:rPr>
          <w:rFonts w:ascii="Arial" w:cs="Arial" w:eastAsia="Arial" w:hAnsi="Arial"/>
          <w:b/>
          <w:bCs/>
          <w:caps/>
          <w:color w:val="0A0F2E"/>
          <w:sz w:val="48"/>
          <w:szCs w:val="48"/>
        </w:rPr>
        <w:t xml:space="preserve">EXTERNAL VALIDATION ARCHIVE</w:t>
      </w:r>
    </w:p>
    <w:p>
      <w:pPr>
        <w:spacing w:after="80" w:before="0"/>
        <w:jc w:val="center"/>
      </w:pPr>
      <w:r>
        <w:rPr>
          <w:rFonts w:ascii="Arial" w:cs="Arial" w:eastAsia="Arial" w:hAnsi="Arial"/>
          <w:b/>
          <w:bCs/>
          <w:color w:val="C9A84C"/>
          <w:sz w:val="28"/>
          <w:szCs w:val="28"/>
        </w:rPr>
        <w:t xml:space="preserve">VaughnMartin  |  Readiness OS</w:t>
      </w:r>
    </w:p>
    <w:p>
      <w:pPr>
        <w:spacing w:after="600" w:before="0"/>
        <w:jc w:val="center"/>
      </w:pPr>
      <w:r>
        <w:rPr>
          <w:rFonts w:ascii="Arial" w:cs="Arial" w:eastAsia="Arial" w:hAnsi="Arial"/>
          <w:i/>
          <w:iCs/>
          <w:color w:val="666666"/>
          <w:sz w:val="22"/>
          <w:szCs w:val="22"/>
        </w:rPr>
        <w:t xml:space="preserve">Independent Validation from Senior Practitioners, Researchers &amp; Executives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0F2E" w:val="clear"/>
            <w:tcMar>
              <w:top w:type="dxa" w:w="280"/>
              <w:left w:type="dxa" w:w="360"/>
              <w:bottom w:type="dxa" w:w="280"/>
              <w:right w:type="dxa" w:w="360"/>
            </w:tcMar>
          </w:tcPr>
          <w:p>
            <w:pPr>
              <w:spacing w:after="80" w:before="40"/>
              <w:jc w:val="center"/>
            </w:pPr>
            <w:r>
              <w:rPr>
                <w:rFonts w:ascii="Arial" w:cs="Arial" w:eastAsia="Arial" w:hAnsi="Arial"/>
                <w:b/>
                <w:bCs/>
                <w:color w:val="FFFFFF"/>
                <w:sz w:val="26"/>
                <w:szCs w:val="26"/>
              </w:rPr>
              <w:t xml:space="preserve">What This Document Is</w:t>
            </w:r>
          </w:p>
          <w:p>
            <w:pPr>
              <w:spacing w:after="40" w:before="40"/>
              <w:jc w:val="center"/>
            </w:pPr>
            <w:r>
              <w:rPr>
                <w:rFonts w:ascii="Arial" w:cs="Arial" w:eastAsia="Arial" w:hAnsi="Arial"/>
                <w:color w:val="CCCCCC"/>
                <w:sz w:val="20"/>
                <w:szCs w:val="20"/>
              </w:rPr>
              <w:t xml:space="preserve">The comments and replies in this document were produced independently by senior practitioners, researchers, and executives who engaged with VaughnMartin content over a three-week period beginning April 2026. None were asked to validate the product. All arrived at their conclusions through organic intellectual engagement. Their words are reproduced exactly.</w:t>
            </w:r>
          </w:p>
        </w:tc>
      </w:tr>
    </w:tbl>
    <w:p>
      <w:pPr>
        <w:spacing w:after="120" w:before="120"/>
      </w:pPr>
      <w:r>
        <w:t xml:space="preserve"/>
      </w:r>
    </w:p>
    <w:p>
      <w:pPr>
        <w:pBdr>
          <w:bottom w:val="single" w:color="0A0F2E" w:sz="8" w:space="4"/>
        </w:pBdr>
        <w:spacing w:after="200" w:before="400"/>
      </w:pPr>
      <w:r>
        <w:rPr>
          <w:rFonts w:ascii="Arial" w:cs="Arial" w:eastAsia="Arial" w:hAnsi="Arial"/>
          <w:b/>
          <w:bCs/>
          <w:color w:val="0A0F2E"/>
          <w:sz w:val="32"/>
          <w:szCs w:val="32"/>
        </w:rPr>
        <w:t xml:space="preserve">Purpose &amp; Use Cases</w:t>
      </w:r>
    </w:p>
    <w:p>
      <w:pPr>
        <w:spacing w:after="80" w:before="80"/>
      </w:pPr>
      <w:r>
        <w:rPr>
          <w:rFonts w:ascii="Arial" w:cs="Arial" w:eastAsia="Arial" w:hAnsi="Arial"/>
          <w:sz w:val="22"/>
          <w:szCs w:val="22"/>
        </w:rPr>
        <w:t xml:space="preserve">This archive documents high-value external validation of the problem Readiness OS solves and the framework it is built on. It is organized by theme to support four specific use cases:</w:t>
      </w:r>
    </w:p>
    <w:p>
      <w:pPr>
        <w:spacing w:after="120" w:before="120"/>
      </w:pPr>
      <w:r>
        <w:t xml:space="preserve"/>
      </w:r>
    </w:p>
    <w:p>
      <w:pPr>
        <w:pStyle w:val="ListParagraph"/>
        <w:numPr>
          <w:ilvl w:val="0"/>
          <w:numId w:val="2"/>
        </w:numPr>
        <w:spacing w:after="60" w:before="60"/>
      </w:pPr>
      <w:r>
        <w:rPr>
          <w:rFonts w:ascii="Arial" w:cs="Arial" w:eastAsia="Arial" w:hAnsi="Arial"/>
          <w:sz w:val="22"/>
          <w:szCs w:val="22"/>
        </w:rPr>
        <w:t xml:space="preserve">Investor conversations — third-party validation of the problem at the academic and practitioner level</w:t>
      </w:r>
    </w:p>
    <w:p>
      <w:pPr>
        <w:pStyle w:val="ListParagraph"/>
        <w:numPr>
          <w:ilvl w:val="0"/>
          <w:numId w:val="2"/>
        </w:numPr>
        <w:spacing w:after="60" w:before="60"/>
      </w:pPr>
      <w:r>
        <w:rPr>
          <w:rFonts w:ascii="Arial" w:cs="Arial" w:eastAsia="Arial" w:hAnsi="Arial"/>
          <w:sz w:val="22"/>
          <w:szCs w:val="22"/>
        </w:rPr>
        <w:t xml:space="preserve">Advisor briefings — independent confirmation that the intellectual foundation is credible</w:t>
      </w:r>
    </w:p>
    <w:p>
      <w:pPr>
        <w:pStyle w:val="ListParagraph"/>
        <w:numPr>
          <w:ilvl w:val="0"/>
          <w:numId w:val="2"/>
        </w:numPr>
        <w:spacing w:after="60" w:before="60"/>
      </w:pPr>
      <w:r>
        <w:rPr>
          <w:rFonts w:ascii="Arial" w:cs="Arial" w:eastAsia="Arial" w:hAnsi="Arial"/>
          <w:sz w:val="22"/>
          <w:szCs w:val="22"/>
        </w:rPr>
        <w:t xml:space="preserve">Sales conversations — proof that Fortune 1000 practitioners recognize the problem before hearing the solution</w:t>
      </w:r>
    </w:p>
    <w:p>
      <w:pPr>
        <w:pStyle w:val="ListParagraph"/>
        <w:numPr>
          <w:ilvl w:val="0"/>
          <w:numId w:val="2"/>
        </w:numPr>
        <w:spacing w:after="60" w:before="60"/>
      </w:pPr>
      <w:r>
        <w:rPr>
          <w:rFonts w:ascii="Arial" w:cs="Arial" w:eastAsia="Arial" w:hAnsi="Arial"/>
          <w:sz w:val="22"/>
          <w:szCs w:val="22"/>
        </w:rPr>
        <w:t xml:space="preserve">Content strategy — raw material for future posts, case studies, and the founder narrative</w:t>
      </w:r>
    </w:p>
    <w:p>
      <w:pPr>
        <w:spacing w:after="120" w:before="120"/>
      </w:pPr>
      <w:r>
        <w:t xml:space="preserve"/>
      </w:r>
    </w:p>
    <w:p>
      <w:pPr>
        <w:spacing w:after="120" w:before="120"/>
      </w:pPr>
      <w: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0F2E" w:val="clear"/>
            <w:tcMar>
              <w:top w:type="dxa" w:w="120"/>
              <w:left w:type="dxa" w:w="240"/>
              <w:bottom w:type="dxa" w:w="120"/>
              <w:right w:type="dxa" w:w="240"/>
            </w:tcMar>
          </w:tcPr>
          <w:p>
            <w:pPr>
              <w:jc w:val="center"/>
            </w:pPr>
            <w:r>
              <w:rPr>
                <w:rFonts w:ascii="Arial" w:cs="Arial" w:eastAsia="Arial" w:hAnsi="Arial"/>
                <w:b/>
                <w:bCs/>
                <w:caps/>
                <w:color w:val="FFFFFF"/>
                <w:sz w:val="20"/>
                <w:szCs w:val="20"/>
              </w:rPr>
              <w:t xml:space="preserve">THEME 1: THE PREPARATION FAILURE</w:t>
            </w:r>
          </w:p>
        </w:tc>
      </w:tr>
    </w:tbl>
    <w:p>
      <w:pPr>
        <w:spacing w:after="120" w:before="120"/>
      </w:pPr>
      <w:r>
        <w:t xml:space="preserve"/>
      </w:r>
    </w:p>
    <w:p>
      <w:pPr>
        <w:spacing w:after="80" w:before="80"/>
      </w:pPr>
      <w:r>
        <w:rPr>
          <w:rFonts w:ascii="Arial" w:cs="Arial" w:eastAsia="Arial" w:hAnsi="Arial"/>
          <w:i/>
          <w:iCs/>
          <w:color w:val="555555"/>
          <w:sz w:val="22"/>
          <w:szCs w:val="22"/>
        </w:rPr>
        <w:t xml:space="preserve">These practitioners named the pre-mobilization paralysis problem independently, in their own professional language, without prompting. Each arrived at the same structural diagnosis from a different direction.</w:t>
      </w:r>
    </w:p>
    <w:p>
      <w:pPr>
        <w:spacing w:after="120" w:before="120"/>
      </w:pPr>
      <w:r>
        <w:t xml:space="preserve"/>
      </w:r>
    </w:p>
    <w:p>
      <w:pPr>
        <w:spacing w:after="60" w:before="160"/>
      </w:pPr>
      <w:r>
        <w:rPr>
          <w:rFonts w:ascii="Arial" w:cs="Arial" w:eastAsia="Arial" w:hAnsi="Arial"/>
          <w:b/>
          <w:bCs/>
          <w:color w:val="0A0F2E"/>
          <w:sz w:val="24"/>
          <w:szCs w:val="24"/>
        </w:rPr>
        <w:t xml:space="preserve">Dr. Kerry Huang</w:t>
      </w:r>
      <w:r>
        <w:rPr>
          <w:rFonts w:ascii="Arial" w:cs="Arial" w:eastAsia="Arial" w:hAnsi="Arial"/>
          <w:color w:val="999999"/>
          <w:sz w:val="22"/>
          <w:szCs w:val="22"/>
        </w:rPr>
        <w:t xml:space="preserve">  |  </w:t>
      </w:r>
      <w:r>
        <w:rPr>
          <w:rFonts w:ascii="Arial" w:cs="Arial" w:eastAsia="Arial" w:hAnsi="Arial"/>
          <w:color w:val="555555"/>
          <w:sz w:val="20"/>
          <w:szCs w:val="20"/>
        </w:rPr>
        <w:t xml:space="preserve">Fortune 50 AVP, ESI Top 1% Researcher, Forbes Council, 408-firm governance study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C9A84C" w:val="clear"/>
          </w:tcPr>
          <w:p>
            <w:r>
              <w:t xml:space="preserve"/>
            </w:r>
          </w:p>
        </w:tc>
        <w:tc>
          <w:tcPr>
            <w:tcW w:type="dxa" w:w="9180"/>
            <w:tcBorders>
              <w:top w:val="none" w:color="FFFFFF" w:sz="0"/>
              <w:left w:val="none" w:color="FFFFFF" w:sz="0"/>
              <w:bottom w:val="none" w:color="FFFFFF" w:sz="0"/>
              <w:right w:val="none" w:color="FFFFFF" w:sz="0"/>
            </w:tcBorders>
            <w:shd w:fill="FBF6EB" w:val="clear"/>
            <w:tcMar>
              <w:top w:type="dxa" w:w="160"/>
              <w:left w:type="dxa" w:w="280"/>
              <w:bottom w:type="dxa" w:w="160"/>
              <w:right w:type="dxa" w:w="280"/>
            </w:tcMar>
          </w:tcPr>
          <w:p>
            <w:pPr>
              <w:spacing w:after="120" w:before="40"/>
            </w:pPr>
            <w:r>
              <w:rPr>
                <w:rFonts w:ascii="Arial" w:cs="Arial" w:eastAsia="Arial" w:hAnsi="Arial"/>
                <w:i/>
                <w:iCs/>
                <w:color w:val="222222"/>
                <w:sz w:val="22"/>
                <w:szCs w:val="22"/>
              </w:rPr>
              <w:t xml:space="preserve">"The governance function never developed the intelligence layer that would make the requirement visible in the first place. You cannot decide to build what you cannot yet see you are missing."</w:t>
            </w:r>
          </w:p>
          <w:p>
            <w:pPr>
              <w:spacing w:after="40" w:before="40"/>
            </w:pPr>
            <w:r>
              <w:rPr>
                <w:rFonts w:ascii="Arial" w:cs="Arial" w:eastAsia="Arial" w:hAnsi="Arial"/>
                <w:b/>
                <w:bCs/>
                <w:color w:val="555555"/>
                <w:sz w:val="20"/>
                <w:szCs w:val="20"/>
              </w:rPr>
              <w:t xml:space="preserve">— Dr. Kerry Huang</w:t>
            </w:r>
          </w:p>
          <w:p>
            <w:pPr>
              <w:spacing w:after="40" w:before="0"/>
            </w:pPr>
            <w:r>
              <w:rPr>
                <w:rFonts w:ascii="Arial" w:cs="Arial" w:eastAsia="Arial" w:hAnsi="Arial"/>
                <w:color w:val="777777"/>
                <w:sz w:val="18"/>
                <w:szCs w:val="18"/>
              </w:rPr>
              <w:t xml:space="preserve">Fortune 50 AVP | ESI Top 1% Researcher | Author of 408-firm governance study</w:t>
            </w:r>
          </w:p>
        </w:tc>
      </w:tr>
    </w:tbl>
    <w:p>
      <w:pPr>
        <w:spacing w:after="120" w:before="120"/>
      </w:pPr>
      <w:r>
        <w:t xml:space="preserve"/>
      </w:r>
    </w:p>
    <w:p>
      <w:pPr>
        <w:spacing w:after="80" w:before="80"/>
      </w:pPr>
      <w:r>
        <w:rPr>
          <w:rFonts w:ascii="Arial" w:cs="Arial" w:eastAsia="Arial" w:hAnsi="Arial"/>
          <w:sz w:val="22"/>
          <w:szCs w:val="22"/>
        </w:rPr>
        <w:t xml:space="preserve">What this validates: The preparation gap is not a decision problem. It is a structural blind spot. Organizations cannot close a gap they cannot see. Readiness OS makes the gap visible and pre-stages the response before pressure exists.</w:t>
      </w:r>
    </w:p>
    <w:p>
      <w:pPr>
        <w:spacing w:after="120" w:before="120"/>
      </w:pPr>
      <w:r>
        <w:t xml:space="preserve"/>
      </w:r>
    </w:p>
    <w:p>
      <w:pPr>
        <w:spacing w:after="60" w:before="160"/>
      </w:pPr>
      <w:r>
        <w:rPr>
          <w:rFonts w:ascii="Arial" w:cs="Arial" w:eastAsia="Arial" w:hAnsi="Arial"/>
          <w:b/>
          <w:bCs/>
          <w:color w:val="0A0F2E"/>
          <w:sz w:val="24"/>
          <w:szCs w:val="24"/>
        </w:rPr>
        <w:t xml:space="preserve">Scott DeJarnette, PhD</w:t>
      </w:r>
      <w:r>
        <w:rPr>
          <w:rFonts w:ascii="Arial" w:cs="Arial" w:eastAsia="Arial" w:hAnsi="Arial"/>
          <w:color w:val="999999"/>
          <w:sz w:val="22"/>
          <w:szCs w:val="22"/>
        </w:rPr>
        <w:t xml:space="preserve">  |  </w:t>
      </w:r>
      <w:r>
        <w:rPr>
          <w:rFonts w:ascii="Arial" w:cs="Arial" w:eastAsia="Arial" w:hAnsi="Arial"/>
          <w:color w:val="555555"/>
          <w:sz w:val="20"/>
          <w:szCs w:val="20"/>
        </w:rPr>
        <w:t xml:space="preserve">Cybersecurity Strategist, CIO Advisor, Triple CCIE, Incident Response, M&amp;A Integration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C9A84C" w:val="clear"/>
          </w:tcPr>
          <w:p>
            <w:r>
              <w:t xml:space="preserve"/>
            </w:r>
          </w:p>
        </w:tc>
        <w:tc>
          <w:tcPr>
            <w:tcW w:type="dxa" w:w="9180"/>
            <w:tcBorders>
              <w:top w:val="none" w:color="FFFFFF" w:sz="0"/>
              <w:left w:val="none" w:color="FFFFFF" w:sz="0"/>
              <w:bottom w:val="none" w:color="FFFFFF" w:sz="0"/>
              <w:right w:val="none" w:color="FFFFFF" w:sz="0"/>
            </w:tcBorders>
            <w:shd w:fill="FBF6EB" w:val="clear"/>
            <w:tcMar>
              <w:top w:type="dxa" w:w="160"/>
              <w:left w:type="dxa" w:w="280"/>
              <w:bottom w:type="dxa" w:w="160"/>
              <w:right w:type="dxa" w:w="280"/>
            </w:tcMar>
          </w:tcPr>
          <w:p>
            <w:pPr>
              <w:spacing w:after="120" w:before="40"/>
            </w:pPr>
            <w:r>
              <w:rPr>
                <w:rFonts w:ascii="Arial" w:cs="Arial" w:eastAsia="Arial" w:hAnsi="Arial"/>
                <w:i/>
                <w:iCs/>
                <w:color w:val="222222"/>
                <w:sz w:val="22"/>
                <w:szCs w:val="22"/>
              </w:rPr>
              <w:t xml:space="preserve">"Most organizations do not have a response-speed problem first. They have a predecision problem. If authority, sequencing, communications, ownership, and fallback paths are not already defined, the trigger event just exposes that the operating model was never built for time-compressed execution."</w:t>
            </w:r>
          </w:p>
          <w:p>
            <w:pPr>
              <w:spacing w:after="40" w:before="40"/>
            </w:pPr>
            <w:r>
              <w:rPr>
                <w:rFonts w:ascii="Arial" w:cs="Arial" w:eastAsia="Arial" w:hAnsi="Arial"/>
                <w:b/>
                <w:bCs/>
                <w:color w:val="555555"/>
                <w:sz w:val="20"/>
                <w:szCs w:val="20"/>
              </w:rPr>
              <w:t xml:space="preserve">— Scott DeJarnette, PhD</w:t>
            </w:r>
          </w:p>
          <w:p>
            <w:pPr>
              <w:spacing w:after="40" w:before="0"/>
            </w:pPr>
            <w:r>
              <w:rPr>
                <w:rFonts w:ascii="Arial" w:cs="Arial" w:eastAsia="Arial" w:hAnsi="Arial"/>
                <w:color w:val="777777"/>
                <w:sz w:val="18"/>
                <w:szCs w:val="18"/>
              </w:rPr>
              <w:t xml:space="preserve">Cybersecurity Strategist | CIO Advisor | Triple CCIE | Incident Response | M&amp;A Integration</w:t>
            </w:r>
          </w:p>
        </w:tc>
      </w:tr>
    </w:tbl>
    <w:p>
      <w:pPr>
        <w:spacing w:after="120" w:before="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C9A84C" w:val="clear"/>
          </w:tcPr>
          <w:p>
            <w:r>
              <w:t xml:space="preserve"/>
            </w:r>
          </w:p>
        </w:tc>
        <w:tc>
          <w:tcPr>
            <w:tcW w:type="dxa" w:w="9180"/>
            <w:tcBorders>
              <w:top w:val="none" w:color="FFFFFF" w:sz="0"/>
              <w:left w:val="none" w:color="FFFFFF" w:sz="0"/>
              <w:bottom w:val="none" w:color="FFFFFF" w:sz="0"/>
              <w:right w:val="none" w:color="FFFFFF" w:sz="0"/>
            </w:tcBorders>
            <w:shd w:fill="FBF6EB" w:val="clear"/>
            <w:tcMar>
              <w:top w:type="dxa" w:w="160"/>
              <w:left w:type="dxa" w:w="280"/>
              <w:bottom w:type="dxa" w:w="160"/>
              <w:right w:type="dxa" w:w="280"/>
            </w:tcMar>
          </w:tcPr>
          <w:p>
            <w:pPr>
              <w:spacing w:after="120" w:before="40"/>
            </w:pPr>
            <w:r>
              <w:rPr>
                <w:rFonts w:ascii="Arial" w:cs="Arial" w:eastAsia="Arial" w:hAnsi="Arial"/>
                <w:i/>
                <w:iCs/>
                <w:color w:val="222222"/>
                <w:sz w:val="22"/>
                <w:szCs w:val="22"/>
              </w:rPr>
              <w:t xml:space="preserve">"If those had to be invented in the moment, the organization did not execute a plan. It assembled one under stress."</w:t>
            </w:r>
          </w:p>
          <w:p>
            <w:pPr>
              <w:spacing w:after="40" w:before="40"/>
            </w:pPr>
            <w:r>
              <w:rPr>
                <w:rFonts w:ascii="Arial" w:cs="Arial" w:eastAsia="Arial" w:hAnsi="Arial"/>
                <w:b/>
                <w:bCs/>
                <w:color w:val="555555"/>
                <w:sz w:val="20"/>
                <w:szCs w:val="20"/>
              </w:rPr>
              <w:t xml:space="preserve">— Scott DeJarnette, PhD</w:t>
            </w:r>
          </w:p>
          <w:p>
            <w:pPr>
              <w:spacing w:after="40" w:before="0"/>
            </w:pPr>
            <w:r>
              <w:rPr>
                <w:rFonts w:ascii="Arial" w:cs="Arial" w:eastAsia="Arial" w:hAnsi="Arial"/>
                <w:color w:val="777777"/>
                <w:sz w:val="18"/>
                <w:szCs w:val="18"/>
              </w:rPr>
              <w:t xml:space="preserve">Second exchange, same thread</w:t>
            </w:r>
          </w:p>
        </w:tc>
      </w:tr>
    </w:tbl>
    <w:p>
      <w:pPr>
        <w:spacing w:after="120" w:before="120"/>
      </w:pPr>
      <w:r>
        <w:t xml:space="preserve"/>
      </w:r>
    </w:p>
    <w:p>
      <w:pPr>
        <w:spacing w:after="80" w:before="80"/>
      </w:pPr>
      <w:r>
        <w:rPr>
          <w:rFonts w:ascii="Arial" w:cs="Arial" w:eastAsia="Arial" w:hAnsi="Arial"/>
          <w:sz w:val="22"/>
          <w:szCs w:val="22"/>
        </w:rPr>
        <w:t xml:space="preserve">What this validates: A PhD CIO advisor with incident response credentials independently named the predecision architecture problem and distinguished built capability from improvised behavior. His phrase — assembled one under stress — is the most precise description of pre-mobilization paralysis produced by anyone outside the company.</w:t>
      </w:r>
    </w:p>
    <w:p>
      <w:pPr>
        <w:spacing w:after="120" w:before="120"/>
      </w:pPr>
      <w:r>
        <w:t xml:space="preserve"/>
      </w:r>
    </w:p>
    <w:p>
      <w:pPr>
        <w:spacing w:after="60" w:before="160"/>
      </w:pPr>
      <w:r>
        <w:rPr>
          <w:rFonts w:ascii="Arial" w:cs="Arial" w:eastAsia="Arial" w:hAnsi="Arial"/>
          <w:b/>
          <w:bCs/>
          <w:color w:val="0A0F2E"/>
          <w:sz w:val="24"/>
          <w:szCs w:val="24"/>
        </w:rPr>
        <w:t xml:space="preserve">John Trchala</w:t>
      </w:r>
      <w:r>
        <w:rPr>
          <w:rFonts w:ascii="Arial" w:cs="Arial" w:eastAsia="Arial" w:hAnsi="Arial"/>
          <w:color w:val="999999"/>
          <w:sz w:val="22"/>
          <w:szCs w:val="22"/>
        </w:rPr>
        <w:t xml:space="preserve">  |  </w:t>
      </w:r>
      <w:r>
        <w:rPr>
          <w:rFonts w:ascii="Arial" w:cs="Arial" w:eastAsia="Arial" w:hAnsi="Arial"/>
          <w:color w:val="555555"/>
          <w:sz w:val="20"/>
          <w:szCs w:val="20"/>
        </w:rPr>
        <w:t xml:space="preserve">PE-Backed CIO/CTO, M&amp;A Integration, Modernization, AI Enablement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C9A84C" w:val="clear"/>
          </w:tcPr>
          <w:p>
            <w:r>
              <w:t xml:space="preserve"/>
            </w:r>
          </w:p>
        </w:tc>
        <w:tc>
          <w:tcPr>
            <w:tcW w:type="dxa" w:w="9180"/>
            <w:tcBorders>
              <w:top w:val="none" w:color="FFFFFF" w:sz="0"/>
              <w:left w:val="none" w:color="FFFFFF" w:sz="0"/>
              <w:bottom w:val="none" w:color="FFFFFF" w:sz="0"/>
              <w:right w:val="none" w:color="FFFFFF" w:sz="0"/>
            </w:tcBorders>
            <w:shd w:fill="FBF6EB" w:val="clear"/>
            <w:tcMar>
              <w:top w:type="dxa" w:w="160"/>
              <w:left w:type="dxa" w:w="280"/>
              <w:bottom w:type="dxa" w:w="160"/>
              <w:right w:type="dxa" w:w="280"/>
            </w:tcMar>
          </w:tcPr>
          <w:p>
            <w:pPr>
              <w:spacing w:after="120" w:before="40"/>
            </w:pPr>
            <w:r>
              <w:rPr>
                <w:rFonts w:ascii="Arial" w:cs="Arial" w:eastAsia="Arial" w:hAnsi="Arial"/>
                <w:i/>
                <w:iCs/>
                <w:color w:val="222222"/>
                <w:sz w:val="22"/>
                <w:szCs w:val="22"/>
              </w:rPr>
              <w:t xml:space="preserve">"Post-close velocity issues are almost always symptoms of decisions that were never staged in diligence. The teams that win treat preparation as part of the integration, not a prelude to it."</w:t>
            </w:r>
          </w:p>
          <w:p>
            <w:pPr>
              <w:spacing w:after="40" w:before="40"/>
            </w:pPr>
            <w:r>
              <w:rPr>
                <w:rFonts w:ascii="Arial" w:cs="Arial" w:eastAsia="Arial" w:hAnsi="Arial"/>
                <w:b/>
                <w:bCs/>
                <w:color w:val="555555"/>
                <w:sz w:val="20"/>
                <w:szCs w:val="20"/>
              </w:rPr>
              <w:t xml:space="preserve">— John Trchala</w:t>
            </w:r>
          </w:p>
          <w:p>
            <w:pPr>
              <w:spacing w:after="40" w:before="0"/>
            </w:pPr>
            <w:r>
              <w:rPr>
                <w:rFonts w:ascii="Arial" w:cs="Arial" w:eastAsia="Arial" w:hAnsi="Arial"/>
                <w:color w:val="777777"/>
                <w:sz w:val="18"/>
                <w:szCs w:val="18"/>
              </w:rPr>
              <w:t xml:space="preserve">PE-Backed CIO/CTO | M&amp;A Integration | Driving EBITDA Through Operational Leverage</w:t>
            </w:r>
          </w:p>
        </w:tc>
      </w:tr>
    </w:tbl>
    <w:p>
      <w:pPr>
        <w:spacing w:after="120" w:before="120"/>
      </w:pPr>
      <w:r>
        <w:t xml:space="preserve"/>
      </w:r>
    </w:p>
    <w:p>
      <w:pPr>
        <w:spacing w:after="80" w:before="80"/>
      </w:pPr>
      <w:r>
        <w:rPr>
          <w:rFonts w:ascii="Arial" w:cs="Arial" w:eastAsia="Arial" w:hAnsi="Arial"/>
          <w:sz w:val="22"/>
          <w:szCs w:val="22"/>
        </w:rPr>
        <w:t xml:space="preserve">What this validates: A PE-backed CIO with direct M&amp;A integration experience independently validated that preparation staged before pressure is the differentiator in post-close execution velocity. His language — staged in diligence — mirrors the Readiness OS preparation architecture precisely.</w:t>
      </w:r>
    </w:p>
    <w:p>
      <w:pPr>
        <w:spacing w:after="120" w:before="120"/>
      </w:pPr>
      <w:r>
        <w:t xml:space="preserve"/>
      </w:r>
    </w:p>
    <w:p>
      <w:pPr>
        <w:spacing w:after="60" w:before="160"/>
      </w:pPr>
      <w:r>
        <w:rPr>
          <w:rFonts w:ascii="Arial" w:cs="Arial" w:eastAsia="Arial" w:hAnsi="Arial"/>
          <w:b/>
          <w:bCs/>
          <w:color w:val="0A0F2E"/>
          <w:sz w:val="24"/>
          <w:szCs w:val="24"/>
        </w:rPr>
        <w:t xml:space="preserve">Elizabeth Jeanes, MBA</w:t>
      </w:r>
      <w:r>
        <w:rPr>
          <w:rFonts w:ascii="Arial" w:cs="Arial" w:eastAsia="Arial" w:hAnsi="Arial"/>
          <w:color w:val="999999"/>
          <w:sz w:val="22"/>
          <w:szCs w:val="22"/>
        </w:rPr>
        <w:t xml:space="preserve">  |  </w:t>
      </w:r>
      <w:r>
        <w:rPr>
          <w:rFonts w:ascii="Arial" w:cs="Arial" w:eastAsia="Arial" w:hAnsi="Arial"/>
          <w:color w:val="555555"/>
          <w:sz w:val="20"/>
          <w:szCs w:val="20"/>
        </w:rPr>
        <w:t xml:space="preserve">Enterprise Healthcare Transformation Leader, Lean Six Sigma Black Belt, National Speaker</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C9A84C" w:val="clear"/>
          </w:tcPr>
          <w:p>
            <w:r>
              <w:t xml:space="preserve"/>
            </w:r>
          </w:p>
        </w:tc>
        <w:tc>
          <w:tcPr>
            <w:tcW w:type="dxa" w:w="9180"/>
            <w:tcBorders>
              <w:top w:val="none" w:color="FFFFFF" w:sz="0"/>
              <w:left w:val="none" w:color="FFFFFF" w:sz="0"/>
              <w:bottom w:val="none" w:color="FFFFFF" w:sz="0"/>
              <w:right w:val="none" w:color="FFFFFF" w:sz="0"/>
            </w:tcBorders>
            <w:shd w:fill="FBF6EB" w:val="clear"/>
            <w:tcMar>
              <w:top w:type="dxa" w:w="160"/>
              <w:left w:type="dxa" w:w="280"/>
              <w:bottom w:type="dxa" w:w="160"/>
              <w:right w:type="dxa" w:w="280"/>
            </w:tcMar>
          </w:tcPr>
          <w:p>
            <w:pPr>
              <w:spacing w:after="120" w:before="40"/>
            </w:pPr>
            <w:r>
              <w:rPr>
                <w:rFonts w:ascii="Arial" w:cs="Arial" w:eastAsia="Arial" w:hAnsi="Arial"/>
                <w:i/>
                <w:iCs/>
                <w:color w:val="222222"/>
                <w:sz w:val="22"/>
                <w:szCs w:val="22"/>
              </w:rPr>
              <w:t xml:space="preserve">"The infrastructure to respond proactively was never designed in the first place. We attribute reactivity to mindset, when in reality the infrastructure was never built."</w:t>
            </w:r>
          </w:p>
          <w:p>
            <w:pPr>
              <w:spacing w:after="40" w:before="40"/>
            </w:pPr>
            <w:r>
              <w:rPr>
                <w:rFonts w:ascii="Arial" w:cs="Arial" w:eastAsia="Arial" w:hAnsi="Arial"/>
                <w:b/>
                <w:bCs/>
                <w:color w:val="555555"/>
                <w:sz w:val="20"/>
                <w:szCs w:val="20"/>
              </w:rPr>
              <w:t xml:space="preserve">— Elizabeth Jeanes, MBA-HM, BSN, RN, NPD-BC</w:t>
            </w:r>
          </w:p>
          <w:p>
            <w:pPr>
              <w:spacing w:after="40" w:before="0"/>
            </w:pPr>
            <w:r>
              <w:rPr>
                <w:rFonts w:ascii="Arial" w:cs="Arial" w:eastAsia="Arial" w:hAnsi="Arial"/>
                <w:color w:val="777777"/>
                <w:sz w:val="18"/>
                <w:szCs w:val="18"/>
              </w:rPr>
              <w:t xml:space="preserve">Enterprise Healthcare Transformation Leader | Lean Six Sigma Black Belt</w:t>
            </w:r>
          </w:p>
        </w:tc>
      </w:tr>
    </w:tbl>
    <w:p>
      <w:pPr>
        <w:spacing w:after="120" w:before="120"/>
      </w:pPr>
      <w:r>
        <w:t xml:space="preserve"/>
      </w:r>
    </w:p>
    <w:p>
      <w:pPr>
        <w:spacing w:after="80" w:before="80"/>
      </w:pPr>
      <w:r>
        <w:rPr>
          <w:rFonts w:ascii="Arial" w:cs="Arial" w:eastAsia="Arial" w:hAnsi="Arial"/>
          <w:sz w:val="22"/>
          <w:szCs w:val="22"/>
        </w:rPr>
        <w:t xml:space="preserve">What this validates: A healthcare transformation leader independently confirmed that reactive models are a preparation failure not a cultural failure. This validates the Readiness OS thesis in the healthcare vertical, one of the highest trigger-density environments in the Fortune 1000.</w:t>
      </w:r>
    </w:p>
    <w:p>
      <w:pPr>
        <w:spacing w:after="120" w:before="120"/>
      </w:pPr>
      <w:r>
        <w:t xml:space="preserve"/>
      </w:r>
    </w:p>
    <w:p>
      <w:pPr>
        <w:spacing w:after="60" w:before="160"/>
      </w:pPr>
      <w:r>
        <w:rPr>
          <w:rFonts w:ascii="Arial" w:cs="Arial" w:eastAsia="Arial" w:hAnsi="Arial"/>
          <w:b/>
          <w:bCs/>
          <w:color w:val="0A0F2E"/>
          <w:sz w:val="24"/>
          <w:szCs w:val="24"/>
        </w:rPr>
        <w:t xml:space="preserve">Adam Hofmann</w:t>
      </w:r>
      <w:r>
        <w:rPr>
          <w:rFonts w:ascii="Arial" w:cs="Arial" w:eastAsia="Arial" w:hAnsi="Arial"/>
          <w:color w:val="999999"/>
          <w:sz w:val="22"/>
          <w:szCs w:val="22"/>
        </w:rPr>
        <w:t xml:space="preserve">  |  </w:t>
      </w:r>
      <w:r>
        <w:rPr>
          <w:rFonts w:ascii="Arial" w:cs="Arial" w:eastAsia="Arial" w:hAnsi="Arial"/>
          <w:color w:val="555555"/>
          <w:sz w:val="20"/>
          <w:szCs w:val="20"/>
        </w:rPr>
        <w:t xml:space="preserve">AI Transformation Partner for CEOs and Executives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C9A84C" w:val="clear"/>
          </w:tcPr>
          <w:p>
            <w:r>
              <w:t xml:space="preserve"/>
            </w:r>
          </w:p>
        </w:tc>
        <w:tc>
          <w:tcPr>
            <w:tcW w:type="dxa" w:w="9180"/>
            <w:tcBorders>
              <w:top w:val="none" w:color="FFFFFF" w:sz="0"/>
              <w:left w:val="none" w:color="FFFFFF" w:sz="0"/>
              <w:bottom w:val="none" w:color="FFFFFF" w:sz="0"/>
              <w:right w:val="none" w:color="FFFFFF" w:sz="0"/>
            </w:tcBorders>
            <w:shd w:fill="FBF6EB" w:val="clear"/>
            <w:tcMar>
              <w:top w:type="dxa" w:w="160"/>
              <w:left w:type="dxa" w:w="280"/>
              <w:bottom w:type="dxa" w:w="160"/>
              <w:right w:type="dxa" w:w="280"/>
            </w:tcMar>
          </w:tcPr>
          <w:p>
            <w:pPr>
              <w:spacing w:after="120" w:before="40"/>
            </w:pPr>
            <w:r>
              <w:rPr>
                <w:rFonts w:ascii="Arial" w:cs="Arial" w:eastAsia="Arial" w:hAnsi="Arial"/>
                <w:i/>
                <w:iCs/>
                <w:color w:val="222222"/>
                <w:sz w:val="22"/>
                <w:szCs w:val="22"/>
              </w:rPr>
              <w:t xml:space="preserve">"Prep architecture point is spot on. Most orgs invest in the reaction and starve the preparation."</w:t>
            </w:r>
          </w:p>
          <w:p>
            <w:pPr>
              <w:spacing w:after="40" w:before="40"/>
            </w:pPr>
            <w:r>
              <w:rPr>
                <w:rFonts w:ascii="Arial" w:cs="Arial" w:eastAsia="Arial" w:hAnsi="Arial"/>
                <w:b/>
                <w:bCs/>
                <w:color w:val="555555"/>
                <w:sz w:val="20"/>
                <w:szCs w:val="20"/>
              </w:rPr>
              <w:t xml:space="preserve">— Adam Hofmann</w:t>
            </w:r>
          </w:p>
          <w:p>
            <w:pPr>
              <w:spacing w:after="40" w:before="0"/>
            </w:pPr>
            <w:r>
              <w:rPr>
                <w:rFonts w:ascii="Arial" w:cs="Arial" w:eastAsia="Arial" w:hAnsi="Arial"/>
                <w:color w:val="777777"/>
                <w:sz w:val="18"/>
                <w:szCs w:val="18"/>
              </w:rPr>
              <w:t xml:space="preserve">AI Transformation Partner for CEOs and Executives</w:t>
            </w:r>
          </w:p>
        </w:tc>
      </w:tr>
    </w:tbl>
    <w:p>
      <w:pPr>
        <w:spacing w:after="120" w:before="120"/>
      </w:pPr>
      <w:r>
        <w:t xml:space="preserve"/>
      </w:r>
    </w:p>
    <w:p>
      <w:pPr>
        <w:spacing w:after="80" w:before="80"/>
      </w:pPr>
      <w:r>
        <w:rPr>
          <w:rFonts w:ascii="Arial" w:cs="Arial" w:eastAsia="Arial" w:hAnsi="Arial"/>
          <w:sz w:val="22"/>
          <w:szCs w:val="22"/>
        </w:rPr>
        <w:t xml:space="preserve">What this validates: An AI transformation partner working directly with CEOs confirmed the investment imbalance between reaction and preparation that Readiness OS directly addresses.</w:t>
      </w:r>
    </w:p>
    <w:p>
      <w:pPr>
        <w:spacing w:after="120" w:before="120"/>
      </w:pPr>
      <w:r>
        <w:t xml:space="preserve"/>
      </w:r>
    </w:p>
    <w:p>
      <w:pPr>
        <w:spacing w:after="120" w:before="120"/>
      </w:pPr>
      <w: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B8A6E" w:val="clear"/>
            <w:tcMar>
              <w:top w:type="dxa" w:w="120"/>
              <w:left w:type="dxa" w:w="240"/>
              <w:bottom w:type="dxa" w:w="120"/>
              <w:right w:type="dxa" w:w="240"/>
            </w:tcMar>
          </w:tcPr>
          <w:p>
            <w:pPr>
              <w:jc w:val="center"/>
            </w:pPr>
            <w:r>
              <w:rPr>
                <w:rFonts w:ascii="Arial" w:cs="Arial" w:eastAsia="Arial" w:hAnsi="Arial"/>
                <w:b/>
                <w:bCs/>
                <w:caps/>
                <w:color w:val="FFFFFF"/>
                <w:sz w:val="20"/>
                <w:szCs w:val="20"/>
              </w:rPr>
              <w:t xml:space="preserve">THEME 2: THE OWNERSHIP DISTINCTION</w:t>
            </w:r>
          </w:p>
        </w:tc>
      </w:tr>
    </w:tbl>
    <w:p>
      <w:pPr>
        <w:spacing w:after="120" w:before="120"/>
      </w:pPr>
      <w:r>
        <w:t xml:space="preserve"/>
      </w:r>
    </w:p>
    <w:p>
      <w:pPr>
        <w:spacing w:after="80" w:before="80"/>
      </w:pPr>
      <w:r>
        <w:rPr>
          <w:rFonts w:ascii="Arial" w:cs="Arial" w:eastAsia="Arial" w:hAnsi="Arial"/>
          <w:i/>
          <w:iCs/>
          <w:color w:val="555555"/>
          <w:sz w:val="22"/>
          <w:szCs w:val="22"/>
        </w:rPr>
        <w:t xml:space="preserve">Multiple practitioners independently arrived at the distinction between acknowledged ownership — performing readiness — and embodied ownership — genuine readiness built through preparation. This distinction is the intellectual core of the Readiness OS framework and was validated from four separate professional directions.</w:t>
      </w:r>
    </w:p>
    <w:p>
      <w:pPr>
        <w:spacing w:after="120" w:before="120"/>
      </w:pPr>
      <w:r>
        <w:t xml:space="preserve"/>
      </w:r>
    </w:p>
    <w:p>
      <w:pPr>
        <w:spacing w:after="60" w:before="160"/>
      </w:pPr>
      <w:r>
        <w:rPr>
          <w:rFonts w:ascii="Arial" w:cs="Arial" w:eastAsia="Arial" w:hAnsi="Arial"/>
          <w:b/>
          <w:bCs/>
          <w:color w:val="0A0F2E"/>
          <w:sz w:val="24"/>
          <w:szCs w:val="24"/>
        </w:rPr>
        <w:t xml:space="preserve">Dr. Kerry Huang</w:t>
      </w:r>
      <w:r>
        <w:rPr>
          <w:rFonts w:ascii="Arial" w:cs="Arial" w:eastAsia="Arial" w:hAnsi="Arial"/>
          <w:color w:val="999999"/>
          <w:sz w:val="22"/>
          <w:szCs w:val="22"/>
        </w:rPr>
        <w:t xml:space="preserve">  |  </w:t>
      </w:r>
      <w:r>
        <w:rPr>
          <w:rFonts w:ascii="Arial" w:cs="Arial" w:eastAsia="Arial" w:hAnsi="Arial"/>
          <w:color w:val="555555"/>
          <w:sz w:val="20"/>
          <w:szCs w:val="20"/>
        </w:rPr>
        <w:t xml:space="preserve">Fortune 50 AVP, ESI Top 1% Researcher, Forbes Council</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2B8A6E" w:val="clear"/>
          </w:tcPr>
          <w:p>
            <w:r>
              <w:t xml:space="preserve"/>
            </w:r>
          </w:p>
        </w:tc>
        <w:tc>
          <w:tcPr>
            <w:tcW w:type="dxa" w:w="9180"/>
            <w:tcBorders>
              <w:top w:val="none" w:color="FFFFFF" w:sz="0"/>
              <w:left w:val="none" w:color="FFFFFF" w:sz="0"/>
              <w:bottom w:val="none" w:color="FFFFFF" w:sz="0"/>
              <w:right w:val="none" w:color="FFFFFF" w:sz="0"/>
            </w:tcBorders>
            <w:shd w:fill="E8F4F0" w:val="clear"/>
            <w:tcMar>
              <w:top w:type="dxa" w:w="160"/>
              <w:left w:type="dxa" w:w="280"/>
              <w:bottom w:type="dxa" w:w="160"/>
              <w:right w:type="dxa" w:w="280"/>
            </w:tcMar>
          </w:tcPr>
          <w:p>
            <w:pPr>
              <w:spacing w:after="120" w:before="40"/>
            </w:pPr>
            <w:r>
              <w:rPr>
                <w:rFonts w:ascii="Arial" w:cs="Arial" w:eastAsia="Arial" w:hAnsi="Arial"/>
                <w:i/>
                <w:iCs/>
                <w:color w:val="222222"/>
                <w:sz w:val="22"/>
                <w:szCs w:val="22"/>
              </w:rPr>
              <w:t xml:space="preserve">"The distinction between skipped by default and decided against is the one that changes the entire governance design problem. Organizations were not actively deciding against personalization — the governance function never developed the intelligence layer that would make the requirement visible."</w:t>
            </w:r>
          </w:p>
          <w:p>
            <w:pPr>
              <w:spacing w:after="40" w:before="40"/>
            </w:pPr>
            <w:r>
              <w:rPr>
                <w:rFonts w:ascii="Arial" w:cs="Arial" w:eastAsia="Arial" w:hAnsi="Arial"/>
                <w:b/>
                <w:bCs/>
                <w:color w:val="555555"/>
                <w:sz w:val="20"/>
                <w:szCs w:val="20"/>
              </w:rPr>
              <w:t xml:space="preserve">— Dr. Kerry Huang</w:t>
            </w:r>
          </w:p>
          <w:p>
            <w:pPr>
              <w:spacing w:after="40" w:before="0"/>
            </w:pPr>
            <w:r>
              <w:rPr>
                <w:rFonts w:ascii="Arial" w:cs="Arial" w:eastAsia="Arial" w:hAnsi="Arial"/>
                <w:color w:val="777777"/>
                <w:sz w:val="18"/>
                <w:szCs w:val="18"/>
              </w:rPr>
              <w:t xml:space="preserve">Fortune 50 AVP | ESI Top 1% Researcher</w:t>
            </w:r>
          </w:p>
        </w:tc>
      </w:tr>
    </w:tbl>
    <w:p>
      <w:pPr>
        <w:spacing w:after="120" w:before="120"/>
      </w:pPr>
      <w:r>
        <w:t xml:space="preserve"/>
      </w:r>
    </w:p>
    <w:p>
      <w:pPr>
        <w:spacing w:after="80" w:before="80"/>
      </w:pPr>
      <w:r>
        <w:rPr>
          <w:rFonts w:ascii="Arial" w:cs="Arial" w:eastAsia="Arial" w:hAnsi="Arial"/>
          <w:sz w:val="22"/>
          <w:szCs w:val="22"/>
        </w:rPr>
        <w:t xml:space="preserve">What this validates: Kerry's distinction between a structural blind spot and an active decision validates that the embodied ownership problem is not a resistance problem. It is an architecture problem. Organizations cannot develop ownership of something they cannot see they are missing.</w:t>
      </w:r>
    </w:p>
    <w:p>
      <w:pPr>
        <w:spacing w:after="120" w:before="120"/>
      </w:pPr>
      <w:r>
        <w:t xml:space="preserve"/>
      </w:r>
    </w:p>
    <w:p>
      <w:pPr>
        <w:spacing w:after="60" w:before="160"/>
      </w:pPr>
      <w:r>
        <w:rPr>
          <w:rFonts w:ascii="Arial" w:cs="Arial" w:eastAsia="Arial" w:hAnsi="Arial"/>
          <w:b/>
          <w:bCs/>
          <w:color w:val="0A0F2E"/>
          <w:sz w:val="24"/>
          <w:szCs w:val="24"/>
        </w:rPr>
        <w:t xml:space="preserve">Elizabeth Jeanes, MBA</w:t>
      </w:r>
      <w:r>
        <w:rPr>
          <w:rFonts w:ascii="Arial" w:cs="Arial" w:eastAsia="Arial" w:hAnsi="Arial"/>
          <w:color w:val="999999"/>
          <w:sz w:val="22"/>
          <w:szCs w:val="22"/>
        </w:rPr>
        <w:t xml:space="preserve">  |  </w:t>
      </w:r>
      <w:r>
        <w:rPr>
          <w:rFonts w:ascii="Arial" w:cs="Arial" w:eastAsia="Arial" w:hAnsi="Arial"/>
          <w:color w:val="555555"/>
          <w:sz w:val="20"/>
          <w:szCs w:val="20"/>
        </w:rPr>
        <w:t xml:space="preserve">Enterprise Healthcare Transformation Leader</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2B8A6E" w:val="clear"/>
          </w:tcPr>
          <w:p>
            <w:r>
              <w:t xml:space="preserve"/>
            </w:r>
          </w:p>
        </w:tc>
        <w:tc>
          <w:tcPr>
            <w:tcW w:type="dxa" w:w="9180"/>
            <w:tcBorders>
              <w:top w:val="none" w:color="FFFFFF" w:sz="0"/>
              <w:left w:val="none" w:color="FFFFFF" w:sz="0"/>
              <w:bottom w:val="none" w:color="FFFFFF" w:sz="0"/>
              <w:right w:val="none" w:color="FFFFFF" w:sz="0"/>
            </w:tcBorders>
            <w:shd w:fill="E8F4F0" w:val="clear"/>
            <w:tcMar>
              <w:top w:type="dxa" w:w="160"/>
              <w:left w:type="dxa" w:w="280"/>
              <w:bottom w:type="dxa" w:w="160"/>
              <w:right w:type="dxa" w:w="280"/>
            </w:tcMar>
          </w:tcPr>
          <w:p>
            <w:pPr>
              <w:spacing w:after="120" w:before="40"/>
            </w:pPr>
            <w:r>
              <w:rPr>
                <w:rFonts w:ascii="Arial" w:cs="Arial" w:eastAsia="Arial" w:hAnsi="Arial"/>
                <w:i/>
                <w:iCs/>
                <w:color w:val="222222"/>
                <w:sz w:val="22"/>
                <w:szCs w:val="22"/>
              </w:rPr>
              <w:t xml:space="preserve">"Not just shared understanding, but shared readiness."</w:t>
            </w:r>
          </w:p>
          <w:p>
            <w:pPr>
              <w:spacing w:after="40" w:before="40"/>
            </w:pPr>
            <w:r>
              <w:rPr>
                <w:rFonts w:ascii="Arial" w:cs="Arial" w:eastAsia="Arial" w:hAnsi="Arial"/>
                <w:b/>
                <w:bCs/>
                <w:color w:val="555555"/>
                <w:sz w:val="20"/>
                <w:szCs w:val="20"/>
              </w:rPr>
              <w:t xml:space="preserve">— Elizabeth Jeanes, MBA-HM, BSN, RN, NPD-BC</w:t>
            </w:r>
          </w:p>
          <w:p>
            <w:pPr>
              <w:spacing w:after="40" w:before="0"/>
            </w:pPr>
            <w:r>
              <w:rPr>
                <w:rFonts w:ascii="Arial" w:cs="Arial" w:eastAsia="Arial" w:hAnsi="Arial"/>
                <w:color w:val="777777"/>
                <w:sz w:val="18"/>
                <w:szCs w:val="18"/>
              </w:rPr>
              <w:t xml:space="preserve">Enterprise Healthcare Transformation Leader | Lean Six Sigma Black Belt</w:t>
            </w:r>
          </w:p>
        </w:tc>
      </w:tr>
    </w:tbl>
    <w:p>
      <w:pPr>
        <w:spacing w:after="120" w:before="120"/>
      </w:pPr>
      <w:r>
        <w:t xml:space="preserve"/>
      </w:r>
    </w:p>
    <w:p>
      <w:pPr>
        <w:spacing w:after="80" w:before="80"/>
      </w:pPr>
      <w:r>
        <w:rPr>
          <w:rFonts w:ascii="Arial" w:cs="Arial" w:eastAsia="Arial" w:hAnsi="Arial"/>
          <w:sz w:val="22"/>
          <w:szCs w:val="22"/>
        </w:rPr>
        <w:t xml:space="preserve">What this validates: A healthcare transformation leader independently coined the shared readiness distinction in a public thread. Shared understanding means everyone knows the plan. Shared readiness means everyone has already made their decision before pressure arrives. This is the embodied versus acknowledged ownership distinction stated in healthcare operational language.</w:t>
      </w:r>
    </w:p>
    <w:p>
      <w:pPr>
        <w:spacing w:after="120" w:before="120"/>
      </w:pPr>
      <w:r>
        <w:t xml:space="preserve"/>
      </w:r>
    </w:p>
    <w:p>
      <w:pPr>
        <w:spacing w:after="60" w:before="160"/>
      </w:pPr>
      <w:r>
        <w:rPr>
          <w:rFonts w:ascii="Arial" w:cs="Arial" w:eastAsia="Arial" w:hAnsi="Arial"/>
          <w:b/>
          <w:bCs/>
          <w:color w:val="0A0F2E"/>
          <w:sz w:val="24"/>
          <w:szCs w:val="24"/>
        </w:rPr>
        <w:t xml:space="preserve">Dr. Kulneet Suri</w:t>
      </w:r>
      <w:r>
        <w:rPr>
          <w:rFonts w:ascii="Arial" w:cs="Arial" w:eastAsia="Arial" w:hAnsi="Arial"/>
          <w:color w:val="999999"/>
          <w:sz w:val="22"/>
          <w:szCs w:val="22"/>
        </w:rPr>
        <w:t xml:space="preserve">  |  </w:t>
      </w:r>
      <w:r>
        <w:rPr>
          <w:rFonts w:ascii="Arial" w:cs="Arial" w:eastAsia="Arial" w:hAnsi="Arial"/>
          <w:color w:val="555555"/>
          <w:sz w:val="20"/>
          <w:szCs w:val="20"/>
        </w:rPr>
        <w:t xml:space="preserve">Harvard Alumna, Oxford Research Reviewer, Applied Behavioral Scientist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2B8A6E" w:val="clear"/>
          </w:tcPr>
          <w:p>
            <w:r>
              <w:t xml:space="preserve"/>
            </w:r>
          </w:p>
        </w:tc>
        <w:tc>
          <w:tcPr>
            <w:tcW w:type="dxa" w:w="9180"/>
            <w:tcBorders>
              <w:top w:val="none" w:color="FFFFFF" w:sz="0"/>
              <w:left w:val="none" w:color="FFFFFF" w:sz="0"/>
              <w:bottom w:val="none" w:color="FFFFFF" w:sz="0"/>
              <w:right w:val="none" w:color="FFFFFF" w:sz="0"/>
            </w:tcBorders>
            <w:shd w:fill="E8F4F0" w:val="clear"/>
            <w:tcMar>
              <w:top w:type="dxa" w:w="160"/>
              <w:left w:type="dxa" w:w="280"/>
              <w:bottom w:type="dxa" w:w="160"/>
              <w:right w:type="dxa" w:w="280"/>
            </w:tcMar>
          </w:tcPr>
          <w:p>
            <w:pPr>
              <w:spacing w:after="120" w:before="40"/>
            </w:pPr>
            <w:r>
              <w:rPr>
                <w:rFonts w:ascii="Arial" w:cs="Arial" w:eastAsia="Arial" w:hAnsi="Arial"/>
                <w:i/>
                <w:iCs/>
                <w:color w:val="222222"/>
                <w:sz w:val="22"/>
                <w:szCs w:val="22"/>
              </w:rPr>
              <w:t xml:space="preserve">"How deliberately are organizations designing for embodied governance rather than assuming it emerges from structure? Performative governance is more dangerous than no governance at all."</w:t>
            </w:r>
          </w:p>
          <w:p>
            <w:pPr>
              <w:spacing w:after="40" w:before="40"/>
            </w:pPr>
            <w:r>
              <w:rPr>
                <w:rFonts w:ascii="Arial" w:cs="Arial" w:eastAsia="Arial" w:hAnsi="Arial"/>
                <w:b/>
                <w:bCs/>
                <w:color w:val="555555"/>
                <w:sz w:val="20"/>
                <w:szCs w:val="20"/>
              </w:rPr>
              <w:t xml:space="preserve">— Dr. Kulneet Suri</w:t>
            </w:r>
          </w:p>
          <w:p>
            <w:pPr>
              <w:spacing w:after="40" w:before="0"/>
            </w:pPr>
            <w:r>
              <w:rPr>
                <w:rFonts w:ascii="Arial" w:cs="Arial" w:eastAsia="Arial" w:hAnsi="Arial"/>
                <w:color w:val="777777"/>
                <w:sz w:val="18"/>
                <w:szCs w:val="18"/>
              </w:rPr>
              <w:t xml:space="preserve">Harvard Alumna | Oxford Research Reviewer | Applied Behavioral Scientist</w:t>
            </w:r>
          </w:p>
        </w:tc>
      </w:tr>
    </w:tbl>
    <w:p>
      <w:pPr>
        <w:spacing w:after="120" w:before="120"/>
      </w:pPr>
      <w:r>
        <w:t xml:space="preserve"/>
      </w:r>
    </w:p>
    <w:p>
      <w:pPr>
        <w:spacing w:after="80" w:before="80"/>
      </w:pPr>
      <w:r>
        <w:rPr>
          <w:rFonts w:ascii="Arial" w:cs="Arial" w:eastAsia="Arial" w:hAnsi="Arial"/>
          <w:sz w:val="22"/>
          <w:szCs w:val="22"/>
        </w:rPr>
        <w:t xml:space="preserve">What this validates: A behavioral scientist independently arrived at the performative versus embodied governance distinction from the academic governance direction. Her formulation — performative governance is more dangerous than no governance — is the third-party academic validation of the acknowledged ownership problem.</w:t>
      </w:r>
    </w:p>
    <w:p>
      <w:pPr>
        <w:spacing w:after="120" w:before="120"/>
      </w:pPr>
      <w:r>
        <w:t xml:space="preserve"/>
      </w:r>
    </w:p>
    <w:p>
      <w:pPr>
        <w:spacing w:after="60" w:before="160"/>
      </w:pPr>
      <w:r>
        <w:rPr>
          <w:rFonts w:ascii="Arial" w:cs="Arial" w:eastAsia="Arial" w:hAnsi="Arial"/>
          <w:b/>
          <w:bCs/>
          <w:color w:val="0A0F2E"/>
          <w:sz w:val="24"/>
          <w:szCs w:val="24"/>
        </w:rPr>
        <w:t xml:space="preserve">Scott DeJarnette, PhD</w:t>
      </w:r>
      <w:r>
        <w:rPr>
          <w:rFonts w:ascii="Arial" w:cs="Arial" w:eastAsia="Arial" w:hAnsi="Arial"/>
          <w:color w:val="999999"/>
          <w:sz w:val="22"/>
          <w:szCs w:val="22"/>
        </w:rPr>
        <w:t xml:space="preserve">  |  </w:t>
      </w:r>
      <w:r>
        <w:rPr>
          <w:rFonts w:ascii="Arial" w:cs="Arial" w:eastAsia="Arial" w:hAnsi="Arial"/>
          <w:color w:val="555555"/>
          <w:sz w:val="20"/>
          <w:szCs w:val="20"/>
        </w:rPr>
        <w:t xml:space="preserve">Cybersecurity Strategist, CIO Advisor, Triple CCIE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2B8A6E" w:val="clear"/>
          </w:tcPr>
          <w:p>
            <w:r>
              <w:t xml:space="preserve"/>
            </w:r>
          </w:p>
        </w:tc>
        <w:tc>
          <w:tcPr>
            <w:tcW w:type="dxa" w:w="9180"/>
            <w:tcBorders>
              <w:top w:val="none" w:color="FFFFFF" w:sz="0"/>
              <w:left w:val="none" w:color="FFFFFF" w:sz="0"/>
              <w:bottom w:val="none" w:color="FFFFFF" w:sz="0"/>
              <w:right w:val="none" w:color="FFFFFF" w:sz="0"/>
            </w:tcBorders>
            <w:shd w:fill="E8F4F0" w:val="clear"/>
            <w:tcMar>
              <w:top w:type="dxa" w:w="160"/>
              <w:left w:type="dxa" w:w="280"/>
              <w:bottom w:type="dxa" w:w="160"/>
              <w:right w:type="dxa" w:w="280"/>
            </w:tcMar>
          </w:tcPr>
          <w:p>
            <w:pPr>
              <w:spacing w:after="120" w:before="40"/>
            </w:pPr>
            <w:r>
              <w:rPr>
                <w:rFonts w:ascii="Arial" w:cs="Arial" w:eastAsia="Arial" w:hAnsi="Arial"/>
                <w:i/>
                <w:iCs/>
                <w:color w:val="222222"/>
                <w:sz w:val="22"/>
                <w:szCs w:val="22"/>
              </w:rPr>
              <w:t xml:space="preserve">"One is repeatable under pressure. The other is situational luck with competent people filling gaps in real time. From the outside they can look the same once. The difference shows up on the next trigger."</w:t>
            </w:r>
          </w:p>
          <w:p>
            <w:pPr>
              <w:spacing w:after="40" w:before="40"/>
            </w:pPr>
            <w:r>
              <w:rPr>
                <w:rFonts w:ascii="Arial" w:cs="Arial" w:eastAsia="Arial" w:hAnsi="Arial"/>
                <w:b/>
                <w:bCs/>
                <w:color w:val="555555"/>
                <w:sz w:val="20"/>
                <w:szCs w:val="20"/>
              </w:rPr>
              <w:t xml:space="preserve">— Scott DeJarnette, PhD</w:t>
            </w:r>
          </w:p>
          <w:p>
            <w:pPr>
              <w:spacing w:after="40" w:before="0"/>
            </w:pPr>
            <w:r>
              <w:rPr>
                <w:rFonts w:ascii="Arial" w:cs="Arial" w:eastAsia="Arial" w:hAnsi="Arial"/>
                <w:color w:val="777777"/>
                <w:sz w:val="18"/>
                <w:szCs w:val="18"/>
              </w:rPr>
              <w:t xml:space="preserve">Cybersecurity Strategist | CIO Advisor | Triple CCIE | Incident Response</w:t>
            </w:r>
          </w:p>
        </w:tc>
      </w:tr>
    </w:tbl>
    <w:p>
      <w:pPr>
        <w:spacing w:after="120" w:before="120"/>
      </w:pPr>
      <w:r>
        <w:t xml:space="preserve"/>
      </w:r>
    </w:p>
    <w:p>
      <w:pPr>
        <w:spacing w:after="80" w:before="80"/>
      </w:pPr>
      <w:r>
        <w:rPr>
          <w:rFonts w:ascii="Arial" w:cs="Arial" w:eastAsia="Arial" w:hAnsi="Arial"/>
          <w:sz w:val="22"/>
          <w:szCs w:val="22"/>
        </w:rPr>
        <w:t xml:space="preserve">What this validates: Scott's distinction between built capability and improvised behavior is the embodied versus acknowledged ownership problem stated in incident response language. The outcome looks the same once. The architecture is fundamentally different.</w:t>
      </w:r>
    </w:p>
    <w:p>
      <w:pPr>
        <w:spacing w:after="120" w:before="120"/>
      </w:pPr>
      <w:r>
        <w:t xml:space="preserve"/>
      </w:r>
    </w:p>
    <w:p>
      <w:pPr>
        <w:spacing w:after="120" w:before="120"/>
      </w:pPr>
      <w: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85028" w:val="clear"/>
            <w:tcMar>
              <w:top w:type="dxa" w:w="120"/>
              <w:left w:type="dxa" w:w="240"/>
              <w:bottom w:type="dxa" w:w="120"/>
              <w:right w:type="dxa" w:w="240"/>
            </w:tcMar>
          </w:tcPr>
          <w:p>
            <w:pPr>
              <w:jc w:val="center"/>
            </w:pPr>
            <w:r>
              <w:rPr>
                <w:rFonts w:ascii="Arial" w:cs="Arial" w:eastAsia="Arial" w:hAnsi="Arial"/>
                <w:b/>
                <w:bCs/>
                <w:caps/>
                <w:color w:val="FFFFFF"/>
                <w:sz w:val="20"/>
                <w:szCs w:val="20"/>
              </w:rPr>
              <w:t xml:space="preserve">THEME 3: GOVERNANCE AS PRE-COMMITMENT</w:t>
            </w:r>
          </w:p>
        </w:tc>
      </w:tr>
    </w:tbl>
    <w:p>
      <w:pPr>
        <w:spacing w:after="120" w:before="120"/>
      </w:pPr>
      <w:r>
        <w:t xml:space="preserve"/>
      </w:r>
    </w:p>
    <w:p>
      <w:pPr>
        <w:spacing w:after="80" w:before="80"/>
      </w:pPr>
      <w:r>
        <w:rPr>
          <w:rFonts w:ascii="Arial" w:cs="Arial" w:eastAsia="Arial" w:hAnsi="Arial"/>
          <w:i/>
          <w:iCs/>
          <w:color w:val="555555"/>
          <w:sz w:val="22"/>
          <w:szCs w:val="22"/>
        </w:rPr>
        <w:t xml:space="preserve">The most academically precise description of the product produced by anyone outside the company came from a Fortune 50 researcher who arrived at it through intellectual exchange, not product exposure. This theme documents that validation.</w:t>
      </w:r>
    </w:p>
    <w:p>
      <w:pPr>
        <w:spacing w:after="120" w:before="120"/>
      </w:pPr>
      <w:r>
        <w:t xml:space="preserve"/>
      </w:r>
    </w:p>
    <w:p>
      <w:pPr>
        <w:spacing w:after="60" w:before="160"/>
      </w:pPr>
      <w:r>
        <w:rPr>
          <w:rFonts w:ascii="Arial" w:cs="Arial" w:eastAsia="Arial" w:hAnsi="Arial"/>
          <w:b/>
          <w:bCs/>
          <w:color w:val="0A0F2E"/>
          <w:sz w:val="24"/>
          <w:szCs w:val="24"/>
        </w:rPr>
        <w:t xml:space="preserve">Dr. Kerry Huang</w:t>
      </w:r>
      <w:r>
        <w:rPr>
          <w:rFonts w:ascii="Arial" w:cs="Arial" w:eastAsia="Arial" w:hAnsi="Arial"/>
          <w:color w:val="999999"/>
          <w:sz w:val="22"/>
          <w:szCs w:val="22"/>
        </w:rPr>
        <w:t xml:space="preserve">  |  </w:t>
      </w:r>
      <w:r>
        <w:rPr>
          <w:rFonts w:ascii="Arial" w:cs="Arial" w:eastAsia="Arial" w:hAnsi="Arial"/>
          <w:color w:val="555555"/>
          <w:sz w:val="20"/>
          <w:szCs w:val="20"/>
        </w:rPr>
        <w:t xml:space="preserve">Fortune 50 AVP at world's largest electronics manufacturer, ESI Top 1% Researcher, Forbes Council</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B85028" w:val="clear"/>
          </w:tcPr>
          <w:p>
            <w:r>
              <w:t xml:space="preserve"/>
            </w:r>
          </w:p>
        </w:tc>
        <w:tc>
          <w:tcPr>
            <w:tcW w:type="dxa" w:w="9180"/>
            <w:tcBorders>
              <w:top w:val="none" w:color="FFFFFF" w:sz="0"/>
              <w:left w:val="none" w:color="FFFFFF" w:sz="0"/>
              <w:bottom w:val="none" w:color="FFFFFF" w:sz="0"/>
              <w:right w:val="none" w:color="FFFFFF" w:sz="0"/>
            </w:tcBorders>
            <w:shd w:fill="FDF0EC" w:val="clear"/>
            <w:tcMar>
              <w:top w:type="dxa" w:w="160"/>
              <w:left w:type="dxa" w:w="280"/>
              <w:bottom w:type="dxa" w:w="160"/>
              <w:right w:type="dxa" w:w="280"/>
            </w:tcMar>
          </w:tcPr>
          <w:p>
            <w:pPr>
              <w:spacing w:after="120" w:before="40"/>
            </w:pPr>
            <w:r>
              <w:rPr>
                <w:rFonts w:ascii="Arial" w:cs="Arial" w:eastAsia="Arial" w:hAnsi="Arial"/>
                <w:i/>
                <w:iCs/>
                <w:color w:val="222222"/>
                <w:sz w:val="22"/>
                <w:szCs w:val="22"/>
              </w:rPr>
              <w:t xml:space="preserve">"That is governance as pre-commitment, not governance as review."</w:t>
            </w:r>
          </w:p>
          <w:p>
            <w:pPr>
              <w:spacing w:after="40" w:before="40"/>
            </w:pPr>
            <w:r>
              <w:rPr>
                <w:rFonts w:ascii="Arial" w:cs="Arial" w:eastAsia="Arial" w:hAnsi="Arial"/>
                <w:b/>
                <w:bCs/>
                <w:color w:val="555555"/>
                <w:sz w:val="20"/>
                <w:szCs w:val="20"/>
              </w:rPr>
              <w:t xml:space="preserve">— Dr. Kerry Huang</w:t>
            </w:r>
          </w:p>
          <w:p>
            <w:pPr>
              <w:spacing w:after="40" w:before="0"/>
            </w:pPr>
            <w:r>
              <w:rPr>
                <w:rFonts w:ascii="Arial" w:cs="Arial" w:eastAsia="Arial" w:hAnsi="Arial"/>
                <w:color w:val="777777"/>
                <w:sz w:val="18"/>
                <w:szCs w:val="18"/>
              </w:rPr>
              <w:t xml:space="preserve">Fortune 50 AVP | ESI Top 1% Researcher | Forbes Council Member | Author, 408-firm governance study</w:t>
            </w:r>
          </w:p>
        </w:tc>
      </w:tr>
    </w:tbl>
    <w:p>
      <w:pPr>
        <w:spacing w:after="120" w:before="120"/>
      </w:pPr>
      <w:r>
        <w:t xml:space="preserve"/>
      </w:r>
    </w:p>
    <w:p>
      <w:pPr>
        <w:spacing w:after="80" w:before="80"/>
      </w:pPr>
      <w:r>
        <w:rPr>
          <w:rFonts w:ascii="Arial" w:cs="Arial" w:eastAsia="Arial" w:hAnsi="Arial"/>
          <w:sz w:val="22"/>
          <w:szCs w:val="22"/>
        </w:rPr>
        <w:t xml:space="preserve">Context: Kerry arrived at this formulation after a multi-exchange DM conversation about the football preparation model and its enterprise equivalent. He had not seen the platform. He had not been briefed on the product positioning. He produced this sentence through independent intellectual reasoning about the framework.</w:t>
      </w:r>
    </w:p>
    <w:p>
      <w:pPr>
        <w:spacing w:after="120" w:before="120"/>
      </w:pPr>
      <w:r>
        <w:t xml:space="preserve"/>
      </w:r>
    </w:p>
    <w:p>
      <w:pPr>
        <w:spacing w:after="80" w:before="80"/>
      </w:pPr>
      <w:r>
        <w:rPr>
          <w:rFonts w:ascii="Arial" w:cs="Arial" w:eastAsia="Arial" w:hAnsi="Arial"/>
          <w:sz w:val="22"/>
          <w:szCs w:val="22"/>
        </w:rPr>
        <w:t xml:space="preserve">What this validates: This is the single most important external validation produced in the three-week period. Governance as pre-commitment not governance as review is the most precise description of what Readiness OS does at the architectural level. It distinguishes the platform from every compliance, BCP, and governance tool on the market. It was produced by a peer-level researcher with 408-firm empirical data, not a marketing exercise.</w:t>
      </w:r>
    </w:p>
    <w:p>
      <w:pPr>
        <w:spacing w:after="120" w:before="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B85028" w:val="clear"/>
          </w:tcPr>
          <w:p>
            <w:r>
              <w:t xml:space="preserve"/>
            </w:r>
          </w:p>
        </w:tc>
        <w:tc>
          <w:tcPr>
            <w:tcW w:type="dxa" w:w="9180"/>
            <w:tcBorders>
              <w:top w:val="none" w:color="FFFFFF" w:sz="0"/>
              <w:left w:val="none" w:color="FFFFFF" w:sz="0"/>
              <w:bottom w:val="none" w:color="FFFFFF" w:sz="0"/>
              <w:right w:val="none" w:color="FFFFFF" w:sz="0"/>
            </w:tcBorders>
            <w:shd w:fill="FDF0EC" w:val="clear"/>
            <w:tcMar>
              <w:top w:type="dxa" w:w="160"/>
              <w:left w:type="dxa" w:w="280"/>
              <w:bottom w:type="dxa" w:w="160"/>
              <w:right w:type="dxa" w:w="280"/>
            </w:tcMar>
          </w:tcPr>
          <w:p>
            <w:pPr>
              <w:spacing w:after="120" w:before="40"/>
            </w:pPr>
            <w:r>
              <w:rPr>
                <w:rFonts w:ascii="Arial" w:cs="Arial" w:eastAsia="Arial" w:hAnsi="Arial"/>
                <w:i/>
                <w:iCs/>
                <w:color w:val="222222"/>
                <w:sz w:val="22"/>
                <w:szCs w:val="22"/>
              </w:rPr>
              <w:t xml:space="preserve">"AwaCourage cannot operate at a point in the process where the decision has already closed. The intervention has to move upstream, before the playbook locks."</w:t>
            </w:r>
          </w:p>
          <w:p>
            <w:pPr>
              <w:spacing w:after="40" w:before="40"/>
            </w:pPr>
            <w:r>
              <w:rPr>
                <w:rFonts w:ascii="Arial" w:cs="Arial" w:eastAsia="Arial" w:hAnsi="Arial"/>
                <w:b/>
                <w:bCs/>
                <w:color w:val="555555"/>
                <w:sz w:val="20"/>
                <w:szCs w:val="20"/>
              </w:rPr>
              <w:t xml:space="preserve">— Dr. Kerry Huang</w:t>
            </w:r>
          </w:p>
          <w:p>
            <w:pPr>
              <w:spacing w:after="40" w:before="0"/>
            </w:pPr>
            <w:r>
              <w:rPr>
                <w:rFonts w:ascii="Arial" w:cs="Arial" w:eastAsia="Arial" w:hAnsi="Arial"/>
                <w:color w:val="777777"/>
                <w:sz w:val="18"/>
                <w:szCs w:val="18"/>
              </w:rPr>
              <w:t xml:space="preserve">Second exchange — connecting his AwaCourage framework to the Readiness OS preparation architecture</w:t>
            </w:r>
          </w:p>
        </w:tc>
      </w:tr>
    </w:tbl>
    <w:p>
      <w:pPr>
        <w:spacing w:after="120" w:before="120"/>
      </w:pPr>
      <w:r>
        <w:t xml:space="preserve"/>
      </w:r>
    </w:p>
    <w:p>
      <w:pPr>
        <w:spacing w:after="80" w:before="80"/>
      </w:pPr>
      <w:r>
        <w:rPr>
          <w:rFonts w:ascii="Arial" w:cs="Arial" w:eastAsia="Arial" w:hAnsi="Arial"/>
          <w:sz w:val="22"/>
          <w:szCs w:val="22"/>
        </w:rPr>
        <w:t xml:space="preserve">What this validates: Kerry's AwaCourage framework — his independently developed governance model — requires the same upstream intervention architecture that Readiness OS provides. Two independently developed frameworks arrived at the same structural requirement from different directions. That is intellectual convergence, not coincidence.</w:t>
      </w:r>
    </w:p>
    <w:p>
      <w:pPr>
        <w:spacing w:after="120" w:before="120"/>
      </w:pPr>
      <w:r>
        <w:t xml:space="preserve"/>
      </w:r>
    </w:p>
    <w:p>
      <w:pPr>
        <w:spacing w:after="60" w:before="160"/>
      </w:pPr>
      <w:r>
        <w:rPr>
          <w:rFonts w:ascii="Arial" w:cs="Arial" w:eastAsia="Arial" w:hAnsi="Arial"/>
          <w:b/>
          <w:bCs/>
          <w:color w:val="0A0F2E"/>
          <w:sz w:val="24"/>
          <w:szCs w:val="24"/>
        </w:rPr>
        <w:t xml:space="preserve">Ludmila Pirogova</w:t>
      </w:r>
      <w:r>
        <w:rPr>
          <w:rFonts w:ascii="Arial" w:cs="Arial" w:eastAsia="Arial" w:hAnsi="Arial"/>
          <w:color w:val="999999"/>
          <w:sz w:val="22"/>
          <w:szCs w:val="22"/>
        </w:rPr>
        <w:t xml:space="preserve">  |  </w:t>
      </w:r>
      <w:r>
        <w:rPr>
          <w:rFonts w:ascii="Arial" w:cs="Arial" w:eastAsia="Arial" w:hAnsi="Arial"/>
          <w:color w:val="555555"/>
          <w:sz w:val="20"/>
          <w:szCs w:val="20"/>
        </w:rPr>
        <w:t xml:space="preserve">Board Advisor, ISO 42001 Lead Auditor, Executive Decision Architecture, P3 Governance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B85028" w:val="clear"/>
          </w:tcPr>
          <w:p>
            <w:r>
              <w:t xml:space="preserve"/>
            </w:r>
          </w:p>
        </w:tc>
        <w:tc>
          <w:tcPr>
            <w:tcW w:type="dxa" w:w="9180"/>
            <w:tcBorders>
              <w:top w:val="none" w:color="FFFFFF" w:sz="0"/>
              <w:left w:val="none" w:color="FFFFFF" w:sz="0"/>
              <w:bottom w:val="none" w:color="FFFFFF" w:sz="0"/>
              <w:right w:val="none" w:color="FFFFFF" w:sz="0"/>
            </w:tcBorders>
            <w:shd w:fill="FDF0EC" w:val="clear"/>
            <w:tcMar>
              <w:top w:type="dxa" w:w="160"/>
              <w:left w:type="dxa" w:w="280"/>
              <w:bottom w:type="dxa" w:w="160"/>
              <w:right w:type="dxa" w:w="280"/>
            </w:tcMar>
          </w:tcPr>
          <w:p>
            <w:pPr>
              <w:spacing w:after="120" w:before="40"/>
            </w:pPr>
            <w:r>
              <w:rPr>
                <w:rFonts w:ascii="Arial" w:cs="Arial" w:eastAsia="Arial" w:hAnsi="Arial"/>
                <w:i/>
                <w:iCs/>
                <w:color w:val="222222"/>
                <w:sz w:val="22"/>
                <w:szCs w:val="22"/>
              </w:rPr>
              <w:t xml:space="preserve">"Trust is infrastructure. It reduces friction. Improves decision quality. Strengthens resilience. And becomes load-bearing as human and machine systems begin co-shaping outcomes."</w:t>
            </w:r>
          </w:p>
          <w:p>
            <w:pPr>
              <w:spacing w:after="40" w:before="40"/>
            </w:pPr>
            <w:r>
              <w:rPr>
                <w:rFonts w:ascii="Arial" w:cs="Arial" w:eastAsia="Arial" w:hAnsi="Arial"/>
                <w:b/>
                <w:bCs/>
                <w:color w:val="555555"/>
                <w:sz w:val="20"/>
                <w:szCs w:val="20"/>
              </w:rPr>
              <w:t xml:space="preserve">— Ludmila Pirogova</w:t>
            </w:r>
          </w:p>
          <w:p>
            <w:pPr>
              <w:spacing w:after="40" w:before="0"/>
            </w:pPr>
            <w:r>
              <w:rPr>
                <w:rFonts w:ascii="Arial" w:cs="Arial" w:eastAsia="Arial" w:hAnsi="Arial"/>
                <w:color w:val="777777"/>
                <w:sz w:val="18"/>
                <w:szCs w:val="18"/>
              </w:rPr>
              <w:t xml:space="preserve">Board Advisor | ISO 42001 Lead Auditor | Executive Decision Architecture | P3 Governance</w:t>
            </w:r>
          </w:p>
        </w:tc>
      </w:tr>
    </w:tbl>
    <w:p>
      <w:pPr>
        <w:spacing w:after="120" w:before="120"/>
      </w:pPr>
      <w:r>
        <w:t xml:space="preserve"/>
      </w:r>
    </w:p>
    <w:p>
      <w:pPr>
        <w:spacing w:after="80" w:before="80"/>
      </w:pPr>
      <w:r>
        <w:rPr>
          <w:rFonts w:ascii="Arial" w:cs="Arial" w:eastAsia="Arial" w:hAnsi="Arial"/>
          <w:sz w:val="22"/>
          <w:szCs w:val="22"/>
        </w:rPr>
        <w:t xml:space="preserve">What this validates: A board-level ISO 42001 governance auditor independently described trust and preparation architecture as load-bearing infrastructure. This is the governance-as-infrastructure argument from a board governance perspective, validating the positioning of Readiness OS as infrastructure not a tool.</w:t>
      </w:r>
    </w:p>
    <w:p>
      <w:pPr>
        <w:spacing w:after="120" w:before="120"/>
      </w:pPr>
      <w:r>
        <w:t xml:space="preserve"/>
      </w:r>
    </w:p>
    <w:p>
      <w:pPr>
        <w:spacing w:after="120" w:before="120"/>
      </w:pPr>
      <w: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55555" w:val="clear"/>
            <w:tcMar>
              <w:top w:type="dxa" w:w="120"/>
              <w:left w:type="dxa" w:w="240"/>
              <w:bottom w:type="dxa" w:w="120"/>
              <w:right w:type="dxa" w:w="240"/>
            </w:tcMar>
          </w:tcPr>
          <w:p>
            <w:pPr>
              <w:jc w:val="center"/>
            </w:pPr>
            <w:r>
              <w:rPr>
                <w:rFonts w:ascii="Arial" w:cs="Arial" w:eastAsia="Arial" w:hAnsi="Arial"/>
                <w:b/>
                <w:bCs/>
                <w:caps/>
                <w:color w:val="FFFFFF"/>
                <w:sz w:val="20"/>
                <w:szCs w:val="20"/>
              </w:rPr>
              <w:t xml:space="preserve">THEME 4: THE DECISION ARCHITECTURE PROBLEM</w:t>
            </w:r>
          </w:p>
        </w:tc>
      </w:tr>
    </w:tbl>
    <w:p>
      <w:pPr>
        <w:spacing w:after="120" w:before="120"/>
      </w:pPr>
      <w:r>
        <w:t xml:space="preserve"/>
      </w:r>
    </w:p>
    <w:p>
      <w:pPr>
        <w:spacing w:after="80" w:before="80"/>
      </w:pPr>
      <w:r>
        <w:rPr>
          <w:rFonts w:ascii="Arial" w:cs="Arial" w:eastAsia="Arial" w:hAnsi="Arial"/>
          <w:i/>
          <w:iCs/>
          <w:color w:val="555555"/>
          <w:sz w:val="22"/>
          <w:szCs w:val="22"/>
        </w:rPr>
        <w:t xml:space="preserve">Multiple practitioners independently named decision architecture — the pre-staged design of how decisions will be made under pressure — as the structural gap that technology alone cannot close.</w:t>
      </w:r>
    </w:p>
    <w:p>
      <w:pPr>
        <w:spacing w:after="120" w:before="120"/>
      </w:pPr>
      <w:r>
        <w:t xml:space="preserve"/>
      </w:r>
    </w:p>
    <w:p>
      <w:pPr>
        <w:spacing w:after="60" w:before="160"/>
      </w:pPr>
      <w:r>
        <w:rPr>
          <w:rFonts w:ascii="Arial" w:cs="Arial" w:eastAsia="Arial" w:hAnsi="Arial"/>
          <w:b/>
          <w:bCs/>
          <w:color w:val="0A0F2E"/>
          <w:sz w:val="24"/>
          <w:szCs w:val="24"/>
        </w:rPr>
        <w:t xml:space="preserve">Zhaohui Feng</w:t>
      </w:r>
      <w:r>
        <w:rPr>
          <w:rFonts w:ascii="Arial" w:cs="Arial" w:eastAsia="Arial" w:hAnsi="Arial"/>
          <w:color w:val="999999"/>
          <w:sz w:val="22"/>
          <w:szCs w:val="22"/>
        </w:rPr>
        <w:t xml:space="preserve">  |  </w:t>
      </w:r>
      <w:r>
        <w:rPr>
          <w:rFonts w:ascii="Arial" w:cs="Arial" w:eastAsia="Arial" w:hAnsi="Arial"/>
          <w:color w:val="555555"/>
          <w:sz w:val="20"/>
          <w:szCs w:val="20"/>
        </w:rPr>
        <w:t xml:space="preserve">Former CIO, 25 Years Enterprise IT, AI Strategy to Execution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888888" w:val="clear"/>
          </w:tcPr>
          <w:p>
            <w:r>
              <w:t xml:space="preserve"/>
            </w:r>
          </w:p>
        </w:tc>
        <w:tc>
          <w:tcPr>
            <w:tcW w:type="dxa" w:w="9180"/>
            <w:tcBorders>
              <w:top w:val="none" w:color="FFFFFF" w:sz="0"/>
              <w:left w:val="none" w:color="FFFFFF" w:sz="0"/>
              <w:bottom w:val="none" w:color="FFFFFF" w:sz="0"/>
              <w:right w:val="none" w:color="FFFFFF" w:sz="0"/>
            </w:tcBorders>
            <w:shd w:fill="F0F0F0" w:val="clear"/>
            <w:tcMar>
              <w:top w:type="dxa" w:w="160"/>
              <w:left w:type="dxa" w:w="280"/>
              <w:bottom w:type="dxa" w:w="160"/>
              <w:right w:type="dxa" w:w="280"/>
            </w:tcMar>
          </w:tcPr>
          <w:p>
            <w:pPr>
              <w:spacing w:after="120" w:before="40"/>
            </w:pPr>
            <w:r>
              <w:rPr>
                <w:rFonts w:ascii="Arial" w:cs="Arial" w:eastAsia="Arial" w:hAnsi="Arial"/>
                <w:i/>
                <w:iCs/>
                <w:color w:val="222222"/>
                <w:sz w:val="22"/>
                <w:szCs w:val="22"/>
              </w:rPr>
              <w:t xml:space="preserve">"The gap between AI strategy and team execution is not a technology issue. It is an operating model issue. When strategy defines direction but operating structure defines execution, alignment happens."</w:t>
            </w:r>
          </w:p>
          <w:p>
            <w:pPr>
              <w:spacing w:after="40" w:before="40"/>
            </w:pPr>
            <w:r>
              <w:rPr>
                <w:rFonts w:ascii="Arial" w:cs="Arial" w:eastAsia="Arial" w:hAnsi="Arial"/>
                <w:b/>
                <w:bCs/>
                <w:color w:val="555555"/>
                <w:sz w:val="20"/>
                <w:szCs w:val="20"/>
              </w:rPr>
              <w:t xml:space="preserve">— Zhaohui Feng</w:t>
            </w:r>
          </w:p>
          <w:p>
            <w:pPr>
              <w:spacing w:after="40" w:before="0"/>
            </w:pPr>
            <w:r>
              <w:rPr>
                <w:rFonts w:ascii="Arial" w:cs="Arial" w:eastAsia="Arial" w:hAnsi="Arial"/>
                <w:color w:val="777777"/>
                <w:sz w:val="18"/>
                <w:szCs w:val="18"/>
              </w:rPr>
              <w:t xml:space="preserve">Former CIO | 25 Years Enterprise IT | Translating AI &amp; Deep Tech into Practical Strategy</w:t>
            </w:r>
          </w:p>
        </w:tc>
      </w:tr>
    </w:tbl>
    <w:p>
      <w:pPr>
        <w:spacing w:after="120" w:before="120"/>
      </w:pPr>
      <w:r>
        <w:t xml:space="preserve"/>
      </w:r>
    </w:p>
    <w:p>
      <w:pPr>
        <w:spacing w:after="80" w:before="80"/>
      </w:pPr>
      <w:r>
        <w:rPr>
          <w:rFonts w:ascii="Arial" w:cs="Arial" w:eastAsia="Arial" w:hAnsi="Arial"/>
          <w:sz w:val="22"/>
          <w:szCs w:val="22"/>
        </w:rPr>
        <w:t xml:space="preserve">What this validates: A former CIO with 25 years in enterprise IT independently confirmed that the gap between AI strategy and organizational execution is an operating model problem not a technology problem. This is the Microsoft positioning argument — every enterprise has the AI stack, none have the operating model — validated by a former CIO.</w:t>
      </w:r>
    </w:p>
    <w:p>
      <w:pPr>
        <w:spacing w:after="120" w:before="120"/>
      </w:pPr>
      <w:r>
        <w:t xml:space="preserve"/>
      </w:r>
    </w:p>
    <w:p>
      <w:pPr>
        <w:spacing w:after="60" w:before="160"/>
      </w:pPr>
      <w:r>
        <w:rPr>
          <w:rFonts w:ascii="Arial" w:cs="Arial" w:eastAsia="Arial" w:hAnsi="Arial"/>
          <w:b/>
          <w:bCs/>
          <w:color w:val="0A0F2E"/>
          <w:sz w:val="24"/>
          <w:szCs w:val="24"/>
        </w:rPr>
        <w:t xml:space="preserve">Raj Polanki</w:t>
      </w:r>
      <w:r>
        <w:rPr>
          <w:rFonts w:ascii="Arial" w:cs="Arial" w:eastAsia="Arial" w:hAnsi="Arial"/>
          <w:color w:val="999999"/>
          <w:sz w:val="22"/>
          <w:szCs w:val="22"/>
        </w:rPr>
        <w:t xml:space="preserve">  |  </w:t>
      </w:r>
      <w:r>
        <w:rPr>
          <w:rFonts w:ascii="Arial" w:cs="Arial" w:eastAsia="Arial" w:hAnsi="Arial"/>
          <w:color w:val="555555"/>
          <w:sz w:val="20"/>
          <w:szCs w:val="20"/>
        </w:rPr>
        <w:t xml:space="preserve">CIO, Board Member, AI Leadership Coach, NACD Director</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888888" w:val="clear"/>
          </w:tcPr>
          <w:p>
            <w:r>
              <w:t xml:space="preserve"/>
            </w:r>
          </w:p>
        </w:tc>
        <w:tc>
          <w:tcPr>
            <w:tcW w:type="dxa" w:w="9180"/>
            <w:tcBorders>
              <w:top w:val="none" w:color="FFFFFF" w:sz="0"/>
              <w:left w:val="none" w:color="FFFFFF" w:sz="0"/>
              <w:bottom w:val="none" w:color="FFFFFF" w:sz="0"/>
              <w:right w:val="none" w:color="FFFFFF" w:sz="0"/>
            </w:tcBorders>
            <w:shd w:fill="F0F0F0" w:val="clear"/>
            <w:tcMar>
              <w:top w:type="dxa" w:w="160"/>
              <w:left w:type="dxa" w:w="280"/>
              <w:bottom w:type="dxa" w:w="160"/>
              <w:right w:type="dxa" w:w="280"/>
            </w:tcMar>
          </w:tcPr>
          <w:p>
            <w:pPr>
              <w:spacing w:after="120" w:before="40"/>
            </w:pPr>
            <w:r>
              <w:rPr>
                <w:rFonts w:ascii="Arial" w:cs="Arial" w:eastAsia="Arial" w:hAnsi="Arial"/>
                <w:i/>
                <w:iCs/>
                <w:color w:val="222222"/>
                <w:sz w:val="22"/>
                <w:szCs w:val="22"/>
              </w:rPr>
              <w:t xml:space="preserve">"Speed is structural not technological. The constraint is not the layers. The response was never built before the trigger fired."</w:t>
            </w:r>
          </w:p>
          <w:p>
            <w:pPr>
              <w:spacing w:after="40" w:before="40"/>
            </w:pPr>
            <w:r>
              <w:rPr>
                <w:rFonts w:ascii="Arial" w:cs="Arial" w:eastAsia="Arial" w:hAnsi="Arial"/>
                <w:b/>
                <w:bCs/>
                <w:color w:val="555555"/>
                <w:sz w:val="20"/>
                <w:szCs w:val="20"/>
              </w:rPr>
              <w:t xml:space="preserve">— Raj Polanki</w:t>
            </w:r>
          </w:p>
          <w:p>
            <w:pPr>
              <w:spacing w:after="40" w:before="0"/>
            </w:pPr>
            <w:r>
              <w:rPr>
                <w:rFonts w:ascii="Arial" w:cs="Arial" w:eastAsia="Arial" w:hAnsi="Arial"/>
                <w:color w:val="777777"/>
                <w:sz w:val="18"/>
                <w:szCs w:val="18"/>
              </w:rPr>
              <w:t xml:space="preserve">CIO | Board Member | AI Leadership Coach | NACD Director</w:t>
            </w:r>
          </w:p>
        </w:tc>
      </w:tr>
    </w:tbl>
    <w:p>
      <w:pPr>
        <w:spacing w:after="120" w:before="120"/>
      </w:pPr>
      <w:r>
        <w:t xml:space="preserve"/>
      </w:r>
    </w:p>
    <w:p>
      <w:pPr>
        <w:spacing w:after="80" w:before="80"/>
      </w:pPr>
      <w:r>
        <w:rPr>
          <w:rFonts w:ascii="Arial" w:cs="Arial" w:eastAsia="Arial" w:hAnsi="Arial"/>
          <w:sz w:val="22"/>
          <w:szCs w:val="22"/>
        </w:rPr>
        <w:t xml:space="preserve">What this validates: A current CIO and NACD board director independently confirmed that organizational speed is a structural architecture problem, not a technology limitation. This validates the Readiness OS thesis at the board governance level.</w:t>
      </w:r>
    </w:p>
    <w:p>
      <w:pPr>
        <w:spacing w:after="120" w:before="120"/>
      </w:pPr>
      <w:r>
        <w:t xml:space="preserve"/>
      </w:r>
    </w:p>
    <w:p>
      <w:pPr>
        <w:spacing w:after="60" w:before="160"/>
      </w:pPr>
      <w:r>
        <w:rPr>
          <w:rFonts w:ascii="Arial" w:cs="Arial" w:eastAsia="Arial" w:hAnsi="Arial"/>
          <w:b/>
          <w:bCs/>
          <w:color w:val="0A0F2E"/>
          <w:sz w:val="24"/>
          <w:szCs w:val="24"/>
        </w:rPr>
        <w:t xml:space="preserve">John Trchala</w:t>
      </w:r>
      <w:r>
        <w:rPr>
          <w:rFonts w:ascii="Arial" w:cs="Arial" w:eastAsia="Arial" w:hAnsi="Arial"/>
          <w:color w:val="999999"/>
          <w:sz w:val="22"/>
          <w:szCs w:val="22"/>
        </w:rPr>
        <w:t xml:space="preserve">  |  </w:t>
      </w:r>
      <w:r>
        <w:rPr>
          <w:rFonts w:ascii="Arial" w:cs="Arial" w:eastAsia="Arial" w:hAnsi="Arial"/>
          <w:color w:val="555555"/>
          <w:sz w:val="20"/>
          <w:szCs w:val="20"/>
        </w:rPr>
        <w:t xml:space="preserve">PE-Backed CIO/CTO, M&amp;A Integration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888888" w:val="clear"/>
          </w:tcPr>
          <w:p>
            <w:r>
              <w:t xml:space="preserve"/>
            </w:r>
          </w:p>
        </w:tc>
        <w:tc>
          <w:tcPr>
            <w:tcW w:type="dxa" w:w="9180"/>
            <w:tcBorders>
              <w:top w:val="none" w:color="FFFFFF" w:sz="0"/>
              <w:left w:val="none" w:color="FFFFFF" w:sz="0"/>
              <w:bottom w:val="none" w:color="FFFFFF" w:sz="0"/>
              <w:right w:val="none" w:color="FFFFFF" w:sz="0"/>
            </w:tcBorders>
            <w:shd w:fill="F0F0F0" w:val="clear"/>
            <w:tcMar>
              <w:top w:type="dxa" w:w="160"/>
              <w:left w:type="dxa" w:w="280"/>
              <w:bottom w:type="dxa" w:w="160"/>
              <w:right w:type="dxa" w:w="280"/>
            </w:tcMar>
          </w:tcPr>
          <w:p>
            <w:pPr>
              <w:spacing w:after="120" w:before="40"/>
            </w:pPr>
            <w:r>
              <w:rPr>
                <w:rFonts w:ascii="Arial" w:cs="Arial" w:eastAsia="Arial" w:hAnsi="Arial"/>
                <w:i/>
                <w:iCs/>
                <w:color w:val="222222"/>
                <w:sz w:val="22"/>
                <w:szCs w:val="22"/>
              </w:rPr>
              <w:t xml:space="preserve">"Digital transformation fails when the operating model doesn't change. The technology gets shaped to match the old workflows. Organizations recreate the past inside something that was supposed to move them forward."</w:t>
            </w:r>
          </w:p>
          <w:p>
            <w:pPr>
              <w:spacing w:after="40" w:before="40"/>
            </w:pPr>
            <w:r>
              <w:rPr>
                <w:rFonts w:ascii="Arial" w:cs="Arial" w:eastAsia="Arial" w:hAnsi="Arial"/>
                <w:b/>
                <w:bCs/>
                <w:color w:val="555555"/>
                <w:sz w:val="20"/>
                <w:szCs w:val="20"/>
              </w:rPr>
              <w:t xml:space="preserve">— John Trchala</w:t>
            </w:r>
          </w:p>
          <w:p>
            <w:pPr>
              <w:spacing w:after="40" w:before="0"/>
            </w:pPr>
            <w:r>
              <w:rPr>
                <w:rFonts w:ascii="Arial" w:cs="Arial" w:eastAsia="Arial" w:hAnsi="Arial"/>
                <w:color w:val="777777"/>
                <w:sz w:val="18"/>
                <w:szCs w:val="18"/>
              </w:rPr>
              <w:t xml:space="preserve">PE-Backed CIO/CTO | M&amp;A Integration | Modernization &amp; AI Enablement</w:t>
            </w:r>
          </w:p>
        </w:tc>
      </w:tr>
    </w:tbl>
    <w:p>
      <w:pPr>
        <w:spacing w:after="120" w:before="120"/>
      </w:pPr>
      <w:r>
        <w:t xml:space="preserve"/>
      </w:r>
    </w:p>
    <w:p>
      <w:pPr>
        <w:spacing w:after="80" w:before="80"/>
      </w:pPr>
      <w:r>
        <w:rPr>
          <w:rFonts w:ascii="Arial" w:cs="Arial" w:eastAsia="Arial" w:hAnsi="Arial"/>
          <w:sz w:val="22"/>
          <w:szCs w:val="22"/>
        </w:rPr>
        <w:t xml:space="preserve">What this validates: A PE-backed CIO confirmed that technology without operating model change produces no transformation. This validates the Readiness OS positioning as the operating model layer that makes AI investment executable.</w:t>
      </w:r>
    </w:p>
    <w:p>
      <w:pPr>
        <w:spacing w:after="120" w:before="120"/>
      </w:pPr>
      <w:r>
        <w:t xml:space="preserve"/>
      </w:r>
    </w:p>
    <w:p>
      <w:pPr>
        <w:spacing w:after="120" w:before="120"/>
      </w:pPr>
      <w: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B8A6E" w:val="clear"/>
            <w:tcMar>
              <w:top w:type="dxa" w:w="120"/>
              <w:left w:type="dxa" w:w="240"/>
              <w:bottom w:type="dxa" w:w="120"/>
              <w:right w:type="dxa" w:w="240"/>
            </w:tcMar>
          </w:tcPr>
          <w:p>
            <w:pPr>
              <w:jc w:val="center"/>
            </w:pPr>
            <w:r>
              <w:rPr>
                <w:rFonts w:ascii="Arial" w:cs="Arial" w:eastAsia="Arial" w:hAnsi="Arial"/>
                <w:b/>
                <w:bCs/>
                <w:caps/>
                <w:color w:val="FFFFFF"/>
                <w:sz w:val="20"/>
                <w:szCs w:val="20"/>
              </w:rPr>
              <w:t xml:space="preserve">THEME 5: THE OPPORTUNITY SIDE</w:t>
            </w:r>
          </w:p>
        </w:tc>
      </w:tr>
    </w:tbl>
    <w:p>
      <w:pPr>
        <w:spacing w:after="120" w:before="120"/>
      </w:pPr>
      <w:r>
        <w:t xml:space="preserve"/>
      </w:r>
    </w:p>
    <w:p>
      <w:pPr>
        <w:spacing w:after="80" w:before="80"/>
      </w:pPr>
      <w:r>
        <w:rPr>
          <w:rFonts w:ascii="Arial" w:cs="Arial" w:eastAsia="Arial" w:hAnsi="Arial"/>
          <w:i/>
          <w:iCs/>
          <w:color w:val="555555"/>
          <w:sz w:val="22"/>
          <w:szCs w:val="22"/>
        </w:rPr>
        <w:t xml:space="preserve">Practitioners validated that the preparation gap is not only a threat response problem. Organizations miss strategic opportunities for the same structural reason they lose in crisis — the response was never built before the window opened.</w:t>
      </w:r>
    </w:p>
    <w:p>
      <w:pPr>
        <w:spacing w:after="120" w:before="120"/>
      </w:pPr>
      <w:r>
        <w:t xml:space="preserve"/>
      </w:r>
    </w:p>
    <w:p>
      <w:pPr>
        <w:spacing w:after="60" w:before="160"/>
      </w:pPr>
      <w:r>
        <w:rPr>
          <w:rFonts w:ascii="Arial" w:cs="Arial" w:eastAsia="Arial" w:hAnsi="Arial"/>
          <w:b/>
          <w:bCs/>
          <w:color w:val="0A0F2E"/>
          <w:sz w:val="24"/>
          <w:szCs w:val="24"/>
        </w:rPr>
        <w:t xml:space="preserve">Dr. Kerry Huang</w:t>
      </w:r>
      <w:r>
        <w:rPr>
          <w:rFonts w:ascii="Arial" w:cs="Arial" w:eastAsia="Arial" w:hAnsi="Arial"/>
          <w:color w:val="999999"/>
          <w:sz w:val="22"/>
          <w:szCs w:val="22"/>
        </w:rPr>
        <w:t xml:space="preserve">  |  </w:t>
      </w:r>
      <w:r>
        <w:rPr>
          <w:rFonts w:ascii="Arial" w:cs="Arial" w:eastAsia="Arial" w:hAnsi="Arial"/>
          <w:color w:val="555555"/>
          <w:sz w:val="20"/>
          <w:szCs w:val="20"/>
        </w:rPr>
        <w:t xml:space="preserve">Fortune 50 AVP, ESI Top 1% Researcher</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2B8A6E" w:val="clear"/>
          </w:tcPr>
          <w:p>
            <w:r>
              <w:t xml:space="preserve"/>
            </w:r>
          </w:p>
        </w:tc>
        <w:tc>
          <w:tcPr>
            <w:tcW w:type="dxa" w:w="9180"/>
            <w:tcBorders>
              <w:top w:val="none" w:color="FFFFFF" w:sz="0"/>
              <w:left w:val="none" w:color="FFFFFF" w:sz="0"/>
              <w:bottom w:val="none" w:color="FFFFFF" w:sz="0"/>
              <w:right w:val="none" w:color="FFFFFF" w:sz="0"/>
            </w:tcBorders>
            <w:shd w:fill="E8F4F0" w:val="clear"/>
            <w:tcMar>
              <w:top w:type="dxa" w:w="160"/>
              <w:left w:type="dxa" w:w="280"/>
              <w:bottom w:type="dxa" w:w="160"/>
              <w:right w:type="dxa" w:w="280"/>
            </w:tcMar>
          </w:tcPr>
          <w:p>
            <w:pPr>
              <w:spacing w:after="120" w:before="40"/>
            </w:pPr>
            <w:r>
              <w:rPr>
                <w:rFonts w:ascii="Arial" w:cs="Arial" w:eastAsia="Arial" w:hAnsi="Arial"/>
                <w:i/>
                <w:iCs/>
                <w:color w:val="222222"/>
                <w:sz w:val="22"/>
                <w:szCs w:val="22"/>
              </w:rPr>
              <w:t xml:space="preserve">"The capability compounds. The moat deepens. The organizations where capability held longest were not just better prepared — they had built a feedback mechanism that made each deployment more accurate than the last."</w:t>
            </w:r>
          </w:p>
          <w:p>
            <w:pPr>
              <w:spacing w:after="40" w:before="40"/>
            </w:pPr>
            <w:r>
              <w:rPr>
                <w:rFonts w:ascii="Arial" w:cs="Arial" w:eastAsia="Arial" w:hAnsi="Arial"/>
                <w:b/>
                <w:bCs/>
                <w:color w:val="555555"/>
                <w:sz w:val="20"/>
                <w:szCs w:val="20"/>
              </w:rPr>
              <w:t xml:space="preserve">— Dr. Kerry Huang</w:t>
            </w:r>
          </w:p>
          <w:p>
            <w:pPr>
              <w:spacing w:after="40" w:before="0"/>
            </w:pPr>
            <w:r>
              <w:rPr>
                <w:rFonts w:ascii="Arial" w:cs="Arial" w:eastAsia="Arial" w:hAnsi="Arial"/>
                <w:color w:val="777777"/>
                <w:sz w:val="18"/>
                <w:szCs w:val="18"/>
              </w:rPr>
              <w:t xml:space="preserve">Fortune 50 AVP | ESI Top 1% Researcher | Forbes Council</w:t>
            </w:r>
          </w:p>
        </w:tc>
      </w:tr>
    </w:tbl>
    <w:p>
      <w:pPr>
        <w:spacing w:after="120" w:before="120"/>
      </w:pPr>
      <w:r>
        <w:t xml:space="preserve"/>
      </w:r>
    </w:p>
    <w:p>
      <w:pPr>
        <w:spacing w:after="80" w:before="80"/>
      </w:pPr>
      <w:r>
        <w:rPr>
          <w:rFonts w:ascii="Arial" w:cs="Arial" w:eastAsia="Arial" w:hAnsi="Arial"/>
          <w:sz w:val="22"/>
          <w:szCs w:val="22"/>
        </w:rPr>
        <w:t xml:space="preserve">What this validates: Kerry's 408-firm research identified that the compounding intelligence mechanism — not just initial preparation — is what separates organizations that hold under sustained pressure from those that improvise repeatedly. This validates the Readiness OS data moat argument: the platform gets smarter with every activation.</w:t>
      </w:r>
    </w:p>
    <w:p>
      <w:pPr>
        <w:spacing w:after="120" w:before="120"/>
      </w:pPr>
      <w:r>
        <w:t xml:space="preserve"/>
      </w:r>
    </w:p>
    <w:p>
      <w:pPr>
        <w:spacing w:after="60" w:before="160"/>
      </w:pPr>
      <w:r>
        <w:rPr>
          <w:rFonts w:ascii="Arial" w:cs="Arial" w:eastAsia="Arial" w:hAnsi="Arial"/>
          <w:b/>
          <w:bCs/>
          <w:color w:val="0A0F2E"/>
          <w:sz w:val="24"/>
          <w:szCs w:val="24"/>
        </w:rPr>
        <w:t xml:space="preserve">Adam Hofmann</w:t>
      </w:r>
      <w:r>
        <w:rPr>
          <w:rFonts w:ascii="Arial" w:cs="Arial" w:eastAsia="Arial" w:hAnsi="Arial"/>
          <w:color w:val="999999"/>
          <w:sz w:val="22"/>
          <w:szCs w:val="22"/>
        </w:rPr>
        <w:t xml:space="preserve">  |  </w:t>
      </w:r>
      <w:r>
        <w:rPr>
          <w:rFonts w:ascii="Arial" w:cs="Arial" w:eastAsia="Arial" w:hAnsi="Arial"/>
          <w:color w:val="555555"/>
          <w:sz w:val="20"/>
          <w:szCs w:val="20"/>
        </w:rPr>
        <w:t xml:space="preserve">AI Transformation Partner for CEOs and Executives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2B8A6E" w:val="clear"/>
          </w:tcPr>
          <w:p>
            <w:r>
              <w:t xml:space="preserve"/>
            </w:r>
          </w:p>
        </w:tc>
        <w:tc>
          <w:tcPr>
            <w:tcW w:type="dxa" w:w="9180"/>
            <w:tcBorders>
              <w:top w:val="none" w:color="FFFFFF" w:sz="0"/>
              <w:left w:val="none" w:color="FFFFFF" w:sz="0"/>
              <w:bottom w:val="none" w:color="FFFFFF" w:sz="0"/>
              <w:right w:val="none" w:color="FFFFFF" w:sz="0"/>
            </w:tcBorders>
            <w:shd w:fill="E8F4F0" w:val="clear"/>
            <w:tcMar>
              <w:top w:type="dxa" w:w="160"/>
              <w:left w:type="dxa" w:w="280"/>
              <w:bottom w:type="dxa" w:w="160"/>
              <w:right w:type="dxa" w:w="280"/>
            </w:tcMar>
          </w:tcPr>
          <w:p>
            <w:pPr>
              <w:spacing w:after="120" w:before="40"/>
            </w:pPr>
            <w:r>
              <w:rPr>
                <w:rFonts w:ascii="Arial" w:cs="Arial" w:eastAsia="Arial" w:hAnsi="Arial"/>
                <w:i/>
                <w:iCs/>
                <w:color w:val="222222"/>
                <w:sz w:val="22"/>
                <w:szCs w:val="22"/>
              </w:rPr>
              <w:t xml:space="preserve">"AI gets framed as optimization. The best organizations let AI challenge the decision itself. The prep architecture point is spot on — most orgs invest in the reaction and starve the preparation."</w:t>
            </w:r>
          </w:p>
          <w:p>
            <w:pPr>
              <w:spacing w:after="40" w:before="40"/>
            </w:pPr>
            <w:r>
              <w:rPr>
                <w:rFonts w:ascii="Arial" w:cs="Arial" w:eastAsia="Arial" w:hAnsi="Arial"/>
                <w:b/>
                <w:bCs/>
                <w:color w:val="555555"/>
                <w:sz w:val="20"/>
                <w:szCs w:val="20"/>
              </w:rPr>
              <w:t xml:space="preserve">— Adam Hofmann</w:t>
            </w:r>
          </w:p>
          <w:p>
            <w:pPr>
              <w:spacing w:after="40" w:before="0"/>
            </w:pPr>
            <w:r>
              <w:rPr>
                <w:rFonts w:ascii="Arial" w:cs="Arial" w:eastAsia="Arial" w:hAnsi="Arial"/>
                <w:color w:val="777777"/>
                <w:sz w:val="18"/>
                <w:szCs w:val="18"/>
              </w:rPr>
              <w:t xml:space="preserve">AI Transformation Partner for CEOs and Executives</w:t>
            </w:r>
          </w:p>
        </w:tc>
      </w:tr>
    </w:tbl>
    <w:p>
      <w:pPr>
        <w:spacing w:after="120" w:before="120"/>
      </w:pPr>
      <w:r>
        <w:t xml:space="preserve"/>
      </w:r>
    </w:p>
    <w:p>
      <w:pPr>
        <w:spacing w:after="80" w:before="80"/>
      </w:pPr>
      <w:r>
        <w:rPr>
          <w:rFonts w:ascii="Arial" w:cs="Arial" w:eastAsia="Arial" w:hAnsi="Arial"/>
          <w:sz w:val="22"/>
          <w:szCs w:val="22"/>
        </w:rPr>
        <w:t xml:space="preserve">What this validates: An AI transformation partner working directly with CEOs confirmed that opportunity capture — not just threat response — depends on preparation architecture. Organizations that starve preparation cannot capture opportunities any faster than they can respond to threats.</w:t>
      </w:r>
    </w:p>
    <w:p>
      <w:pPr>
        <w:spacing w:after="120" w:before="120"/>
      </w:pPr>
      <w:r>
        <w:t xml:space="preserve"/>
      </w:r>
    </w:p>
    <w:p>
      <w:pPr>
        <w:spacing w:after="120" w:before="120"/>
      </w:pPr>
      <w: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0F2E" w:val="clear"/>
            <w:tcMar>
              <w:top w:type="dxa" w:w="120"/>
              <w:left w:type="dxa" w:w="240"/>
              <w:bottom w:type="dxa" w:w="120"/>
              <w:right w:type="dxa" w:w="240"/>
            </w:tcMar>
          </w:tcPr>
          <w:p>
            <w:pPr>
              <w:jc w:val="center"/>
            </w:pPr>
            <w:r>
              <w:rPr>
                <w:rFonts w:ascii="Arial" w:cs="Arial" w:eastAsia="Arial" w:hAnsi="Arial"/>
                <w:b/>
                <w:bCs/>
                <w:caps/>
                <w:color w:val="FFFFFF"/>
                <w:sz w:val="20"/>
                <w:szCs w:val="20"/>
              </w:rPr>
              <w:t xml:space="preserve">KEY PHRASES PRODUCED BY EXTERNAL VALIDATORS</w:t>
            </w:r>
          </w:p>
        </w:tc>
      </w:tr>
    </w:tbl>
    <w:p>
      <w:pPr>
        <w:spacing w:after="120" w:before="120"/>
      </w:pPr>
      <w:r>
        <w:t xml:space="preserve"/>
      </w:r>
    </w:p>
    <w:p>
      <w:pPr>
        <w:spacing w:after="80" w:before="80"/>
      </w:pPr>
      <w:r>
        <w:rPr>
          <w:rFonts w:ascii="Arial" w:cs="Arial" w:eastAsia="Arial" w:hAnsi="Arial"/>
          <w:i/>
          <w:iCs/>
          <w:color w:val="555555"/>
          <w:sz w:val="22"/>
          <w:szCs w:val="22"/>
        </w:rPr>
        <w:t xml:space="preserve">The following phrases were produced independently by external validators and have been adopted into the VaughnMartin intellectual framework. Each is attributed to the practitioner who coined it.</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160"/>
      </w:tblGrid>
      <w:tr>
        <w:tc>
          <w:tcPr>
            <w:tcW w:type="dxa" w:w="4200"/>
            <w:tcBorders>
              <w:top w:val="single" w:color="CCCCCC" w:sz="1"/>
              <w:left w:val="single" w:color="CCCCCC" w:sz="1"/>
              <w:bottom w:val="single" w:color="CCCCCC" w:sz="1"/>
              <w:right w:val="single" w:color="CCCCCC" w:sz="1"/>
            </w:tcBorders>
            <w:shd w:fill="0A0F2E" w:val="clear"/>
            <w:tcMar>
              <w:top w:type="dxa" w:w="100"/>
              <w:left w:type="dxa" w:w="160"/>
              <w:bottom w:type="dxa" w:w="100"/>
              <w:right w:type="dxa" w:w="160"/>
            </w:tcMar>
          </w:tcPr>
          <w:p>
            <w:r>
              <w:rPr>
                <w:rFonts w:ascii="Arial" w:cs="Arial" w:eastAsia="Arial" w:hAnsi="Arial"/>
                <w:b/>
                <w:bCs/>
                <w:color w:val="FFFFFF"/>
                <w:sz w:val="20"/>
                <w:szCs w:val="20"/>
              </w:rPr>
              <w:t xml:space="preserve">Phrase</w:t>
            </w:r>
          </w:p>
        </w:tc>
        <w:tc>
          <w:tcPr>
            <w:tcW w:type="dxa" w:w="3000"/>
            <w:tcBorders>
              <w:top w:val="single" w:color="CCCCCC" w:sz="1"/>
              <w:left w:val="single" w:color="CCCCCC" w:sz="1"/>
              <w:bottom w:val="single" w:color="CCCCCC" w:sz="1"/>
              <w:right w:val="single" w:color="CCCCCC" w:sz="1"/>
            </w:tcBorders>
            <w:shd w:fill="0A0F2E" w:val="clear"/>
            <w:tcMar>
              <w:top w:type="dxa" w:w="100"/>
              <w:left w:type="dxa" w:w="160"/>
              <w:bottom w:type="dxa" w:w="100"/>
              <w:right w:type="dxa" w:w="160"/>
            </w:tcMar>
          </w:tcPr>
          <w:p>
            <w:r>
              <w:rPr>
                <w:rFonts w:ascii="Arial" w:cs="Arial" w:eastAsia="Arial" w:hAnsi="Arial"/>
                <w:b/>
                <w:bCs/>
                <w:color w:val="FFFFFF"/>
                <w:sz w:val="20"/>
                <w:szCs w:val="20"/>
              </w:rPr>
              <w:t xml:space="preserve">Coined By</w:t>
            </w:r>
          </w:p>
        </w:tc>
        <w:tc>
          <w:tcPr>
            <w:tcW w:type="dxa" w:w="2160"/>
            <w:tcBorders>
              <w:top w:val="single" w:color="CCCCCC" w:sz="1"/>
              <w:left w:val="single" w:color="CCCCCC" w:sz="1"/>
              <w:bottom w:val="single" w:color="CCCCCC" w:sz="1"/>
              <w:right w:val="single" w:color="CCCCCC" w:sz="1"/>
            </w:tcBorders>
            <w:shd w:fill="0A0F2E" w:val="clear"/>
            <w:tcMar>
              <w:top w:type="dxa" w:w="100"/>
              <w:left w:type="dxa" w:w="160"/>
              <w:bottom w:type="dxa" w:w="100"/>
              <w:right w:type="dxa" w:w="160"/>
            </w:tcMar>
          </w:tcPr>
          <w:p>
            <w:r>
              <w:rPr>
                <w:rFonts w:ascii="Arial" w:cs="Arial" w:eastAsia="Arial" w:hAnsi="Arial"/>
                <w:b/>
                <w:bCs/>
                <w:color w:val="FFFFFF"/>
                <w:sz w:val="20"/>
                <w:szCs w:val="20"/>
              </w:rPr>
              <w:t xml:space="preserve">Context</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i/>
                <w:iCs/>
                <w:color w:val="222222"/>
                <w:sz w:val="20"/>
                <w:szCs w:val="20"/>
              </w:rPr>
              <w:t xml:space="preserve">Governance as pre-commitment, not governance as review</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0A0F2E"/>
                <w:sz w:val="20"/>
                <w:szCs w:val="20"/>
              </w:rPr>
              <w:t xml:space="preserve">Dr. Kerry Huang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777777"/>
                <w:sz w:val="18"/>
                <w:szCs w:val="18"/>
              </w:rPr>
              <w:t xml:space="preserve">DM exchange, April 2026</w:t>
            </w:r>
          </w:p>
        </w:tc>
      </w:tr>
      <w:tr>
        <w:tc>
          <w:tcPr>
            <w:tcW w:type="dxa" w:w="4200"/>
            <w:tcBorders>
              <w:top w:val="single" w:color="CCCCCC" w:sz="1"/>
              <w:left w:val="single" w:color="CCCCCC" w:sz="1"/>
              <w:bottom w:val="single" w:color="CCCCCC" w:sz="1"/>
              <w:right w:val="single" w:color="CCCCCC" w:sz="1"/>
            </w:tcBorders>
            <w:shd w:fill="F8F8F8" w:val="clear"/>
            <w:tcMar>
              <w:top w:type="dxa" w:w="80"/>
              <w:left w:type="dxa" w:w="160"/>
              <w:bottom w:type="dxa" w:w="80"/>
              <w:right w:type="dxa" w:w="160"/>
            </w:tcMar>
          </w:tcPr>
          <w:p>
            <w:r>
              <w:rPr>
                <w:rFonts w:ascii="Arial" w:cs="Arial" w:eastAsia="Arial" w:hAnsi="Arial"/>
                <w:i/>
                <w:iCs/>
                <w:color w:val="222222"/>
                <w:sz w:val="20"/>
                <w:szCs w:val="20"/>
              </w:rPr>
              <w:t xml:space="preserve">You cannot decide to build what you cannot yet see you are missing</w:t>
            </w:r>
          </w:p>
        </w:tc>
        <w:tc>
          <w:tcPr>
            <w:tcW w:type="dxa" w:w="3000"/>
            <w:tcBorders>
              <w:top w:val="single" w:color="CCCCCC" w:sz="1"/>
              <w:left w:val="single" w:color="CCCCCC" w:sz="1"/>
              <w:bottom w:val="single" w:color="CCCCCC" w:sz="1"/>
              <w:right w:val="single" w:color="CCCCCC" w:sz="1"/>
            </w:tcBorders>
            <w:shd w:fill="F8F8F8" w:val="clear"/>
            <w:tcMar>
              <w:top w:type="dxa" w:w="80"/>
              <w:left w:type="dxa" w:w="160"/>
              <w:bottom w:type="dxa" w:w="80"/>
              <w:right w:type="dxa" w:w="160"/>
            </w:tcMar>
          </w:tcPr>
          <w:p>
            <w:r>
              <w:rPr>
                <w:rFonts w:ascii="Arial" w:cs="Arial" w:eastAsia="Arial" w:hAnsi="Arial"/>
                <w:b/>
                <w:bCs/>
                <w:color w:val="0A0F2E"/>
                <w:sz w:val="20"/>
                <w:szCs w:val="20"/>
              </w:rPr>
              <w:t xml:space="preserve">Dr. Kerry Huang</w:t>
            </w:r>
          </w:p>
        </w:tc>
        <w:tc>
          <w:tcPr>
            <w:tcW w:type="dxa" w:w="2160"/>
            <w:tcBorders>
              <w:top w:val="single" w:color="CCCCCC" w:sz="1"/>
              <w:left w:val="single" w:color="CCCCCC" w:sz="1"/>
              <w:bottom w:val="single" w:color="CCCCCC" w:sz="1"/>
              <w:right w:val="single" w:color="CCCCCC" w:sz="1"/>
            </w:tcBorders>
            <w:shd w:fill="F8F8F8" w:val="clear"/>
            <w:tcMar>
              <w:top w:type="dxa" w:w="80"/>
              <w:left w:type="dxa" w:w="160"/>
              <w:bottom w:type="dxa" w:w="80"/>
              <w:right w:type="dxa" w:w="160"/>
            </w:tcMar>
          </w:tcPr>
          <w:p>
            <w:r>
              <w:rPr>
                <w:rFonts w:ascii="Arial" w:cs="Arial" w:eastAsia="Arial" w:hAnsi="Arial"/>
                <w:color w:val="777777"/>
                <w:sz w:val="18"/>
                <w:szCs w:val="18"/>
              </w:rPr>
              <w:t xml:space="preserve">DM exchange, April 2026</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i/>
                <w:iCs/>
                <w:color w:val="222222"/>
                <w:sz w:val="20"/>
                <w:szCs w:val="20"/>
              </w:rPr>
              <w:t xml:space="preserve">Assembled one under stress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0A0F2E"/>
                <w:sz w:val="20"/>
                <w:szCs w:val="20"/>
              </w:rPr>
              <w:t xml:space="preserve">Scott DeJarnette, PhD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777777"/>
                <w:sz w:val="18"/>
                <w:szCs w:val="18"/>
              </w:rPr>
              <w:t xml:space="preserve">LinkedIn comment, April 2026</w:t>
            </w:r>
          </w:p>
        </w:tc>
      </w:tr>
      <w:tr>
        <w:tc>
          <w:tcPr>
            <w:tcW w:type="dxa" w:w="4200"/>
            <w:tcBorders>
              <w:top w:val="single" w:color="CCCCCC" w:sz="1"/>
              <w:left w:val="single" w:color="CCCCCC" w:sz="1"/>
              <w:bottom w:val="single" w:color="CCCCCC" w:sz="1"/>
              <w:right w:val="single" w:color="CCCCCC" w:sz="1"/>
            </w:tcBorders>
            <w:shd w:fill="F8F8F8" w:val="clear"/>
            <w:tcMar>
              <w:top w:type="dxa" w:w="80"/>
              <w:left w:type="dxa" w:w="160"/>
              <w:bottom w:type="dxa" w:w="80"/>
              <w:right w:type="dxa" w:w="160"/>
            </w:tcMar>
          </w:tcPr>
          <w:p>
            <w:r>
              <w:rPr>
                <w:rFonts w:ascii="Arial" w:cs="Arial" w:eastAsia="Arial" w:hAnsi="Arial"/>
                <w:i/>
                <w:iCs/>
                <w:color w:val="222222"/>
                <w:sz w:val="20"/>
                <w:szCs w:val="20"/>
              </w:rPr>
              <w:t xml:space="preserve">A predecision problem</w:t>
            </w:r>
          </w:p>
        </w:tc>
        <w:tc>
          <w:tcPr>
            <w:tcW w:type="dxa" w:w="3000"/>
            <w:tcBorders>
              <w:top w:val="single" w:color="CCCCCC" w:sz="1"/>
              <w:left w:val="single" w:color="CCCCCC" w:sz="1"/>
              <w:bottom w:val="single" w:color="CCCCCC" w:sz="1"/>
              <w:right w:val="single" w:color="CCCCCC" w:sz="1"/>
            </w:tcBorders>
            <w:shd w:fill="F8F8F8" w:val="clear"/>
            <w:tcMar>
              <w:top w:type="dxa" w:w="80"/>
              <w:left w:type="dxa" w:w="160"/>
              <w:bottom w:type="dxa" w:w="80"/>
              <w:right w:type="dxa" w:w="160"/>
            </w:tcMar>
          </w:tcPr>
          <w:p>
            <w:r>
              <w:rPr>
                <w:rFonts w:ascii="Arial" w:cs="Arial" w:eastAsia="Arial" w:hAnsi="Arial"/>
                <w:b/>
                <w:bCs/>
                <w:color w:val="0A0F2E"/>
                <w:sz w:val="20"/>
                <w:szCs w:val="20"/>
              </w:rPr>
              <w:t xml:space="preserve">Scott DeJarnette, PhD</w:t>
            </w:r>
          </w:p>
        </w:tc>
        <w:tc>
          <w:tcPr>
            <w:tcW w:type="dxa" w:w="2160"/>
            <w:tcBorders>
              <w:top w:val="single" w:color="CCCCCC" w:sz="1"/>
              <w:left w:val="single" w:color="CCCCCC" w:sz="1"/>
              <w:bottom w:val="single" w:color="CCCCCC" w:sz="1"/>
              <w:right w:val="single" w:color="CCCCCC" w:sz="1"/>
            </w:tcBorders>
            <w:shd w:fill="F8F8F8" w:val="clear"/>
            <w:tcMar>
              <w:top w:type="dxa" w:w="80"/>
              <w:left w:type="dxa" w:w="160"/>
              <w:bottom w:type="dxa" w:w="80"/>
              <w:right w:type="dxa" w:w="160"/>
            </w:tcMar>
          </w:tcPr>
          <w:p>
            <w:r>
              <w:rPr>
                <w:rFonts w:ascii="Arial" w:cs="Arial" w:eastAsia="Arial" w:hAnsi="Arial"/>
                <w:color w:val="777777"/>
                <w:sz w:val="18"/>
                <w:szCs w:val="18"/>
              </w:rPr>
              <w:t xml:space="preserve">LinkedIn comment, April 2026</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i/>
                <w:iCs/>
                <w:color w:val="222222"/>
                <w:sz w:val="20"/>
                <w:szCs w:val="20"/>
              </w:rPr>
              <w:t xml:space="preserve">Not just shared understanding, but shared readiness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0A0F2E"/>
                <w:sz w:val="20"/>
                <w:szCs w:val="20"/>
              </w:rPr>
              <w:t xml:space="preserve">Elizabeth Jeanes, MBA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777777"/>
                <w:sz w:val="18"/>
                <w:szCs w:val="18"/>
              </w:rPr>
              <w:t xml:space="preserve">LinkedIn exchange, April 2026</w:t>
            </w:r>
          </w:p>
        </w:tc>
      </w:tr>
      <w:tr>
        <w:tc>
          <w:tcPr>
            <w:tcW w:type="dxa" w:w="4200"/>
            <w:tcBorders>
              <w:top w:val="single" w:color="CCCCCC" w:sz="1"/>
              <w:left w:val="single" w:color="CCCCCC" w:sz="1"/>
              <w:bottom w:val="single" w:color="CCCCCC" w:sz="1"/>
              <w:right w:val="single" w:color="CCCCCC" w:sz="1"/>
            </w:tcBorders>
            <w:shd w:fill="F8F8F8" w:val="clear"/>
            <w:tcMar>
              <w:top w:type="dxa" w:w="80"/>
              <w:left w:type="dxa" w:w="160"/>
              <w:bottom w:type="dxa" w:w="80"/>
              <w:right w:type="dxa" w:w="160"/>
            </w:tcMar>
          </w:tcPr>
          <w:p>
            <w:r>
              <w:rPr>
                <w:rFonts w:ascii="Arial" w:cs="Arial" w:eastAsia="Arial" w:hAnsi="Arial"/>
                <w:i/>
                <w:iCs/>
                <w:color w:val="222222"/>
                <w:sz w:val="20"/>
                <w:szCs w:val="20"/>
              </w:rPr>
              <w:t xml:space="preserve">Post-close velocity issues are symptoms of decisions never staged in diligence</w:t>
            </w:r>
          </w:p>
        </w:tc>
        <w:tc>
          <w:tcPr>
            <w:tcW w:type="dxa" w:w="3000"/>
            <w:tcBorders>
              <w:top w:val="single" w:color="CCCCCC" w:sz="1"/>
              <w:left w:val="single" w:color="CCCCCC" w:sz="1"/>
              <w:bottom w:val="single" w:color="CCCCCC" w:sz="1"/>
              <w:right w:val="single" w:color="CCCCCC" w:sz="1"/>
            </w:tcBorders>
            <w:shd w:fill="F8F8F8" w:val="clear"/>
            <w:tcMar>
              <w:top w:type="dxa" w:w="80"/>
              <w:left w:type="dxa" w:w="160"/>
              <w:bottom w:type="dxa" w:w="80"/>
              <w:right w:type="dxa" w:w="160"/>
            </w:tcMar>
          </w:tcPr>
          <w:p>
            <w:r>
              <w:rPr>
                <w:rFonts w:ascii="Arial" w:cs="Arial" w:eastAsia="Arial" w:hAnsi="Arial"/>
                <w:b/>
                <w:bCs/>
                <w:color w:val="0A0F2E"/>
                <w:sz w:val="20"/>
                <w:szCs w:val="20"/>
              </w:rPr>
              <w:t xml:space="preserve">John Trchala</w:t>
            </w:r>
          </w:p>
        </w:tc>
        <w:tc>
          <w:tcPr>
            <w:tcW w:type="dxa" w:w="2160"/>
            <w:tcBorders>
              <w:top w:val="single" w:color="CCCCCC" w:sz="1"/>
              <w:left w:val="single" w:color="CCCCCC" w:sz="1"/>
              <w:bottom w:val="single" w:color="CCCCCC" w:sz="1"/>
              <w:right w:val="single" w:color="CCCCCC" w:sz="1"/>
            </w:tcBorders>
            <w:shd w:fill="F8F8F8" w:val="clear"/>
            <w:tcMar>
              <w:top w:type="dxa" w:w="80"/>
              <w:left w:type="dxa" w:w="160"/>
              <w:bottom w:type="dxa" w:w="80"/>
              <w:right w:type="dxa" w:w="160"/>
            </w:tcMar>
          </w:tcPr>
          <w:p>
            <w:r>
              <w:rPr>
                <w:rFonts w:ascii="Arial" w:cs="Arial" w:eastAsia="Arial" w:hAnsi="Arial"/>
                <w:color w:val="777777"/>
                <w:sz w:val="18"/>
                <w:szCs w:val="18"/>
              </w:rPr>
              <w:t xml:space="preserve">LinkedIn comment, April 2026</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i/>
                <w:iCs/>
                <w:color w:val="222222"/>
                <w:sz w:val="20"/>
                <w:szCs w:val="20"/>
              </w:rPr>
              <w:t xml:space="preserve">Performative governance is more dangerous than no governance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0A0F2E"/>
                <w:sz w:val="20"/>
                <w:szCs w:val="20"/>
              </w:rPr>
              <w:t xml:space="preserve">Dr. Kulneet Suri</w:t>
            </w:r>
          </w:p>
        </w:tc>
        <w:tc>
          <w:tcPr>
            <w:tcW w:type="dxa" w:w="2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777777"/>
                <w:sz w:val="18"/>
                <w:szCs w:val="18"/>
              </w:rPr>
              <w:t xml:space="preserve">LinkedIn exchange, April 2026</w:t>
            </w:r>
          </w:p>
        </w:tc>
      </w:tr>
      <w:tr>
        <w:tc>
          <w:tcPr>
            <w:tcW w:type="dxa" w:w="4200"/>
            <w:tcBorders>
              <w:top w:val="single" w:color="CCCCCC" w:sz="1"/>
              <w:left w:val="single" w:color="CCCCCC" w:sz="1"/>
              <w:bottom w:val="single" w:color="CCCCCC" w:sz="1"/>
              <w:right w:val="single" w:color="CCCCCC" w:sz="1"/>
            </w:tcBorders>
            <w:shd w:fill="F8F8F8" w:val="clear"/>
            <w:tcMar>
              <w:top w:type="dxa" w:w="80"/>
              <w:left w:type="dxa" w:w="160"/>
              <w:bottom w:type="dxa" w:w="80"/>
              <w:right w:type="dxa" w:w="160"/>
            </w:tcMar>
          </w:tcPr>
          <w:p>
            <w:r>
              <w:rPr>
                <w:rFonts w:ascii="Arial" w:cs="Arial" w:eastAsia="Arial" w:hAnsi="Arial"/>
                <w:i/>
                <w:iCs/>
                <w:color w:val="222222"/>
                <w:sz w:val="20"/>
                <w:szCs w:val="20"/>
              </w:rPr>
              <w:t xml:space="preserve">Trust is load-bearing infrastructure</w:t>
            </w:r>
          </w:p>
        </w:tc>
        <w:tc>
          <w:tcPr>
            <w:tcW w:type="dxa" w:w="3000"/>
            <w:tcBorders>
              <w:top w:val="single" w:color="CCCCCC" w:sz="1"/>
              <w:left w:val="single" w:color="CCCCCC" w:sz="1"/>
              <w:bottom w:val="single" w:color="CCCCCC" w:sz="1"/>
              <w:right w:val="single" w:color="CCCCCC" w:sz="1"/>
            </w:tcBorders>
            <w:shd w:fill="F8F8F8" w:val="clear"/>
            <w:tcMar>
              <w:top w:type="dxa" w:w="80"/>
              <w:left w:type="dxa" w:w="160"/>
              <w:bottom w:type="dxa" w:w="80"/>
              <w:right w:type="dxa" w:w="160"/>
            </w:tcMar>
          </w:tcPr>
          <w:p>
            <w:r>
              <w:rPr>
                <w:rFonts w:ascii="Arial" w:cs="Arial" w:eastAsia="Arial" w:hAnsi="Arial"/>
                <w:b/>
                <w:bCs/>
                <w:color w:val="0A0F2E"/>
                <w:sz w:val="20"/>
                <w:szCs w:val="20"/>
              </w:rPr>
              <w:t xml:space="preserve">Ludmila Pirogova</w:t>
            </w:r>
          </w:p>
        </w:tc>
        <w:tc>
          <w:tcPr>
            <w:tcW w:type="dxa" w:w="2160"/>
            <w:tcBorders>
              <w:top w:val="single" w:color="CCCCCC" w:sz="1"/>
              <w:left w:val="single" w:color="CCCCCC" w:sz="1"/>
              <w:bottom w:val="single" w:color="CCCCCC" w:sz="1"/>
              <w:right w:val="single" w:color="CCCCCC" w:sz="1"/>
            </w:tcBorders>
            <w:shd w:fill="F8F8F8" w:val="clear"/>
            <w:tcMar>
              <w:top w:type="dxa" w:w="80"/>
              <w:left w:type="dxa" w:w="160"/>
              <w:bottom w:type="dxa" w:w="80"/>
              <w:right w:type="dxa" w:w="160"/>
            </w:tcMar>
          </w:tcPr>
          <w:p>
            <w:r>
              <w:rPr>
                <w:rFonts w:ascii="Arial" w:cs="Arial" w:eastAsia="Arial" w:hAnsi="Arial"/>
                <w:color w:val="777777"/>
                <w:sz w:val="18"/>
                <w:szCs w:val="18"/>
              </w:rPr>
              <w:t xml:space="preserve">LinkedIn post, April 2026</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i/>
                <w:iCs/>
                <w:color w:val="222222"/>
                <w:sz w:val="20"/>
                <w:szCs w:val="20"/>
              </w:rPr>
              <w:t xml:space="preserve">Speed is structural not technological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0A0F2E"/>
                <w:sz w:val="20"/>
                <w:szCs w:val="20"/>
              </w:rPr>
              <w:t xml:space="preserve">Raj Polanki</w:t>
            </w:r>
          </w:p>
        </w:tc>
        <w:tc>
          <w:tcPr>
            <w:tcW w:type="dxa" w:w="2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777777"/>
                <w:sz w:val="18"/>
                <w:szCs w:val="18"/>
              </w:rPr>
              <w:t xml:space="preserve">LinkedIn comment, April 2026</w:t>
            </w:r>
          </w:p>
        </w:tc>
      </w:tr>
      <w:tr>
        <w:tc>
          <w:tcPr>
            <w:tcW w:type="dxa" w:w="4200"/>
            <w:tcBorders>
              <w:top w:val="single" w:color="CCCCCC" w:sz="1"/>
              <w:left w:val="single" w:color="CCCCCC" w:sz="1"/>
              <w:bottom w:val="single" w:color="CCCCCC" w:sz="1"/>
              <w:right w:val="single" w:color="CCCCCC" w:sz="1"/>
            </w:tcBorders>
            <w:shd w:fill="F8F8F8" w:val="clear"/>
            <w:tcMar>
              <w:top w:type="dxa" w:w="80"/>
              <w:left w:type="dxa" w:w="160"/>
              <w:bottom w:type="dxa" w:w="80"/>
              <w:right w:type="dxa" w:w="160"/>
            </w:tcMar>
          </w:tcPr>
          <w:p>
            <w:r>
              <w:rPr>
                <w:rFonts w:ascii="Arial" w:cs="Arial" w:eastAsia="Arial" w:hAnsi="Arial"/>
                <w:i/>
                <w:iCs/>
                <w:color w:val="222222"/>
                <w:sz w:val="20"/>
                <w:szCs w:val="20"/>
              </w:rPr>
              <w:t xml:space="preserve">The capability compounds, the moat deepens</w:t>
            </w:r>
          </w:p>
        </w:tc>
        <w:tc>
          <w:tcPr>
            <w:tcW w:type="dxa" w:w="3000"/>
            <w:tcBorders>
              <w:top w:val="single" w:color="CCCCCC" w:sz="1"/>
              <w:left w:val="single" w:color="CCCCCC" w:sz="1"/>
              <w:bottom w:val="single" w:color="CCCCCC" w:sz="1"/>
              <w:right w:val="single" w:color="CCCCCC" w:sz="1"/>
            </w:tcBorders>
            <w:shd w:fill="F8F8F8" w:val="clear"/>
            <w:tcMar>
              <w:top w:type="dxa" w:w="80"/>
              <w:left w:type="dxa" w:w="160"/>
              <w:bottom w:type="dxa" w:w="80"/>
              <w:right w:type="dxa" w:w="160"/>
            </w:tcMar>
          </w:tcPr>
          <w:p>
            <w:r>
              <w:rPr>
                <w:rFonts w:ascii="Arial" w:cs="Arial" w:eastAsia="Arial" w:hAnsi="Arial"/>
                <w:b/>
                <w:bCs/>
                <w:color w:val="0A0F2E"/>
                <w:sz w:val="20"/>
                <w:szCs w:val="20"/>
              </w:rPr>
              <w:t xml:space="preserve">Dr. Kerry Huang</w:t>
            </w:r>
          </w:p>
        </w:tc>
        <w:tc>
          <w:tcPr>
            <w:tcW w:type="dxa" w:w="2160"/>
            <w:tcBorders>
              <w:top w:val="single" w:color="CCCCCC" w:sz="1"/>
              <w:left w:val="single" w:color="CCCCCC" w:sz="1"/>
              <w:bottom w:val="single" w:color="CCCCCC" w:sz="1"/>
              <w:right w:val="single" w:color="CCCCCC" w:sz="1"/>
            </w:tcBorders>
            <w:shd w:fill="F8F8F8" w:val="clear"/>
            <w:tcMar>
              <w:top w:type="dxa" w:w="80"/>
              <w:left w:type="dxa" w:w="160"/>
              <w:bottom w:type="dxa" w:w="80"/>
              <w:right w:type="dxa" w:w="160"/>
            </w:tcMar>
          </w:tcPr>
          <w:p>
            <w:r>
              <w:rPr>
                <w:rFonts w:ascii="Arial" w:cs="Arial" w:eastAsia="Arial" w:hAnsi="Arial"/>
                <w:color w:val="777777"/>
                <w:sz w:val="18"/>
                <w:szCs w:val="18"/>
              </w:rPr>
              <w:t xml:space="preserve">DM exchange, April 2026</w:t>
            </w:r>
          </w:p>
        </w:tc>
      </w:tr>
    </w:tbl>
    <w:p>
      <w:pPr>
        <w:spacing w:after="120" w:before="120"/>
      </w:pPr>
      <w:r>
        <w:t xml:space="preserve"/>
      </w:r>
    </w:p>
    <w:p>
      <w:pPr>
        <w:spacing w:after="120" w:before="120"/>
      </w:pPr>
      <w: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0F2E" w:val="clear"/>
            <w:tcMar>
              <w:top w:type="dxa" w:w="120"/>
              <w:left w:type="dxa" w:w="240"/>
              <w:bottom w:type="dxa" w:w="120"/>
              <w:right w:type="dxa" w:w="240"/>
            </w:tcMar>
          </w:tcPr>
          <w:p>
            <w:pPr>
              <w:jc w:val="center"/>
            </w:pPr>
            <w:r>
              <w:rPr>
                <w:rFonts w:ascii="Arial" w:cs="Arial" w:eastAsia="Arial" w:hAnsi="Arial"/>
                <w:b/>
                <w:bCs/>
                <w:caps/>
                <w:color w:val="FFFFFF"/>
                <w:sz w:val="20"/>
                <w:szCs w:val="20"/>
              </w:rPr>
              <w:t xml:space="preserve">VALIDATOR PROFILES</w:t>
            </w:r>
          </w:p>
        </w:tc>
      </w:tr>
    </w:tbl>
    <w:p>
      <w:pPr>
        <w:spacing w:after="120" w:before="120"/>
      </w:pPr>
      <w:r>
        <w:t xml:space="preserve"/>
      </w:r>
    </w:p>
    <w:p>
      <w:pPr>
        <w:spacing w:after="80" w:before="80"/>
      </w:pPr>
      <w:r>
        <w:rPr>
          <w:rFonts w:ascii="Arial" w:cs="Arial" w:eastAsia="Arial" w:hAnsi="Arial"/>
          <w:i/>
          <w:iCs/>
          <w:color w:val="555555"/>
          <w:sz w:val="22"/>
          <w:szCs w:val="22"/>
        </w:rPr>
        <w:t xml:space="preserve">Brief profiles of the independent validators whose comments are documented in this archive.</w:t>
      </w:r>
    </w:p>
    <w:p>
      <w:pPr>
        <w:spacing w:after="120" w:before="120"/>
      </w:pPr>
      <w:r>
        <w:t xml:space="preserve"/>
      </w:r>
    </w:p>
    <w:p>
      <w:pPr>
        <w:spacing w:after="40" w:before="160"/>
      </w:pPr>
      <w:r>
        <w:rPr>
          <w:rFonts w:ascii="Arial" w:cs="Arial" w:eastAsia="Arial" w:hAnsi="Arial"/>
          <w:b/>
          <w:bCs/>
          <w:color w:val="0A0F2E"/>
          <w:sz w:val="22"/>
          <w:szCs w:val="22"/>
        </w:rPr>
        <w:t xml:space="preserve">Dr. Kerry Huang</w:t>
      </w:r>
    </w:p>
    <w:p>
      <w:pPr>
        <w:spacing w:after="120" w:before="0"/>
      </w:pPr>
      <w:r>
        <w:rPr>
          <w:rFonts w:ascii="Arial" w:cs="Arial" w:eastAsia="Arial" w:hAnsi="Arial"/>
          <w:color w:val="444444"/>
          <w:sz w:val="20"/>
          <w:szCs w:val="20"/>
        </w:rPr>
        <w:t xml:space="preserve">Fortune 50 AVP at the world's largest electronics manufacturer. ESI Top 1% Researcher. Forbes Council member. Author of peer-reviewed 408-firm governance study published in the International Journal of Production Economics. Creator of the 6-ER Framework and AwaCourage governance concept. Reached out to Martin Brunke first. Three-week ongoing DM exchange.</w:t>
      </w:r>
    </w:p>
    <w:p>
      <w:pPr>
        <w:spacing w:after="40" w:before="160"/>
      </w:pPr>
      <w:r>
        <w:rPr>
          <w:rFonts w:ascii="Arial" w:cs="Arial" w:eastAsia="Arial" w:hAnsi="Arial"/>
          <w:b/>
          <w:bCs/>
          <w:color w:val="0A0F2E"/>
          <w:sz w:val="22"/>
          <w:szCs w:val="22"/>
        </w:rPr>
        <w:t xml:space="preserve">Scott DeJarnette, PhD</w:t>
      </w:r>
    </w:p>
    <w:p>
      <w:pPr>
        <w:spacing w:after="120" w:before="0"/>
      </w:pPr>
      <w:r>
        <w:rPr>
          <w:rFonts w:ascii="Arial" w:cs="Arial" w:eastAsia="Arial" w:hAnsi="Arial"/>
          <w:color w:val="444444"/>
          <w:sz w:val="20"/>
          <w:szCs w:val="20"/>
        </w:rPr>
        <w:t xml:space="preserve">Cybersecurity strategist and CIO advisor with triple CCIE credentials. PhD. Incident response practitioner and M&amp;A integration specialist. Cloud and infrastructure architect. Engaged substantively in two separate comment exchanges on the same post within a single day. Connected on LinkedIn.</w:t>
      </w:r>
    </w:p>
    <w:p>
      <w:pPr>
        <w:spacing w:after="40" w:before="160"/>
      </w:pPr>
      <w:r>
        <w:rPr>
          <w:rFonts w:ascii="Arial" w:cs="Arial" w:eastAsia="Arial" w:hAnsi="Arial"/>
          <w:b/>
          <w:bCs/>
          <w:color w:val="0A0F2E"/>
          <w:sz w:val="22"/>
          <w:szCs w:val="22"/>
        </w:rPr>
        <w:t xml:space="preserve">Elizabeth Jeanes, MBA-HM, BSN, RN, NPD-BC, EBP-C, LSSBB</w:t>
      </w:r>
    </w:p>
    <w:p>
      <w:pPr>
        <w:spacing w:after="120" w:before="0"/>
      </w:pPr>
      <w:r>
        <w:rPr>
          <w:rFonts w:ascii="Arial" w:cs="Arial" w:eastAsia="Arial" w:hAnsi="Arial"/>
          <w:color w:val="444444"/>
          <w:sz w:val="20"/>
          <w:szCs w:val="20"/>
        </w:rPr>
        <w:t xml:space="preserve">Enterprise healthcare transformation leader. Lean Six Sigma Black Belt. National speaker. Healthcare leadership innovation. Three-round comment exchange across two separate posts. Coined the phrase shared readiness versus shared understanding.</w:t>
      </w:r>
    </w:p>
    <w:p>
      <w:pPr>
        <w:spacing w:after="40" w:before="160"/>
      </w:pPr>
      <w:r>
        <w:rPr>
          <w:rFonts w:ascii="Arial" w:cs="Arial" w:eastAsia="Arial" w:hAnsi="Arial"/>
          <w:b/>
          <w:bCs/>
          <w:color w:val="0A0F2E"/>
          <w:sz w:val="22"/>
          <w:szCs w:val="22"/>
        </w:rPr>
        <w:t xml:space="preserve">Dr. Kulneet Suri</w:t>
      </w:r>
    </w:p>
    <w:p>
      <w:pPr>
        <w:spacing w:after="120" w:before="0"/>
      </w:pPr>
      <w:r>
        <w:rPr>
          <w:rFonts w:ascii="Arial" w:cs="Arial" w:eastAsia="Arial" w:hAnsi="Arial"/>
          <w:color w:val="444444"/>
          <w:sz w:val="20"/>
          <w:szCs w:val="20"/>
        </w:rPr>
        <w:t xml:space="preserve">Harvard alumna. Oxford research reviewer. Applied behavioral scientist. Engaged substantively across two separate posts in one day. Extended the governance framework with the embodied versus performative governance distinction.</w:t>
      </w:r>
    </w:p>
    <w:p>
      <w:pPr>
        <w:spacing w:after="40" w:before="160"/>
      </w:pPr>
      <w:r>
        <w:rPr>
          <w:rFonts w:ascii="Arial" w:cs="Arial" w:eastAsia="Arial" w:hAnsi="Arial"/>
          <w:b/>
          <w:bCs/>
          <w:color w:val="0A0F2E"/>
          <w:sz w:val="22"/>
          <w:szCs w:val="22"/>
        </w:rPr>
        <w:t xml:space="preserve">John Trchala</w:t>
      </w:r>
    </w:p>
    <w:p>
      <w:pPr>
        <w:spacing w:after="120" w:before="0"/>
      </w:pPr>
      <w:r>
        <w:rPr>
          <w:rFonts w:ascii="Arial" w:cs="Arial" w:eastAsia="Arial" w:hAnsi="Arial"/>
          <w:color w:val="444444"/>
          <w:sz w:val="20"/>
          <w:szCs w:val="20"/>
        </w:rPr>
        <w:t xml:space="preserve">PE-backed CIO and CTO specializing in M&amp;A integration, modernization, and AI enablement. Focuses on EBITDA through operational leverage. Engaged across two separate posts in one week. Connected on LinkedIn. Independently validated the staged-in-diligence preparation architecture.</w:t>
      </w:r>
    </w:p>
    <w:p>
      <w:pPr>
        <w:spacing w:after="40" w:before="160"/>
      </w:pPr>
      <w:r>
        <w:rPr>
          <w:rFonts w:ascii="Arial" w:cs="Arial" w:eastAsia="Arial" w:hAnsi="Arial"/>
          <w:b/>
          <w:bCs/>
          <w:color w:val="0A0F2E"/>
          <w:sz w:val="22"/>
          <w:szCs w:val="22"/>
        </w:rPr>
        <w:t xml:space="preserve">Adam Hofmann</w:t>
      </w:r>
    </w:p>
    <w:p>
      <w:pPr>
        <w:spacing w:after="120" w:before="0"/>
      </w:pPr>
      <w:r>
        <w:rPr>
          <w:rFonts w:ascii="Arial" w:cs="Arial" w:eastAsia="Arial" w:hAnsi="Arial"/>
          <w:color w:val="444444"/>
          <w:sz w:val="20"/>
          <w:szCs w:val="20"/>
        </w:rPr>
        <w:t xml:space="preserve">AI transformation partner for CEOs and executives. Engaged in comment and reply exchange validating the preparation architecture argument.</w:t>
      </w:r>
    </w:p>
    <w:p>
      <w:pPr>
        <w:spacing w:after="40" w:before="160"/>
      </w:pPr>
      <w:r>
        <w:rPr>
          <w:rFonts w:ascii="Arial" w:cs="Arial" w:eastAsia="Arial" w:hAnsi="Arial"/>
          <w:b/>
          <w:bCs/>
          <w:color w:val="0A0F2E"/>
          <w:sz w:val="22"/>
          <w:szCs w:val="22"/>
        </w:rPr>
        <w:t xml:space="preserve">Raj Polanki</w:t>
      </w:r>
    </w:p>
    <w:p>
      <w:pPr>
        <w:spacing w:after="120" w:before="0"/>
      </w:pPr>
      <w:r>
        <w:rPr>
          <w:rFonts w:ascii="Arial" w:cs="Arial" w:eastAsia="Arial" w:hAnsi="Arial"/>
          <w:color w:val="444444"/>
          <w:sz w:val="20"/>
          <w:szCs w:val="20"/>
        </w:rPr>
        <w:t xml:space="preserve">CIO. Board member. AI leadership coach. NACD director. Engaged on the structural speed argument.</w:t>
      </w:r>
    </w:p>
    <w:p>
      <w:pPr>
        <w:spacing w:after="40" w:before="160"/>
      </w:pPr>
      <w:r>
        <w:rPr>
          <w:rFonts w:ascii="Arial" w:cs="Arial" w:eastAsia="Arial" w:hAnsi="Arial"/>
          <w:b/>
          <w:bCs/>
          <w:color w:val="0A0F2E"/>
          <w:sz w:val="22"/>
          <w:szCs w:val="22"/>
        </w:rPr>
        <w:t xml:space="preserve">Zhaohui Feng</w:t>
      </w:r>
    </w:p>
    <w:p>
      <w:pPr>
        <w:spacing w:after="120" w:before="0"/>
      </w:pPr>
      <w:r>
        <w:rPr>
          <w:rFonts w:ascii="Arial" w:cs="Arial" w:eastAsia="Arial" w:hAnsi="Arial"/>
          <w:color w:val="444444"/>
          <w:sz w:val="20"/>
          <w:szCs w:val="20"/>
        </w:rPr>
        <w:t xml:space="preserve">Former CIO with 25 years in enterprise IT. Specializes in translating AI and deep tech into practical strategy for executives. Engaged on the operating model gap between AI strategy and execution.</w:t>
      </w:r>
    </w:p>
    <w:p>
      <w:pPr>
        <w:spacing w:after="40" w:before="160"/>
      </w:pPr>
      <w:r>
        <w:rPr>
          <w:rFonts w:ascii="Arial" w:cs="Arial" w:eastAsia="Arial" w:hAnsi="Arial"/>
          <w:b/>
          <w:bCs/>
          <w:color w:val="0A0F2E"/>
          <w:sz w:val="22"/>
          <w:szCs w:val="22"/>
        </w:rPr>
        <w:t xml:space="preserve">Ludmila Pirogova</w:t>
      </w:r>
    </w:p>
    <w:p>
      <w:pPr>
        <w:spacing w:after="120" w:before="0"/>
      </w:pPr>
      <w:r>
        <w:rPr>
          <w:rFonts w:ascii="Arial" w:cs="Arial" w:eastAsia="Arial" w:hAnsi="Arial"/>
          <w:color w:val="444444"/>
          <w:sz w:val="20"/>
          <w:szCs w:val="20"/>
        </w:rPr>
        <w:t xml:space="preserve">Board advisor. P3 Governance and Infrastructure Decision Architecture. ISO 55000 and ISO 42001 Lead Auditor. AI, capital, and asset oversight. Executive decision architecture. Speaker. Engaged on the trust as infrastructure argument.</w:t>
      </w:r>
    </w:p>
    <w:p>
      <w:pPr>
        <w:spacing w:after="120" w:before="120"/>
      </w:pPr>
      <w:r>
        <w:t xml:space="preserve"/>
      </w:r>
    </w:p>
    <w:p>
      <w:pPr>
        <w:spacing w:after="120" w:before="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0F2E" w:val="clear"/>
            <w:tcMar>
              <w:top w:type="dxa" w:w="280"/>
              <w:left w:type="dxa" w:w="360"/>
              <w:bottom w:type="dxa" w:w="280"/>
              <w:right w:type="dxa" w:w="360"/>
            </w:tcMar>
          </w:tcPr>
          <w:p>
            <w:pPr>
              <w:spacing w:after="120" w:before="40"/>
              <w:jc w:val="center"/>
            </w:pPr>
            <w:r>
              <w:rPr>
                <w:rFonts w:ascii="Arial" w:cs="Arial" w:eastAsia="Arial" w:hAnsi="Arial"/>
                <w:b/>
                <w:bCs/>
                <w:i/>
                <w:iCs/>
                <w:color w:val="C9A84C"/>
                <w:sz w:val="28"/>
                <w:szCs w:val="28"/>
              </w:rPr>
              <w:t xml:space="preserve">The Response Is Ready Before The Trigger Fires.</w:t>
            </w:r>
          </w:p>
          <w:p>
            <w:pPr>
              <w:spacing w:after="40" w:before="40"/>
              <w:jc w:val="center"/>
            </w:pPr>
            <w:r>
              <w:rPr>
                <w:rFonts w:ascii="Arial" w:cs="Arial" w:eastAsia="Arial" w:hAnsi="Arial"/>
                <w:color w:val="AAAAAA"/>
                <w:sz w:val="20"/>
                <w:szCs w:val="20"/>
              </w:rPr>
              <w:t xml:space="preserve">VaughnMartin  |  Readiness OS  |  vaughnmartin.com</w:t>
            </w:r>
          </w:p>
          <w:p>
            <w:pPr>
              <w:spacing w:after="40" w:before="20"/>
              <w:jc w:val="center"/>
            </w:pPr>
            <w:r>
              <w:rPr>
                <w:rFonts w:ascii="Arial" w:cs="Arial" w:eastAsia="Arial" w:hAnsi="Arial"/>
                <w:color w:val="777777"/>
                <w:sz w:val="18"/>
                <w:szCs w:val="18"/>
              </w:rPr>
              <w:t xml:space="preserve">Compiled April 2026  |  Confidential — For Advisor, Investor &amp; Commercial Use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2026-04-16T02:44:02.501Z</dcterms:created>
  <dcterms:modified xsi:type="dcterms:W3CDTF">2026-04-16T02:44:02.502Z</dcterms:modified>
</cp:coreProperties>
</file>

<file path=docProps/custom.xml><?xml version="1.0" encoding="utf-8"?>
<Properties xmlns="http://schemas.openxmlformats.org/officeDocument/2006/custom-properties" xmlns:vt="http://schemas.openxmlformats.org/officeDocument/2006/docPropsVTypes"/>
</file>