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A2C" w:rsidRDefault="00511A2C">
      <w:pPr>
        <w:rPr>
          <w:rFonts w:ascii="Times New Roman" w:hAnsi="Times New Roman" w:cs="Times New Roman"/>
          <w:b/>
          <w:sz w:val="24"/>
          <w:szCs w:val="24"/>
        </w:rPr>
      </w:pPr>
      <w:r w:rsidRPr="00511A2C">
        <w:rPr>
          <w:rFonts w:ascii="Times New Roman" w:hAnsi="Times New Roman" w:cs="Times New Roman"/>
          <w:b/>
          <w:sz w:val="24"/>
          <w:szCs w:val="24"/>
        </w:rPr>
        <w:t>Appendix B</w:t>
      </w:r>
      <w:r>
        <w:rPr>
          <w:rFonts w:ascii="Times New Roman" w:hAnsi="Times New Roman" w:cs="Times New Roman"/>
          <w:b/>
          <w:sz w:val="24"/>
          <w:szCs w:val="24"/>
        </w:rPr>
        <w:t xml:space="preserve">. Alaska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gross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cubic-foot volume equation forms</w:t>
      </w:r>
    </w:p>
    <w:tbl>
      <w:tblPr>
        <w:tblpPr w:leftFromText="187" w:rightFromText="187" w:vertAnchor="text" w:horzAnchor="margin" w:tblpY="1057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09"/>
        <w:gridCol w:w="5400"/>
        <w:gridCol w:w="990"/>
        <w:gridCol w:w="1177"/>
      </w:tblGrid>
      <w:tr w:rsidR="00511A2C" w:rsidRPr="00511A2C" w:rsidTr="00C97132">
        <w:tc>
          <w:tcPr>
            <w:tcW w:w="9576" w:type="dxa"/>
            <w:gridSpan w:val="4"/>
            <w:tcMar>
              <w:left w:w="29" w:type="dxa"/>
              <w:right w:w="29" w:type="dxa"/>
            </w:tcMar>
          </w:tcPr>
          <w:p w:rsidR="00511A2C" w:rsidRPr="00511A2C" w:rsidRDefault="00511A2C" w:rsidP="00657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Gross cubic-foot volume equation forms for southeast (SE)</w:t>
            </w:r>
            <w:r w:rsidR="006570F1">
              <w:rPr>
                <w:rFonts w:ascii="Times New Roman" w:hAnsi="Times New Roman" w:cs="Times New Roman"/>
                <w:sz w:val="24"/>
                <w:szCs w:val="24"/>
              </w:rPr>
              <w:t xml:space="preserve">, south central (CN), and Kodiak and Afognak Islands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(KA), Alaska</w:t>
            </w:r>
          </w:p>
        </w:tc>
      </w:tr>
      <w:tr w:rsidR="00511A2C" w:rsidRPr="00511A2C" w:rsidTr="00C97132">
        <w:tc>
          <w:tcPr>
            <w:tcW w:w="2009" w:type="dxa"/>
            <w:tcMar>
              <w:left w:w="29" w:type="dxa"/>
              <w:right w:w="29" w:type="dxa"/>
            </w:tcMar>
          </w:tcPr>
          <w:p w:rsidR="00511A2C" w:rsidRPr="00511A2C" w:rsidRDefault="00C97132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Region/States (s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pecies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C971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Form of the model:</w:t>
            </w:r>
          </w:p>
          <w:p w:rsidR="00511A2C" w:rsidRPr="00511A2C" w:rsidRDefault="0055130E" w:rsidP="00C97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VOLCFGRS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f(x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,x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,….,</w:t>
            </w:r>
            <w:proofErr w:type="spellStart"/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Observed items: 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,….,</w:t>
            </w:r>
            <w:proofErr w:type="spellStart"/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7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C97132" w:rsidRPr="00C971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511A2C" w:rsidRPr="00511A2C" w:rsidTr="00C97132">
        <w:tc>
          <w:tcPr>
            <w:tcW w:w="2009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AK(SECN&amp;KA) (11, 19, 71, 98, 231, 263, 264, 999)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9 OR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40)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AK(SECN&amp;KA) (42)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&gt;=38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40)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AK(SECN&amp;KA) (242)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&gt;=56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40)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511A2C" w:rsidRPr="00511A2C" w:rsidRDefault="0055130E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VOLCFGRS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(IF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0, SET </w:t>
            </w:r>
            <w:r w:rsidR="0055130E">
              <w:rPr>
                <w:rFonts w:ascii="Times New Roman" w:hAnsi="Times New Roman" w:cs="Times New Roman"/>
                <w:b/>
                <w:sz w:val="24"/>
                <w:szCs w:val="24"/>
              </w:rPr>
              <w:t>VOLCFGRS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0)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dbh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ht</w:t>
            </w:r>
          </w:p>
        </w:tc>
        <w:tc>
          <w:tcPr>
            <w:tcW w:w="1177" w:type="dxa"/>
            <w:tcMar>
              <w:left w:w="29" w:type="dxa"/>
              <w:right w:w="29" w:type="dxa"/>
            </w:tcMar>
          </w:tcPr>
          <w:p w:rsidR="00511A2C" w:rsidRPr="00511A2C" w:rsidRDefault="00C97132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Embry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Haack</w:t>
            </w:r>
            <w:proofErr w:type="spellEnd"/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1965</w:t>
            </w:r>
          </w:p>
        </w:tc>
      </w:tr>
      <w:tr w:rsidR="00511A2C" w:rsidRPr="00511A2C" w:rsidTr="00C97132">
        <w:tc>
          <w:tcPr>
            <w:tcW w:w="2009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AK(SECN) (11, 19, 71, 98, 231, 263, 264, 999)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9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40)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AK(KA) (11, 19, 71, 98, 231, 263, 264, 999)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9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 110)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AK(SECN) (42)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&gt;=38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40)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AK(KA) (42)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38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 110)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AK(SECN) (242)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&gt;=56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40) 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AK(KA) (242)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56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 110)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511A2C" w:rsidRPr="00511A2C" w:rsidRDefault="0055130E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VOLCFGRS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33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–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33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where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))))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top of stump = 1,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estimate for top diameter inside bark obtained by iterating the following two equations (for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and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up to 10 times or until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&lt;=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0.0001) or until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&gt;=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+ 0.0001):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(((V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 –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))) /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Where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/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(1 –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))))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top diameter outside bark = 4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(IF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0, SET </w:t>
            </w:r>
            <w:r w:rsidR="0055130E">
              <w:rPr>
                <w:rFonts w:ascii="Times New Roman" w:hAnsi="Times New Roman" w:cs="Times New Roman"/>
                <w:b/>
                <w:sz w:val="24"/>
                <w:szCs w:val="24"/>
              </w:rPr>
              <w:t>VOLCFGRS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NULL)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dbh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ht</w:t>
            </w:r>
          </w:p>
        </w:tc>
        <w:tc>
          <w:tcPr>
            <w:tcW w:w="1177" w:type="dxa"/>
            <w:tcMar>
              <w:left w:w="29" w:type="dxa"/>
              <w:right w:w="29" w:type="dxa"/>
            </w:tcMar>
          </w:tcPr>
          <w:p w:rsidR="00511A2C" w:rsidRPr="00511A2C" w:rsidRDefault="00C97132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Bruce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unpublished,</w:t>
            </w:r>
          </w:p>
          <w:p w:rsidR="00511A2C" w:rsidRPr="00511A2C" w:rsidRDefault="00C97132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Bruce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1984</w:t>
            </w:r>
          </w:p>
        </w:tc>
      </w:tr>
      <w:tr w:rsidR="00511A2C" w:rsidRPr="00511A2C" w:rsidTr="00C97132">
        <w:tc>
          <w:tcPr>
            <w:tcW w:w="2009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AK(KA) (11, 19, 71, 98, 231, 263, 264, 999)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9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40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&lt;= 110) 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AK(KA) (42)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38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 110) 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AK(KA) (242)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56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 110)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511A2C" w:rsidRPr="00511A2C" w:rsidRDefault="0055130E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VOLCFGRS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33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–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33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where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))))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top of stump = 1,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estimate for top diameter inside bark obtained by iterating the following two equations (for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and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 to 10 times or until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&lt;=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0.0001) or until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&gt;=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+ 0.0001):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(((V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 –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))) /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Where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/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(1 –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))))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top diameter outside bark = 4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(IF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0, SET </w:t>
            </w:r>
            <w:r w:rsidR="0055130E">
              <w:rPr>
                <w:rFonts w:ascii="Times New Roman" w:hAnsi="Times New Roman" w:cs="Times New Roman"/>
                <w:b/>
                <w:sz w:val="24"/>
                <w:szCs w:val="24"/>
              </w:rPr>
              <w:t>VOLCFGRS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NULL)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dbh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ht</w:t>
            </w:r>
          </w:p>
        </w:tc>
        <w:tc>
          <w:tcPr>
            <w:tcW w:w="1177" w:type="dxa"/>
            <w:tcMar>
              <w:left w:w="29" w:type="dxa"/>
              <w:right w:w="29" w:type="dxa"/>
            </w:tcMar>
          </w:tcPr>
          <w:p w:rsidR="00511A2C" w:rsidRPr="00511A2C" w:rsidRDefault="00C97132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Bruce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Demars</w:t>
            </w:r>
            <w:proofErr w:type="spellEnd"/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unpublished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Bruce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1984</w:t>
            </w:r>
          </w:p>
        </w:tc>
      </w:tr>
      <w:tr w:rsidR="00511A2C" w:rsidRPr="00511A2C" w:rsidTr="00C97132">
        <w:tc>
          <w:tcPr>
            <w:tcW w:w="2009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AK(SECN&amp;KA) (42)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9) OR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9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38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40)</w:t>
            </w:r>
          </w:p>
          <w:p w:rsidR="00511A2C" w:rsidRPr="00511A2C" w:rsidRDefault="00C97132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AK(SECN&amp;KA) (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242) -- </w:t>
            </w:r>
            <w:r w:rsidR="00511A2C"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="00511A2C"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9) OR (x</w:t>
            </w:r>
            <w:r w:rsidR="00511A2C"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9 AND x</w:t>
            </w:r>
            <w:r w:rsidR="00511A2C"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56 AND x</w:t>
            </w:r>
            <w:r w:rsidR="00511A2C"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40)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511A2C" w:rsidRPr="00511A2C" w:rsidRDefault="0055130E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VOLCFGRS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((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/ ((b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(1 + 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7</m:t>
                      </m:r>
                    </m:sub>
                  </m:sSub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10</m:t>
                      </m:r>
                    </m:den>
                  </m:f>
                </m:sup>
              </m:sSup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))(b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+ 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))((b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/ 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dbh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ht</w:t>
            </w:r>
          </w:p>
        </w:tc>
        <w:tc>
          <w:tcPr>
            <w:tcW w:w="1177" w:type="dxa"/>
            <w:tcMar>
              <w:left w:w="29" w:type="dxa"/>
              <w:right w:w="29" w:type="dxa"/>
            </w:tcMar>
          </w:tcPr>
          <w:p w:rsidR="00511A2C" w:rsidRPr="00511A2C" w:rsidRDefault="00C97132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Brackett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1973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Browne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1962</w:t>
            </w:r>
          </w:p>
        </w:tc>
      </w:tr>
      <w:tr w:rsidR="00511A2C" w:rsidRPr="00511A2C" w:rsidTr="00C97132">
        <w:tc>
          <w:tcPr>
            <w:tcW w:w="2009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AK(SECN&amp;KA) (42)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9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38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40)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511A2C" w:rsidRPr="00511A2C" w:rsidRDefault="0055130E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VOLCFGRS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+ 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33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–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33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where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top of stump = 1,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estimate for height to top diameter inside bark obtained by iterating the following equations (for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and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until the two closest estimates are made where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&lt;=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0.001) and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&gt;=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+ 0.001):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[initially, set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and skip to equation for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2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</m:rad>
            </m:oMath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--if V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0, set V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0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IF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&lt;=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SET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IF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&gt;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SET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Where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top diameter outside bark = 4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(IF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0, SET </w:t>
            </w:r>
            <w:r w:rsidR="0055130E">
              <w:rPr>
                <w:rFonts w:ascii="Times New Roman" w:hAnsi="Times New Roman" w:cs="Times New Roman"/>
                <w:b/>
                <w:sz w:val="24"/>
                <w:szCs w:val="24"/>
              </w:rPr>
              <w:t>VOLCFGRS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NULL)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dbh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ht</w:t>
            </w:r>
          </w:p>
        </w:tc>
        <w:tc>
          <w:tcPr>
            <w:tcW w:w="1177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Bruce and </w:t>
            </w:r>
            <w:proofErr w:type="spellStart"/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Demars</w:t>
            </w:r>
            <w:proofErr w:type="spellEnd"/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unpublished</w:t>
            </w:r>
          </w:p>
        </w:tc>
      </w:tr>
      <w:tr w:rsidR="00511A2C" w:rsidRPr="00511A2C" w:rsidTr="00C97132">
        <w:tc>
          <w:tcPr>
            <w:tcW w:w="2009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AK(Coastal-SECN) (94, 95, 375, 746, 747, 920)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 1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 0)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30E">
              <w:rPr>
                <w:rFonts w:ascii="Times New Roman" w:hAnsi="Times New Roman" w:cs="Times New Roman"/>
                <w:sz w:val="24"/>
                <w:szCs w:val="24"/>
              </w:rPr>
              <w:t>VOLCFGRS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r w:rsidR="0055130E">
              <w:rPr>
                <w:rFonts w:ascii="Times New Roman" w:hAnsi="Times New Roman" w:cs="Times New Roman"/>
                <w:b/>
                <w:sz w:val="24"/>
                <w:szCs w:val="24"/>
              </w:rPr>
              <w:t>VOLCFGRS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&lt;= 0, SET </w:t>
            </w:r>
            <w:r w:rsidR="0055130E">
              <w:rPr>
                <w:rFonts w:ascii="Times New Roman" w:hAnsi="Times New Roman" w:cs="Times New Roman"/>
                <w:b/>
                <w:sz w:val="24"/>
                <w:szCs w:val="24"/>
              </w:rPr>
              <w:t>VOLCFGRS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V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where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vertAlign w:val="subscript"/>
                </w:rPr>
                <m:t>)</m:t>
              </m:r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+ (b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– (b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  <w:vertAlign w:val="subscript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vertAlign w:val="subscript"/>
                </w:rPr>
                <m:t>)</m:t>
              </m:r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V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 original </w:t>
            </w:r>
            <w:r w:rsidR="0055130E">
              <w:rPr>
                <w:rFonts w:ascii="Times New Roman" w:hAnsi="Times New Roman" w:cs="Times New Roman"/>
                <w:b/>
                <w:sz w:val="24"/>
                <w:szCs w:val="24"/>
              </w:rPr>
              <w:t>VOLCFGRS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otherwise, do not change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OTHERWISE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30E">
              <w:rPr>
                <w:rFonts w:ascii="Times New Roman" w:hAnsi="Times New Roman" w:cs="Times New Roman"/>
                <w:sz w:val="24"/>
                <w:szCs w:val="24"/>
              </w:rPr>
              <w:t>VOLCFGRS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NULL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dbh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ht</w:t>
            </w:r>
          </w:p>
        </w:tc>
        <w:tc>
          <w:tcPr>
            <w:tcW w:w="1177" w:type="dxa"/>
            <w:tcMar>
              <w:left w:w="29" w:type="dxa"/>
              <w:right w:w="29" w:type="dxa"/>
            </w:tcMar>
          </w:tcPr>
          <w:p w:rsidR="00511A2C" w:rsidRPr="00511A2C" w:rsidRDefault="00C97132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Larson and Winterberger 1988, Campbell, unpublished  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511A2C" w:rsidRPr="00511A2C" w:rsidTr="00C97132">
        <w:tc>
          <w:tcPr>
            <w:tcW w:w="2009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AK(SECN&amp;KA (108)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AK(SECN&amp;KA) (310, 660, 661)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AK(SECN&amp;KA) (351)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511A2C" w:rsidRPr="00511A2C" w:rsidRDefault="0055130E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VOLCFGRS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((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/ ((b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(1 + 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7</m:t>
                      </m:r>
                    </m:sub>
                  </m:sSub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10</m:t>
                      </m:r>
                    </m:den>
                  </m:f>
                </m:sup>
              </m:sSup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))(b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+ 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))((b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/ b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dbh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ht</w:t>
            </w:r>
          </w:p>
        </w:tc>
        <w:tc>
          <w:tcPr>
            <w:tcW w:w="1177" w:type="dxa"/>
            <w:tcMar>
              <w:left w:w="29" w:type="dxa"/>
              <w:right w:w="29" w:type="dxa"/>
            </w:tcMar>
          </w:tcPr>
          <w:p w:rsidR="00511A2C" w:rsidRPr="00511A2C" w:rsidRDefault="00C97132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Brackett 1973, Browne 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1962</w:t>
            </w:r>
          </w:p>
        </w:tc>
      </w:tr>
      <w:tr w:rsidR="00511A2C" w:rsidRPr="00511A2C" w:rsidTr="00C97132">
        <w:tc>
          <w:tcPr>
            <w:tcW w:w="2009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AK(SECN&amp;KA) 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(242) --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IF (x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9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56 AND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&gt;= 40)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511A2C" w:rsidRPr="00511A2C" w:rsidRDefault="0055130E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VOLCFGRS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+ 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33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– 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2.5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2.5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33</m:t>
                  </m:r>
                </m:den>
              </m:f>
            </m:oMath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33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where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-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top of stump = 1,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estimate for height to top diameter inside bark obtained by iterating the following equations (for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and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until the two closest estimates are made where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&lt;=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0.001) and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&gt;=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+ 0.001):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[initially, set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and skip to equation for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2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/ (x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b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 +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(V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1.5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</m:rad>
            </m:oMath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--if V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10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0, set V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0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IF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&lt;=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SET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IF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&gt;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 SET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    Where V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= top diameter outside bark = 4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>(IF x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0, SET </w:t>
            </w:r>
            <w:r w:rsidR="0055130E">
              <w:rPr>
                <w:rFonts w:ascii="Times New Roman" w:hAnsi="Times New Roman" w:cs="Times New Roman"/>
                <w:b/>
                <w:sz w:val="24"/>
                <w:szCs w:val="24"/>
              </w:rPr>
              <w:t>VOLCFGRS</w:t>
            </w:r>
            <w:r w:rsidRPr="00511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NULL)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dbh</w:t>
            </w:r>
          </w:p>
          <w:p w:rsidR="00511A2C" w:rsidRPr="00511A2C" w:rsidRDefault="00511A2C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11A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511A2C">
              <w:rPr>
                <w:rFonts w:ascii="Times New Roman" w:hAnsi="Times New Roman" w:cs="Times New Roman"/>
                <w:sz w:val="24"/>
                <w:szCs w:val="24"/>
              </w:rPr>
              <w:t>= ht</w:t>
            </w:r>
          </w:p>
        </w:tc>
        <w:tc>
          <w:tcPr>
            <w:tcW w:w="1177" w:type="dxa"/>
            <w:tcMar>
              <w:left w:w="29" w:type="dxa"/>
              <w:right w:w="29" w:type="dxa"/>
            </w:tcMar>
          </w:tcPr>
          <w:p w:rsidR="00511A2C" w:rsidRPr="00511A2C" w:rsidRDefault="00C97132" w:rsidP="00C97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Bruce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Demars</w:t>
            </w:r>
            <w:proofErr w:type="spellEnd"/>
            <w:r w:rsidR="00511A2C" w:rsidRPr="00511A2C">
              <w:rPr>
                <w:rFonts w:ascii="Times New Roman" w:hAnsi="Times New Roman" w:cs="Times New Roman"/>
                <w:sz w:val="24"/>
                <w:szCs w:val="24"/>
              </w:rPr>
              <w:t xml:space="preserve"> unpublished</w:t>
            </w:r>
          </w:p>
        </w:tc>
      </w:tr>
    </w:tbl>
    <w:p w:rsidR="00561482" w:rsidRDefault="00561482" w:rsidP="00561482">
      <w:pPr>
        <w:spacing w:line="360" w:lineRule="auto"/>
      </w:pPr>
      <w:proofErr w:type="gramStart"/>
      <w:r w:rsidRPr="004D1765">
        <w:rPr>
          <w:vertAlign w:val="superscript"/>
        </w:rPr>
        <w:lastRenderedPageBreak/>
        <w:t>a</w:t>
      </w:r>
      <w:proofErr w:type="gramEnd"/>
      <w:r>
        <w:rPr>
          <w:vertAlign w:val="superscript"/>
        </w:rPr>
        <w:t xml:space="preserve"> </w:t>
      </w:r>
      <w:r w:rsidRPr="004D1765">
        <w:t>Species</w:t>
      </w:r>
      <w:r>
        <w:t xml:space="preserve"> numbers refer to the codes used by FIA (</w:t>
      </w:r>
      <w:proofErr w:type="spellStart"/>
      <w:r>
        <w:t>Woudenberg</w:t>
      </w:r>
      <w:proofErr w:type="spellEnd"/>
      <w:r>
        <w:t xml:space="preserve"> et al., 2010)</w:t>
      </w:r>
    </w:p>
    <w:p w:rsidR="00326C3F" w:rsidRPr="00511A2C" w:rsidRDefault="00561482" w:rsidP="005614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58EA">
        <w:rPr>
          <w:vertAlign w:val="superscript"/>
        </w:rPr>
        <w:t>b</w:t>
      </w:r>
      <w:proofErr w:type="gramEnd"/>
      <w:r>
        <w:t xml:space="preserve"> References are listed in a separate Literature Cited section at the end of the Appendix A.</w:t>
      </w:r>
    </w:p>
    <w:sectPr w:rsidR="00326C3F" w:rsidRPr="00511A2C" w:rsidSect="0032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01DB"/>
    <w:multiLevelType w:val="hybridMultilevel"/>
    <w:tmpl w:val="C25276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E5380"/>
    <w:multiLevelType w:val="hybridMultilevel"/>
    <w:tmpl w:val="515E12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CB4B88"/>
    <w:multiLevelType w:val="hybridMultilevel"/>
    <w:tmpl w:val="FBE672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A66649"/>
    <w:multiLevelType w:val="hybridMultilevel"/>
    <w:tmpl w:val="98849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87528C"/>
    <w:multiLevelType w:val="hybridMultilevel"/>
    <w:tmpl w:val="C07CE7AE"/>
    <w:lvl w:ilvl="0" w:tplc="C86A2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A7985"/>
    <w:multiLevelType w:val="hybridMultilevel"/>
    <w:tmpl w:val="DE6A06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8238A5"/>
    <w:multiLevelType w:val="hybridMultilevel"/>
    <w:tmpl w:val="87DE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F7F1B"/>
    <w:multiLevelType w:val="hybridMultilevel"/>
    <w:tmpl w:val="2AC2CE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552971"/>
    <w:multiLevelType w:val="hybridMultilevel"/>
    <w:tmpl w:val="071CFA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D3D04"/>
    <w:multiLevelType w:val="hybridMultilevel"/>
    <w:tmpl w:val="09B016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5763CD"/>
    <w:multiLevelType w:val="hybridMultilevel"/>
    <w:tmpl w:val="92BCA1DC"/>
    <w:lvl w:ilvl="0" w:tplc="2166D24E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322FE2"/>
    <w:multiLevelType w:val="hybridMultilevel"/>
    <w:tmpl w:val="0E123F28"/>
    <w:lvl w:ilvl="0" w:tplc="360CBC58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75462"/>
    <w:multiLevelType w:val="hybridMultilevel"/>
    <w:tmpl w:val="7522F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E47CA0"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</w:rPr>
    </w:lvl>
    <w:lvl w:ilvl="2" w:tplc="D2E2BCF6">
      <w:numFmt w:val="bullet"/>
      <w:lvlText w:val=""/>
      <w:lvlJc w:val="left"/>
      <w:pPr>
        <w:ind w:left="2340" w:hanging="360"/>
      </w:pPr>
      <w:rPr>
        <w:rFonts w:ascii="Symbol" w:eastAsia="Calibri" w:hAnsi="Symbol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D00200"/>
    <w:multiLevelType w:val="hybridMultilevel"/>
    <w:tmpl w:val="E46488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B086F"/>
    <w:multiLevelType w:val="hybridMultilevel"/>
    <w:tmpl w:val="8D74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47DF8"/>
    <w:multiLevelType w:val="hybridMultilevel"/>
    <w:tmpl w:val="C34CCF2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4675BA"/>
    <w:multiLevelType w:val="hybridMultilevel"/>
    <w:tmpl w:val="8D74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036BB7"/>
    <w:multiLevelType w:val="hybridMultilevel"/>
    <w:tmpl w:val="0FB84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31158EC"/>
    <w:multiLevelType w:val="hybridMultilevel"/>
    <w:tmpl w:val="7194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395799"/>
    <w:multiLevelType w:val="hybridMultilevel"/>
    <w:tmpl w:val="96E4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47CA0">
      <w:numFmt w:val="bullet"/>
      <w:lvlText w:val="•"/>
      <w:lvlJc w:val="left"/>
      <w:pPr>
        <w:ind w:left="1440" w:hanging="360"/>
      </w:pPr>
      <w:rPr>
        <w:rFonts w:ascii="SymbolMT" w:eastAsia="Calibri" w:hAnsi="SymbolMT" w:cs="SymbolMT" w:hint="default"/>
      </w:rPr>
    </w:lvl>
    <w:lvl w:ilvl="2" w:tplc="D2E2BCF6">
      <w:numFmt w:val="bullet"/>
      <w:lvlText w:val=""/>
      <w:lvlJc w:val="left"/>
      <w:pPr>
        <w:ind w:left="2340" w:hanging="360"/>
      </w:pPr>
      <w:rPr>
        <w:rFonts w:ascii="Symbol" w:eastAsia="Calibri" w:hAnsi="Symbol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E27048"/>
    <w:multiLevelType w:val="hybridMultilevel"/>
    <w:tmpl w:val="5690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F0A59"/>
    <w:multiLevelType w:val="hybridMultilevel"/>
    <w:tmpl w:val="AFD8A4A0"/>
    <w:lvl w:ilvl="0" w:tplc="BB4268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20"/>
  </w:num>
  <w:num w:numId="4">
    <w:abstractNumId w:val="12"/>
  </w:num>
  <w:num w:numId="5">
    <w:abstractNumId w:val="11"/>
  </w:num>
  <w:num w:numId="6">
    <w:abstractNumId w:val="14"/>
  </w:num>
  <w:num w:numId="7">
    <w:abstractNumId w:val="16"/>
  </w:num>
  <w:num w:numId="8">
    <w:abstractNumId w:val="19"/>
  </w:num>
  <w:num w:numId="9">
    <w:abstractNumId w:val="17"/>
  </w:num>
  <w:num w:numId="10">
    <w:abstractNumId w:val="6"/>
  </w:num>
  <w:num w:numId="11">
    <w:abstractNumId w:val="3"/>
  </w:num>
  <w:num w:numId="12">
    <w:abstractNumId w:val="15"/>
  </w:num>
  <w:num w:numId="13">
    <w:abstractNumId w:val="8"/>
  </w:num>
  <w:num w:numId="14">
    <w:abstractNumId w:val="4"/>
  </w:num>
  <w:num w:numId="15">
    <w:abstractNumId w:val="13"/>
  </w:num>
  <w:num w:numId="16">
    <w:abstractNumId w:val="7"/>
  </w:num>
  <w:num w:numId="17">
    <w:abstractNumId w:val="0"/>
  </w:num>
  <w:num w:numId="18">
    <w:abstractNumId w:val="5"/>
  </w:num>
  <w:num w:numId="19">
    <w:abstractNumId w:val="2"/>
  </w:num>
  <w:num w:numId="20">
    <w:abstractNumId w:val="10"/>
  </w:num>
  <w:num w:numId="21">
    <w:abstractNumId w:val="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A2C"/>
    <w:rsid w:val="001A0E96"/>
    <w:rsid w:val="00204CA0"/>
    <w:rsid w:val="0026455C"/>
    <w:rsid w:val="00326C3F"/>
    <w:rsid w:val="0041245E"/>
    <w:rsid w:val="00511A2C"/>
    <w:rsid w:val="0055130E"/>
    <w:rsid w:val="00561482"/>
    <w:rsid w:val="006570F1"/>
    <w:rsid w:val="00C97132"/>
    <w:rsid w:val="00CB58EA"/>
    <w:rsid w:val="00E72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3F"/>
  </w:style>
  <w:style w:type="paragraph" w:styleId="Heading1">
    <w:name w:val="heading 1"/>
    <w:basedOn w:val="Normal"/>
    <w:next w:val="Normal"/>
    <w:link w:val="Heading1Char"/>
    <w:uiPriority w:val="9"/>
    <w:qFormat/>
    <w:rsid w:val="00511A2C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A2C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A2C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A2C"/>
    <w:pPr>
      <w:keepNext/>
      <w:spacing w:before="240" w:after="60" w:line="240" w:lineRule="auto"/>
      <w:outlineLvl w:val="3"/>
    </w:pPr>
    <w:rPr>
      <w:rFonts w:ascii="Times New Roman" w:eastAsia="Calibri" w:hAnsi="Times New Roman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A2C"/>
    <w:pPr>
      <w:spacing w:before="240" w:after="60" w:line="240" w:lineRule="auto"/>
      <w:outlineLvl w:val="4"/>
    </w:pPr>
    <w:rPr>
      <w:rFonts w:ascii="Times New Roman" w:eastAsia="Calibri" w:hAnsi="Times New Roman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A2C"/>
    <w:pPr>
      <w:spacing w:before="240" w:after="60" w:line="240" w:lineRule="auto"/>
      <w:outlineLvl w:val="5"/>
    </w:pPr>
    <w:rPr>
      <w:rFonts w:ascii="Times New Roman" w:eastAsia="Calibri" w:hAnsi="Times New Roman" w:cs="Times New Roman"/>
      <w:b/>
      <w:b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A2C"/>
    <w:pPr>
      <w:spacing w:before="240" w:after="60" w:line="240" w:lineRule="auto"/>
      <w:outlineLvl w:val="6"/>
    </w:pPr>
    <w:rPr>
      <w:rFonts w:ascii="Times New Roman" w:eastAsia="Calibri" w:hAnsi="Times New Roman" w:cs="Times New Roman"/>
      <w:sz w:val="24"/>
      <w:szCs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A2C"/>
    <w:pPr>
      <w:spacing w:before="240" w:after="60" w:line="240" w:lineRule="auto"/>
      <w:outlineLvl w:val="7"/>
    </w:pPr>
    <w:rPr>
      <w:rFonts w:ascii="Times New Roman" w:eastAsia="Calibri" w:hAnsi="Times New Roman" w:cs="Times New Roman"/>
      <w:i/>
      <w:iCs/>
      <w:sz w:val="24"/>
      <w:szCs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A2C"/>
    <w:pPr>
      <w:spacing w:before="240" w:after="60" w:line="240" w:lineRule="auto"/>
      <w:outlineLvl w:val="8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A2C"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A2C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A2C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A2C"/>
    <w:rPr>
      <w:rFonts w:ascii="Times New Roman" w:eastAsia="Calibri" w:hAnsi="Times New Roman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A2C"/>
    <w:rPr>
      <w:rFonts w:ascii="Times New Roman" w:eastAsia="Calibri" w:hAnsi="Times New Roman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A2C"/>
    <w:rPr>
      <w:rFonts w:ascii="Times New Roman" w:eastAsia="Calibri" w:hAnsi="Times New Roman"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A2C"/>
    <w:rPr>
      <w:rFonts w:ascii="Times New Roman" w:eastAsia="Calibri" w:hAnsi="Times New Roman" w:cs="Times New Roman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A2C"/>
    <w:rPr>
      <w:rFonts w:ascii="Times New Roman" w:eastAsia="Calibri" w:hAnsi="Times New Roman" w:cs="Times New Roman"/>
      <w:i/>
      <w:iCs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A2C"/>
    <w:rPr>
      <w:rFonts w:ascii="Cambria" w:eastAsia="Times New Roman" w:hAnsi="Cambria" w:cs="Times New Roman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11A2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511A2C"/>
    <w:rPr>
      <w:rFonts w:ascii="Cambria" w:eastAsia="Times New Roman" w:hAnsi="Cambria" w:cs="Times New Roman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A2C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511A2C"/>
    <w:rPr>
      <w:rFonts w:ascii="Cambria" w:eastAsia="Times New Roman" w:hAnsi="Cambria" w:cs="Times New Roman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511A2C"/>
    <w:rPr>
      <w:b/>
      <w:bCs/>
    </w:rPr>
  </w:style>
  <w:style w:type="character" w:styleId="Emphasis">
    <w:name w:val="Emphasis"/>
    <w:basedOn w:val="DefaultParagraphFont"/>
    <w:uiPriority w:val="20"/>
    <w:qFormat/>
    <w:rsid w:val="00511A2C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511A2C"/>
    <w:pPr>
      <w:spacing w:after="0" w:line="240" w:lineRule="auto"/>
    </w:pPr>
    <w:rPr>
      <w:rFonts w:ascii="Times New Roman" w:eastAsia="Calibri" w:hAnsi="Times New Roman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511A2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511A2C"/>
    <w:pPr>
      <w:spacing w:after="0" w:line="240" w:lineRule="auto"/>
    </w:pPr>
    <w:rPr>
      <w:rFonts w:ascii="Times New Roman" w:eastAsia="Calibri" w:hAnsi="Times New Roman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511A2C"/>
    <w:rPr>
      <w:rFonts w:ascii="Times New Roman" w:eastAsia="Calibri" w:hAnsi="Times New Roman" w:cs="Times New Roman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A2C"/>
    <w:pPr>
      <w:spacing w:after="0" w:line="240" w:lineRule="auto"/>
      <w:ind w:left="720" w:right="720"/>
    </w:pPr>
    <w:rPr>
      <w:rFonts w:ascii="Times New Roman" w:eastAsia="Calibri" w:hAnsi="Times New Roman" w:cs="Times New Roman"/>
      <w:b/>
      <w:i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A2C"/>
    <w:rPr>
      <w:rFonts w:ascii="Times New Roman" w:eastAsia="Calibri" w:hAnsi="Times New Roman" w:cs="Times New Roman"/>
      <w:b/>
      <w:i/>
      <w:sz w:val="24"/>
      <w:lang w:bidi="en-US"/>
    </w:rPr>
  </w:style>
  <w:style w:type="character" w:styleId="SubtleEmphasis">
    <w:name w:val="Subtle Emphasis"/>
    <w:uiPriority w:val="19"/>
    <w:qFormat/>
    <w:rsid w:val="00511A2C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511A2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11A2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11A2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11A2C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1A2C"/>
    <w:pPr>
      <w:outlineLvl w:val="9"/>
    </w:pPr>
  </w:style>
  <w:style w:type="character" w:styleId="Hyperlink">
    <w:name w:val="Hyperlink"/>
    <w:basedOn w:val="DefaultParagraphFont"/>
    <w:unhideWhenUsed/>
    <w:rsid w:val="00511A2C"/>
    <w:rPr>
      <w:color w:val="0000FF"/>
      <w:u w:val="single"/>
    </w:rPr>
  </w:style>
  <w:style w:type="paragraph" w:styleId="BodyText2">
    <w:name w:val="Body Text 2"/>
    <w:basedOn w:val="Normal"/>
    <w:link w:val="BodyText2Char"/>
    <w:rsid w:val="00511A2C"/>
    <w:pPr>
      <w:autoSpaceDE w:val="0"/>
      <w:autoSpaceDN w:val="0"/>
      <w:adjustRightInd w:val="0"/>
      <w:spacing w:after="0" w:line="240" w:lineRule="atLeast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511A2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11A2C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511A2C"/>
    <w:rPr>
      <w:rFonts w:ascii="Times New Roman" w:eastAsia="Calibri" w:hAnsi="Times New Roman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11A2C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511A2C"/>
    <w:rPr>
      <w:rFonts w:ascii="Times New Roman" w:eastAsia="Calibri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2C"/>
    <w:pPr>
      <w:spacing w:after="0" w:line="240" w:lineRule="auto"/>
    </w:pPr>
    <w:rPr>
      <w:rFonts w:ascii="Tahoma" w:eastAsia="Calibri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2C"/>
    <w:rPr>
      <w:rFonts w:ascii="Tahoma" w:eastAsia="Calibri" w:hAnsi="Tahoma" w:cs="Tahoma"/>
      <w:sz w:val="16"/>
      <w:szCs w:val="16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511A2C"/>
  </w:style>
  <w:style w:type="paragraph" w:styleId="TOC1">
    <w:name w:val="toc 1"/>
    <w:basedOn w:val="Normal"/>
    <w:next w:val="Normal"/>
    <w:autoRedefine/>
    <w:semiHidden/>
    <w:unhideWhenUsed/>
    <w:rsid w:val="00511A2C"/>
    <w:pPr>
      <w:spacing w:after="100" w:line="240" w:lineRule="auto"/>
    </w:pPr>
    <w:rPr>
      <w:rFonts w:ascii="Times New Roman" w:eastAsia="Calibri" w:hAnsi="Times New Roman" w:cs="Times New Roman"/>
      <w:sz w:val="24"/>
      <w:szCs w:val="24"/>
      <w:lang w:bidi="en-US"/>
    </w:rPr>
  </w:style>
  <w:style w:type="paragraph" w:customStyle="1" w:styleId="axNormal">
    <w:name w:val="axNormal"/>
    <w:basedOn w:val="Normal"/>
    <w:rsid w:val="00511A2C"/>
    <w:pPr>
      <w:tabs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0" w:line="239" w:lineRule="atLeast"/>
      <w:textAlignment w:val="baseline"/>
    </w:pPr>
    <w:rPr>
      <w:rFonts w:ascii="Times" w:eastAsia="Times New Roman" w:hAnsi="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11A2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11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2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2C"/>
    <w:rPr>
      <w:rFonts w:ascii="Times New Roman" w:eastAsia="Calibri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A2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11A2C"/>
    <w:rPr>
      <w:color w:val="800080" w:themeColor="followedHyperlink"/>
      <w:u w:val="single"/>
    </w:rPr>
  </w:style>
  <w:style w:type="character" w:customStyle="1" w:styleId="A4">
    <w:name w:val="A4"/>
    <w:uiPriority w:val="99"/>
    <w:rsid w:val="00511A2C"/>
    <w:rPr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gmdomke</dc:creator>
  <cp:keywords/>
  <dc:description/>
  <cp:lastModifiedBy>Woodall, Christopher</cp:lastModifiedBy>
  <cp:revision>3</cp:revision>
  <dcterms:created xsi:type="dcterms:W3CDTF">2011-07-26T20:11:00Z</dcterms:created>
  <dcterms:modified xsi:type="dcterms:W3CDTF">2011-08-02T15:44:00Z</dcterms:modified>
</cp:coreProperties>
</file>