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Visual UX Intelligence Report</w:t>
      </w:r>
    </w:p>
    <w:p>
      <w:pPr>
        <w:spacing w:after="160"/>
      </w:pPr>
      <w:r>
        <w:rPr>
          <w:rFonts w:ascii="Arial" w:cs="Arial" w:eastAsia="Arial" w:hAnsi="Arial"/>
          <w:i/>
          <w:iCs/>
          <w:sz w:val="20"/>
          <w:szCs w:val="20"/>
        </w:rPr>
        <w:t xml:space="preserve">Evaluation &amp; Reasoning Trail (Screen C) — BuildWithAI R&amp;D Lab, Amazons hackathon project</w:t>
      </w:r>
    </w:p>
    <w:p>
      <w:pPr>
        <w:spacing w:after="160"/>
      </w:pPr>
      <w:r>
        <w:rPr>
          <w:rFonts w:ascii="Arial" w:cs="Arial" w:eastAsia="Arial" w:hAnsi="Arial"/>
          <w:color w:val="555555"/>
          <w:sz w:val="19"/>
          <w:szCs w:val="19"/>
        </w:rPr>
        <w:t xml:space="preserve">Prepared for: R&amp;D researcher persona (primary user). Grounded in the prior comprehensive UI/UX audit and direct inspection of apps/frontend/src.</w:t>
      </w:r>
    </w:p>
    <w:p>
      <w:pPr>
        <w:pStyle w:val="Heading1"/>
        <w:spacing w:after="160" w:before="320"/>
      </w:pPr>
      <w:r>
        <w:rPr>
          <w:rFonts w:ascii="Arial" w:cs="Arial" w:eastAsia="Arial" w:hAnsi="Arial"/>
        </w:rPr>
        <w:t xml:space="preserve">0. Principle Framework</w:t>
      </w:r>
    </w:p>
    <w:p>
      <w:pPr>
        <w:spacing w:after="160"/>
      </w:pPr>
      <w:r>
        <w:rPr>
          <w:rFonts w:ascii="Arial" w:cs="Arial" w:eastAsia="Arial" w:hAnsi="Arial"/>
          <w:sz w:val="21"/>
          <w:szCs w:val="21"/>
        </w:rPr>
        <w:t xml:space="preserve">Every recommendation below is tagged to one or more named principles from three families. No recommendation is included unless it traces to at least one of these.</w:t>
      </w:r>
    </w:p>
    <w:p>
      <w:pPr>
        <w:pStyle w:val="Heading2"/>
        <w:spacing w:after="120" w:before="240"/>
      </w:pPr>
      <w:r>
        <w:rPr>
          <w:rFonts w:ascii="Arial" w:cs="Arial" w:eastAsia="Arial" w:hAnsi="Arial"/>
        </w:rPr>
        <w:t xml:space="preserve">Group A — First Principles of Visual UX</w:t>
      </w:r>
    </w:p>
    <w:p>
      <w:pPr>
        <w:pStyle w:val="ListParagraph"/>
        <w:numPr>
          <w:ilvl w:val="0"/>
          <w:numId w:val="2"/>
        </w:numPr>
        <w:spacing w:after="120"/>
      </w:pPr>
      <w:r>
        <w:rPr>
          <w:rFonts w:ascii="Arial" w:cs="Arial" w:eastAsia="Arial" w:hAnsi="Arial"/>
          <w:sz w:val="21"/>
          <w:szCs w:val="21"/>
        </w:rPr>
        <w:t xml:space="preserve">A1 Clarity — the interface communicates what it is without requiring inference.</w:t>
      </w:r>
    </w:p>
    <w:p>
      <w:pPr>
        <w:pStyle w:val="ListParagraph"/>
        <w:numPr>
          <w:ilvl w:val="0"/>
          <w:numId w:val="2"/>
        </w:numPr>
        <w:spacing w:after="120"/>
      </w:pPr>
      <w:r>
        <w:rPr>
          <w:rFonts w:ascii="Arial" w:cs="Arial" w:eastAsia="Arial" w:hAnsi="Arial"/>
          <w:sz w:val="21"/>
          <w:szCs w:val="21"/>
        </w:rPr>
        <w:t xml:space="preserve">A2 Hierarchy — the most important thing on screen is the most visually dominant thing.</w:t>
      </w:r>
    </w:p>
    <w:p>
      <w:pPr>
        <w:pStyle w:val="ListParagraph"/>
        <w:numPr>
          <w:ilvl w:val="0"/>
          <w:numId w:val="2"/>
        </w:numPr>
        <w:spacing w:after="120"/>
      </w:pPr>
      <w:r>
        <w:rPr>
          <w:rFonts w:ascii="Arial" w:cs="Arial" w:eastAsia="Arial" w:hAnsi="Arial"/>
          <w:sz w:val="21"/>
          <w:szCs w:val="21"/>
        </w:rPr>
        <w:t xml:space="preserve">A3 Feedback — every action produces a visible, immediate response.</w:t>
      </w:r>
    </w:p>
    <w:p>
      <w:pPr>
        <w:pStyle w:val="ListParagraph"/>
        <w:numPr>
          <w:ilvl w:val="0"/>
          <w:numId w:val="2"/>
        </w:numPr>
        <w:spacing w:after="120"/>
      </w:pPr>
      <w:r>
        <w:rPr>
          <w:rFonts w:ascii="Arial" w:cs="Arial" w:eastAsia="Arial" w:hAnsi="Arial"/>
          <w:sz w:val="21"/>
          <w:szCs w:val="21"/>
        </w:rPr>
        <w:t xml:space="preserve">A4 Affordance — a control's appearance and label predict its actual effect.</w:t>
      </w:r>
    </w:p>
    <w:p>
      <w:pPr>
        <w:pStyle w:val="ListParagraph"/>
        <w:numPr>
          <w:ilvl w:val="0"/>
          <w:numId w:val="2"/>
        </w:numPr>
        <w:spacing w:after="120"/>
      </w:pPr>
      <w:r>
        <w:rPr>
          <w:rFonts w:ascii="Arial" w:cs="Arial" w:eastAsia="Arial" w:hAnsi="Arial"/>
          <w:sz w:val="21"/>
          <w:szCs w:val="21"/>
        </w:rPr>
        <w:t xml:space="preserve">A5 Cognitive Load Minimization — the researcher spends attention on the problem, not on decoding the UI.</w:t>
      </w:r>
    </w:p>
    <w:p>
      <w:pPr>
        <w:pStyle w:val="Heading2"/>
        <w:spacing w:after="120" w:before="240"/>
      </w:pPr>
      <w:r>
        <w:rPr>
          <w:rFonts w:ascii="Arial" w:cs="Arial" w:eastAsia="Arial" w:hAnsi="Arial"/>
        </w:rPr>
        <w:t xml:space="preserve">Group B — R&amp;D Visualization Fundamentals</w:t>
      </w:r>
    </w:p>
    <w:p>
      <w:pPr>
        <w:pStyle w:val="ListParagraph"/>
        <w:numPr>
          <w:ilvl w:val="0"/>
          <w:numId w:val="2"/>
        </w:numPr>
        <w:spacing w:after="120"/>
      </w:pPr>
      <w:r>
        <w:rPr>
          <w:rFonts w:ascii="Arial" w:cs="Arial" w:eastAsia="Arial" w:hAnsi="Arial"/>
          <w:sz w:val="21"/>
          <w:szCs w:val="21"/>
        </w:rPr>
        <w:t xml:space="preserve">B1 Data Trail Integrity — every artifact on screen must be traceable to one real, consistent underlying record.</w:t>
      </w:r>
    </w:p>
    <w:p>
      <w:pPr>
        <w:pStyle w:val="ListParagraph"/>
        <w:numPr>
          <w:ilvl w:val="0"/>
          <w:numId w:val="2"/>
        </w:numPr>
        <w:spacing w:after="120"/>
      </w:pPr>
      <w:r>
        <w:rPr>
          <w:rFonts w:ascii="Arial" w:cs="Arial" w:eastAsia="Arial" w:hAnsi="Arial"/>
          <w:sz w:val="21"/>
          <w:szCs w:val="21"/>
        </w:rPr>
        <w:t xml:space="preserve">B2 Reproducibility — a researcher (or teammate) can re-derive the same conclusion from the same evidence later.</w:t>
      </w:r>
    </w:p>
    <w:p>
      <w:pPr>
        <w:pStyle w:val="ListParagraph"/>
        <w:numPr>
          <w:ilvl w:val="0"/>
          <w:numId w:val="2"/>
        </w:numPr>
        <w:spacing w:after="120"/>
      </w:pPr>
      <w:r>
        <w:rPr>
          <w:rFonts w:ascii="Arial" w:cs="Arial" w:eastAsia="Arial" w:hAnsi="Arial"/>
          <w:sz w:val="21"/>
          <w:szCs w:val="21"/>
        </w:rPr>
        <w:t xml:space="preserve">B3 Traceable Reasoning Chains — problem → contradiction → candidates → evaluation → choice must read as one continuous chain, not disconnected widgets.</w:t>
      </w:r>
    </w:p>
    <w:p>
      <w:pPr>
        <w:pStyle w:val="ListParagraph"/>
        <w:numPr>
          <w:ilvl w:val="0"/>
          <w:numId w:val="2"/>
        </w:numPr>
        <w:spacing w:after="120"/>
      </w:pPr>
      <w:r>
        <w:rPr>
          <w:rFonts w:ascii="Arial" w:cs="Arial" w:eastAsia="Arial" w:hAnsi="Arial"/>
          <w:sz w:val="21"/>
          <w:szCs w:val="21"/>
        </w:rPr>
        <w:t xml:space="preserve">B4 Evidence-to-Conclusion Linkage — the recommended answer must be visibly and interactively connected to the evidence that produced it.</w:t>
      </w:r>
    </w:p>
    <w:p>
      <w:pPr>
        <w:pStyle w:val="Heading2"/>
        <w:spacing w:after="120" w:before="240"/>
      </w:pPr>
      <w:r>
        <w:rPr>
          <w:rFonts w:ascii="Arial" w:cs="Arial" w:eastAsia="Arial" w:hAnsi="Arial"/>
        </w:rPr>
        <w:t xml:space="preserve">Group C — Researcher-Facing Interface Best Practices</w:t>
      </w:r>
    </w:p>
    <w:p>
      <w:pPr>
        <w:pStyle w:val="ListParagraph"/>
        <w:numPr>
          <w:ilvl w:val="0"/>
          <w:numId w:val="2"/>
        </w:numPr>
        <w:spacing w:after="120"/>
      </w:pPr>
      <w:r>
        <w:rPr>
          <w:rFonts w:ascii="Arial" w:cs="Arial" w:eastAsia="Arial" w:hAnsi="Arial"/>
          <w:sz w:val="21"/>
          <w:szCs w:val="21"/>
        </w:rPr>
        <w:t xml:space="preserve">C1 Progressive Disclosure — show summary first, full detail on demand.</w:t>
      </w:r>
    </w:p>
    <w:p>
      <w:pPr>
        <w:pStyle w:val="ListParagraph"/>
        <w:numPr>
          <w:ilvl w:val="0"/>
          <w:numId w:val="2"/>
        </w:numPr>
        <w:spacing w:after="120"/>
      </w:pPr>
      <w:r>
        <w:rPr>
          <w:rFonts w:ascii="Arial" w:cs="Arial" w:eastAsia="Arial" w:hAnsi="Arial"/>
          <w:sz w:val="21"/>
          <w:szCs w:val="21"/>
        </w:rPr>
        <w:t xml:space="preserve">C2 Dense-but-Scannable Layout — pack real information density without sacrificing scan-ability.</w:t>
      </w:r>
    </w:p>
    <w:p>
      <w:pPr>
        <w:pStyle w:val="ListParagraph"/>
        <w:numPr>
          <w:ilvl w:val="0"/>
          <w:numId w:val="2"/>
        </w:numPr>
        <w:spacing w:after="120"/>
      </w:pPr>
      <w:r>
        <w:rPr>
          <w:rFonts w:ascii="Arial" w:cs="Arial" w:eastAsia="Arial" w:hAnsi="Arial"/>
          <w:sz w:val="21"/>
          <w:szCs w:val="21"/>
        </w:rPr>
        <w:t xml:space="preserve">C3 Annotation/Metadata Visibility — provenance, method, and scoring inputs are visible, not buried.</w:t>
      </w:r>
    </w:p>
    <w:p>
      <w:pPr>
        <w:pStyle w:val="ListParagraph"/>
        <w:numPr>
          <w:ilvl w:val="0"/>
          <w:numId w:val="2"/>
        </w:numPr>
        <w:spacing w:after="120"/>
      </w:pPr>
      <w:r>
        <w:rPr>
          <w:rFonts w:ascii="Arial" w:cs="Arial" w:eastAsia="Arial" w:hAnsi="Arial"/>
          <w:sz w:val="21"/>
          <w:szCs w:val="21"/>
        </w:rPr>
        <w:t xml:space="preserve">C4 Exportability — the full trail (not a partial view of it) can leave the tool intact.</w:t>
      </w:r>
    </w:p>
    <w:p>
      <w:pPr>
        <w:pStyle w:val="Heading1"/>
        <w:spacing w:after="160" w:before="320"/>
      </w:pPr>
      <w:r>
        <w:rPr>
          <w:rFonts w:ascii="Arial" w:cs="Arial" w:eastAsia="Arial" w:hAnsi="Arial"/>
        </w:rPr>
        <w:t xml:space="preserve">1. Information Architecture</w:t>
      </w:r>
    </w:p>
    <w:p>
      <w:pPr>
        <w:spacing w:after="160"/>
      </w:pPr>
      <w:r>
        <w:rPr>
          <w:rFonts w:ascii="Arial" w:cs="Arial" w:eastAsia="Arial" w:hAnsi="Arial"/>
          <w:sz w:val="21"/>
          <w:szCs w:val="21"/>
        </w:rPr>
        <w:t xml:space="preserve">Current state: Screen C is a header plus two independently-scrolling, stacked full-width cards (Evaluation Table, then Reasoning Trail) with no shared identifiers surfaced between them, followed by a bottom action row.</w:t>
      </w:r>
    </w:p>
    <w:p>
      <w:pPr>
        <w:spacing w:after="160"/>
      </w:pPr>
      <w:r>
        <w:rPr>
          <w:rFonts w:ascii="Arial" w:cs="Arial" w:eastAsia="Arial" w:hAnsi="Arial"/>
          <w:b/>
          <w:bCs/>
          <w:sz w:val="21"/>
          <w:szCs w:val="21"/>
        </w:rPr>
        <w:t xml:space="preserve">1A — Treat the trail as the IA spine. </w:t>
      </w:r>
      <w:r>
        <w:rPr>
          <w:rFonts w:ascii="Arial" w:cs="Arial" w:eastAsia="Arial" w:hAnsi="Arial"/>
          <w:sz w:val="21"/>
          <w:szCs w:val="21"/>
        </w:rPr>
        <w:t xml:space="preserve">The diagram, not the table, should be the structural backbone of the screen; the table is a filtered detail view of the same entity set. Justification: B3 — the hackathon's own requirement is a single continuous trail; presenting the table and diagram as unrelated widgets breaks that chain visually even when the underlying data is correct.</w:t>
      </w:r>
    </w:p>
    <w:p>
      <w:pPr>
        <w:spacing w:after="160"/>
      </w:pPr>
      <w:r>
        <w:rPr>
          <w:rFonts w:ascii="Arial" w:cs="Arial" w:eastAsia="Arial" w:hAnsi="Arial"/>
          <w:b/>
          <w:bCs/>
          <w:sz w:val="21"/>
          <w:szCs w:val="21"/>
        </w:rPr>
        <w:t xml:space="preserve">1B — Add a trail summary strip. </w:t>
      </w:r>
      <w:r>
        <w:rPr>
          <w:rFonts w:ascii="Arial" w:cs="Arial" w:eastAsia="Arial" w:hAnsi="Arial"/>
          <w:sz w:val="21"/>
          <w:szCs w:val="21"/>
        </w:rPr>
        <w:t xml:space="preserve">A compact strip above both sections showing the problem statement, contradiction statement, candidate count, and recommended solution name gives the researcher the full five-step trail in one glance, with no scrolling. Justification: A5, C2.</w:t>
      </w:r>
    </w:p>
    <w:p>
      <w:pPr>
        <w:spacing w:after="160"/>
      </w:pPr>
      <w:r>
        <w:rPr>
          <w:rFonts w:ascii="Arial" w:cs="Arial" w:eastAsia="Arial" w:hAnsi="Arial"/>
          <w:b/>
          <w:bCs/>
          <w:sz w:val="21"/>
          <w:szCs w:val="21"/>
        </w:rPr>
        <w:t xml:space="preserve">1C — Render one stable ID per entity everywhere it appears. </w:t>
      </w:r>
      <w:r>
        <w:rPr>
          <w:rFonts w:ascii="Arial" w:cs="Arial" w:eastAsia="Arial" w:hAnsi="Arial"/>
          <w:sz w:val="21"/>
          <w:szCs w:val="21"/>
        </w:rPr>
        <w:t xml:space="preserve">Every candidate, node, and table row needs a small, consistent ID chip so a researcher can manually cross-check diagram against table against export. Justification: B1, B2 — today the diagram's candidate labels and the pipeline's solution labels are drawn from unrelated data sets with no shared identifier, so there is currently no way for a researcher to detect whether the trail is actually continuous.</w:t>
      </w:r>
    </w:p>
    <w:p>
      <w:pPr>
        <w:pStyle w:val="Heading1"/>
        <w:spacing w:after="160" w:before="320"/>
      </w:pPr>
      <w:r>
        <w:rPr>
          <w:rFonts w:ascii="Arial" w:cs="Arial" w:eastAsia="Arial" w:hAnsi="Arial"/>
        </w:rPr>
        <w:t xml:space="preserve">2. Layout Strategy</w:t>
      </w:r>
    </w:p>
    <w:p>
      <w:pPr>
        <w:spacing w:after="160"/>
      </w:pPr>
      <w:r>
        <w:rPr>
          <w:rFonts w:ascii="Arial" w:cs="Arial" w:eastAsia="Arial" w:hAnsi="Arial"/>
          <w:sz w:val="21"/>
          <w:szCs w:val="21"/>
        </w:rPr>
        <w:t xml:space="preserve">Current state: full-width stacked cards; the diagram has a fixed 600px/800px min-height toggle with no split or resize option.</w:t>
      </w:r>
    </w:p>
    <w:p>
      <w:pPr>
        <w:spacing w:after="160"/>
      </w:pPr>
      <w:r>
        <w:rPr>
          <w:rFonts w:ascii="Arial" w:cs="Arial" w:eastAsia="Arial" w:hAnsi="Arial"/>
          <w:b/>
          <w:bCs/>
          <w:sz w:val="21"/>
          <w:szCs w:val="21"/>
        </w:rPr>
        <w:t xml:space="preserve">2A — Two-pane workspace. </w:t>
      </w:r>
      <w:r>
        <w:rPr>
          <w:rFonts w:ascii="Arial" w:cs="Arial" w:eastAsia="Arial" w:hAnsi="Arial"/>
          <w:sz w:val="21"/>
          <w:szCs w:val="21"/>
        </w:rPr>
        <w:t xml:space="preserve">Trail canvas as the primary pane (~60% width), evaluation table plus evidence panel as a secondary pane (~40%), both visible at once rather than a toggle-and-scroll pattern. Justification: C2 — researchers must correlate a score with its position in the chain without losing either view; B4 requires both artifacts on screen together.</w:t>
      </w:r>
    </w:p>
    <w:p>
      <w:pPr>
        <w:spacing w:after="160"/>
      </w:pPr>
      <w:r>
        <w:rPr>
          <w:rFonts w:ascii="Arial" w:cs="Arial" w:eastAsia="Arial" w:hAnsi="Arial"/>
          <w:b/>
          <w:bCs/>
          <w:sz w:val="21"/>
          <w:szCs w:val="21"/>
        </w:rPr>
        <w:t xml:space="preserve">2B — Repurpose the existing expand toggle. </w:t>
      </w:r>
      <w:r>
        <w:rPr>
          <w:rFonts w:ascii="Arial" w:cs="Arial" w:eastAsia="Arial" w:hAnsi="Arial"/>
          <w:sz w:val="21"/>
          <w:szCs w:val="21"/>
        </w:rPr>
        <w:t xml:space="preserve">“VIEW FULL TRAIL” should switch from the compact two-pane workspace into a full-canvas single-pane exploration mode, rather than only growing a container's min-height. Justification: A5 (compact by default) plus C1 (expand only on demand).</w:t>
      </w:r>
    </w:p>
    <w:p>
      <w:pPr>
        <w:spacing w:after="160"/>
      </w:pPr>
      <w:r>
        <w:rPr>
          <w:rFonts w:ascii="Arial" w:cs="Arial" w:eastAsia="Arial" w:hAnsi="Arial"/>
          <w:b/>
          <w:bCs/>
          <w:sz w:val="21"/>
          <w:szCs w:val="21"/>
        </w:rPr>
        <w:t xml:space="preserve">2C — Subordinate the decorative layer. </w:t>
      </w:r>
      <w:r>
        <w:rPr>
          <w:rFonts w:ascii="Arial" w:cs="Arial" w:eastAsia="Arial" w:hAnsi="Arial"/>
          <w:sz w:val="21"/>
          <w:szCs w:val="21"/>
        </w:rPr>
        <w:t xml:space="preserve">The dot-grid background and the Node/Step/Connection legend are currently static markup at the same visual weight as real content; both should be lower-contrast and smaller than data-bearing elements. Justification: A1, A5.</w:t>
      </w:r>
    </w:p>
    <w:p>
      <w:pPr>
        <w:pStyle w:val="Heading1"/>
        <w:spacing w:after="160" w:before="320"/>
      </w:pPr>
      <w:r>
        <w:rPr>
          <w:rFonts w:ascii="Arial" w:cs="Arial" w:eastAsia="Arial" w:hAnsi="Arial"/>
        </w:rPr>
        <w:t xml:space="preserve">3. Interaction Patterns</w:t>
      </w:r>
    </w:p>
    <w:p>
      <w:pPr>
        <w:spacing w:after="160"/>
      </w:pPr>
      <w:r>
        <w:rPr>
          <w:rFonts w:ascii="Arial" w:cs="Arial" w:eastAsia="Arial" w:hAnsi="Arial"/>
          <w:b/>
          <w:bCs/>
          <w:sz w:val="21"/>
          <w:szCs w:val="21"/>
        </w:rPr>
        <w:t xml:space="preserve">3A — Bidirectional selection. </w:t>
      </w:r>
      <w:r>
        <w:rPr>
          <w:rFonts w:ascii="Arial" w:cs="Arial" w:eastAsia="Arial" w:hAnsi="Arial"/>
          <w:sz w:val="21"/>
          <w:szCs w:val="21"/>
        </w:rPr>
        <w:t xml:space="preserve">Clicking a table row highlights its corresponding trail node, and vice versa, using one shared highlight treatment. Justification: B4, A3.</w:t>
      </w:r>
    </w:p>
    <w:p>
      <w:pPr>
        <w:spacing w:after="160"/>
      </w:pPr>
      <w:r>
        <w:rPr>
          <w:rFonts w:ascii="Arial" w:cs="Arial" w:eastAsia="Arial" w:hAnsi="Arial"/>
          <w:b/>
          <w:bCs/>
          <w:sz w:val="21"/>
          <w:szCs w:val="21"/>
        </w:rPr>
        <w:t xml:space="preserve">3B — Click-to-detail, not read-off-the-node. </w:t>
      </w:r>
      <w:r>
        <w:rPr>
          <w:rFonts w:ascii="Arial" w:cs="Arial" w:eastAsia="Arial" w:hAnsi="Arial"/>
          <w:sz w:val="21"/>
          <w:szCs w:val="21"/>
        </w:rPr>
        <w:t xml:space="preserve">Clicking a trail node opens a dismissible detail panel with that entity's full metadata (method, provenance, ID), instead of requiring the researcher to infer it from a two-line node label. Justification: C1, C3.</w:t>
      </w:r>
    </w:p>
    <w:p>
      <w:pPr>
        <w:spacing w:after="160"/>
      </w:pPr>
      <w:r>
        <w:rPr>
          <w:rFonts w:ascii="Arial" w:cs="Arial" w:eastAsia="Arial" w:hAnsi="Arial"/>
          <w:b/>
          <w:bCs/>
          <w:sz w:val="21"/>
          <w:szCs w:val="21"/>
        </w:rPr>
        <w:t xml:space="preserve">3C — Hover for orientation. </w:t>
      </w:r>
      <w:r>
        <w:rPr>
          <w:rFonts w:ascii="Arial" w:cs="Arial" w:eastAsia="Arial" w:hAnsi="Arial"/>
          <w:sz w:val="21"/>
          <w:szCs w:val="21"/>
        </w:rPr>
        <w:t xml:space="preserve">Hovering (not just clicking) a node or row shows a lightweight tooltip with ID plus a one-line summary, so scanning the trail with the mouse is enough to get oriented before committing to a click. Justification: A3, C2.</w:t>
      </w:r>
    </w:p>
    <w:p>
      <w:pPr>
        <w:spacing w:after="160"/>
      </w:pPr>
      <w:r>
        <w:rPr>
          <w:rFonts w:ascii="Arial" w:cs="Arial" w:eastAsia="Arial" w:hAnsi="Arial"/>
          <w:b/>
          <w:bCs/>
          <w:sz w:val="21"/>
          <w:szCs w:val="21"/>
        </w:rPr>
        <w:t xml:space="preserve">3D — Fix the affordance break on session-resetting actions. </w:t>
      </w:r>
      <w:r>
        <w:rPr>
          <w:rFonts w:ascii="Arial" w:cs="Arial" w:eastAsia="Arial" w:hAnsi="Arial"/>
          <w:sz w:val="21"/>
          <w:szCs w:val="21"/>
        </w:rPr>
        <w:t xml:space="preserve">“Initiate Final Validation” currently calls a full session reset and silently restarts the flow. A control's label must predict its effect; this one does not. It must be renamed to describe what it does, or gated behind an explicit confirmation. Justification: A4.</w:t>
      </w:r>
    </w:p>
    <w:p>
      <w:pPr>
        <w:spacing w:after="160"/>
      </w:pPr>
      <w:r>
        <w:rPr>
          <w:rFonts w:ascii="Arial" w:cs="Arial" w:eastAsia="Arial" w:hAnsi="Arial"/>
          <w:b/>
          <w:bCs/>
          <w:sz w:val="21"/>
          <w:szCs w:val="21"/>
        </w:rPr>
        <w:t xml:space="preserve">3E — Leave working controls alone. </w:t>
      </w:r>
      <w:r>
        <w:rPr>
          <w:rFonts w:ascii="Arial" w:cs="Arial" w:eastAsia="Arial" w:hAnsi="Arial"/>
          <w:sz w:val="21"/>
          <w:szCs w:val="21"/>
        </w:rPr>
        <w:t xml:space="preserve">“Back to Selection” (state-preserving) and “Download Report” (working export) already satisfy B2 and C4 and should not be altered by the same change that fixes 3D.</w:t>
      </w:r>
    </w:p>
    <w:p>
      <w:pPr>
        <w:pStyle w:val="Heading1"/>
        <w:spacing w:after="160" w:before="320"/>
      </w:pPr>
      <w:r>
        <w:rPr>
          <w:rFonts w:ascii="Arial" w:cs="Arial" w:eastAsia="Arial" w:hAnsi="Arial"/>
        </w:rPr>
        <w:t xml:space="preserve">4. Visual Hierarchy</w:t>
      </w:r>
    </w:p>
    <w:p>
      <w:pPr>
        <w:spacing w:after="160"/>
      </w:pPr>
      <w:r>
        <w:rPr>
          <w:rFonts w:ascii="Arial" w:cs="Arial" w:eastAsia="Arial" w:hAnsi="Arial"/>
          <w:b/>
          <w:bCs/>
          <w:sz w:val="21"/>
          <w:szCs w:val="21"/>
        </w:rPr>
        <w:t xml:space="preserve">4A — One shared “recommended answer” treatment. </w:t>
      </w:r>
      <w:r>
        <w:rPr>
          <w:rFonts w:ascii="Arial" w:cs="Arial" w:eastAsia="Arial" w:hAnsi="Arial"/>
          <w:sz w:val="21"/>
          <w:szCs w:val="21"/>
        </w:rPr>
        <w:t xml:space="preserve">The evaluation table's recommended row and the trail's critical-path node currently use similar but independently-defined styling in two separate components. This must become a single shared style/token so the “this is the answer” signal is guaranteed identical everywhere it appears. Justification: A2, B4.</w:t>
      </w:r>
    </w:p>
    <w:p>
      <w:pPr>
        <w:spacing w:after="160"/>
      </w:pPr>
      <w:r>
        <w:rPr>
          <w:rFonts w:ascii="Arial" w:cs="Arial" w:eastAsia="Arial" w:hAnsi="Arial"/>
          <w:b/>
          <w:bCs/>
          <w:sz w:val="21"/>
          <w:szCs w:val="21"/>
        </w:rPr>
        <w:t xml:space="preserve">4B — Three-tier weight system. </w:t>
      </w:r>
      <w:r>
        <w:rPr>
          <w:rFonts w:ascii="Arial" w:cs="Arial" w:eastAsia="Arial" w:hAnsi="Arial"/>
          <w:sz w:val="21"/>
          <w:szCs w:val="21"/>
        </w:rPr>
        <w:t xml:space="preserve">Tier 1 (recommended answer, heaviest weight) / Tier 2 (other evaluated candidates, outlined/neutral) / Tier 3 (chrome: legend, dot-grid, breadcrumbs — lowest contrast). Justification: A2, A5.</w:t>
      </w:r>
    </w:p>
    <w:p>
      <w:pPr>
        <w:spacing w:after="160"/>
      </w:pPr>
      <w:r>
        <w:rPr>
          <w:rFonts w:ascii="Arial" w:cs="Arial" w:eastAsia="Arial" w:hAnsi="Arial"/>
          <w:b/>
          <w:bCs/>
          <w:sz w:val="21"/>
          <w:szCs w:val="21"/>
        </w:rPr>
        <w:t xml:space="preserve">4C — No unconnected nodes. </w:t>
      </w:r>
      <w:r>
        <w:rPr>
          <w:rFonts w:ascii="Arial" w:cs="Arial" w:eastAsia="Arial" w:hAnsi="Arial"/>
          <w:sz w:val="21"/>
          <w:szCs w:val="21"/>
        </w:rPr>
        <w:t xml:space="preserve">The current fake trail data hardcodes a third reformulation node with no outgoing edge — directly contradicting the project's own spec, which states that fewer real nodes is correct rather than padding to three. Every rendered node must have at least one edge in or out, or it should not be rendered at all. Justification: B1, A1 — an unconnected node reads as a broken link and undermines trust in the whole trail.</w:t>
      </w:r>
    </w:p>
    <w:p>
      <w:pPr>
        <w:pStyle w:val="Heading1"/>
        <w:spacing w:after="160" w:before="320"/>
      </w:pPr>
      <w:r>
        <w:rPr>
          <w:rFonts w:ascii="Arial" w:cs="Arial" w:eastAsia="Arial" w:hAnsi="Arial"/>
        </w:rPr>
        <w:t xml:space="preserve">5.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rPr>
          <w:tblHeader/>
        </w:trP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19"/>
                <w:szCs w:val="19"/>
              </w:rPr>
              <w:t xml:space="preserve">Component</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19"/>
                <w:szCs w:val="19"/>
              </w:rPr>
              <w:t xml:space="preserve">Status</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19"/>
                <w:szCs w:val="19"/>
              </w:rPr>
              <w:t xml:space="preserve">Principle(s) Served</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b/>
                <w:bCs/>
                <w:sz w:val="19"/>
                <w:szCs w:val="19"/>
              </w:rPr>
              <w:t xml:space="preserve">Required Change</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ReasoningTrailComponent
(ng-diagram host)</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Exists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B3, A1</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Remove redundant initializeModel + updateNodes dual write path; replace CSS calc-string position parsing with plain numeric coordinates.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EvaluationTableComponent</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Exists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B4, A3</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Add row-click selection output; add hover tooltip; keep the existing data-driven recommended-row logic unchanged.</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TrailNodeTemplateComponent</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Exists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A2, C3</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Add a selected-state class; add method/provenance fields rendered on hover or in the detail panel.</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Node Detail Panel</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New</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C1, C3</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Persistent, dismissible side panel bound to the currently selected node or row ID.</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Trail Summary Strip</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New</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A5, C2, B3</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One line per step (Problem / Contradiction / Candidates / Recommendation) shown above the workspace.</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Legend + dot-grid background</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Exists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A1, A5</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Demote visual weight (lower opacity/size) relative to data-bearing elements.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Download Report control</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Exists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C4, B2</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Extend the export payload to include trail nodes and edges, not evaluation rows only.</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“Initiate Final Validation” button</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Exists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A4</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Rename, or gate behind confirmation — it currently resets the whole session without warning.</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Fake data layer
(candidate &amp; trail titles)</w:t>
            </w:r>
          </w:p>
        </w:tc>
        <w:tc>
          <w:tcPr>
            <w:tcW w:type="dxa" w:w="1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Exists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B1, B2</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b w:val="false"/>
                <w:bCs w:val="false"/>
                <w:sz w:val="19"/>
                <w:szCs w:val="19"/>
              </w:rPr>
              <w:t xml:space="preserve">Align titles/IDs across reformulation, evaluation, and trail-node data so one entity has one name everywhere.</w:t>
            </w:r>
          </w:p>
        </w:tc>
      </w:tr>
    </w:tbl>
    <w:p>
      <w:pPr>
        <w:spacing w:after="160"/>
      </w:pPr>
      <w:r>
        <w:rPr>
          <w:rFonts w:ascii="Arial" w:cs="Arial" w:eastAsia="Arial" w:hAnsi="Arial"/>
          <w:sz w:val="21"/>
          <w:szCs w:val="21"/>
        </w:rPr>
        <w:t xml:space="preserve"/>
      </w:r>
    </w:p>
    <w:p>
      <w:pPr>
        <w:pStyle w:val="Heading1"/>
        <w:spacing w:after="160" w:before="320"/>
      </w:pPr>
      <w:r>
        <w:rPr>
          <w:rFonts w:ascii="Arial" w:cs="Arial" w:eastAsia="Arial" w:hAnsi="Arial"/>
        </w:rPr>
        <w:t xml:space="preserve">6. Summary</w:t>
      </w:r>
    </w:p>
    <w:p>
      <w:pPr>
        <w:spacing w:after="160"/>
      </w:pPr>
      <w:r>
        <w:rPr>
          <w:rFonts w:ascii="Arial" w:cs="Arial" w:eastAsia="Arial" w:hAnsi="Arial"/>
          <w:sz w:val="21"/>
          <w:szCs w:val="21"/>
        </w:rPr>
        <w:t xml:space="preserve">The hackathon brief itself demands that every step “run as a real, inspectable piece of logic, not a single prompt dressed up to look structured.” That requirement starts with data continuity (B1, B2, B3): a researcher cannot trust a visually polished trail if the candidate discussed in the pipeline is not the candidate scored in the evaluation table or drawn in the diagram. Visual-hierarchy and interaction polish (A1–A5) only become meaningful once that continuity holds, and researcher-specific usability (C1–C4) is what turns a one-time demo screen into a tool a researcher would actually keep using.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82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2026-07-04T11:33:05.400Z</dcterms:created>
  <dcterms:modified xsi:type="dcterms:W3CDTF">2026-07-04T11:33:05.400Z</dcterms:modified>
</cp:coreProperties>
</file>

<file path=docProps/custom.xml><?xml version="1.0" encoding="utf-8"?>
<Properties xmlns="http://schemas.openxmlformats.org/officeDocument/2006/custom-properties" xmlns:vt="http://schemas.openxmlformats.org/officeDocument/2006/docPropsVTypes"/>
</file>