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18"/>
          <w:szCs w:val="18"/>
        </w:rPr>
        <w:t xml:space="preserve">midnight</w:t>
      </w:r>
    </w:p>
    <w:p>
      <w:pPr>
        <w:pBdr>
          <w:bottom w:val="single" w:color="1A1A2E" w:sz="4" w:space="8"/>
        </w:pBdr>
        <w:spacing w:after="80"/>
      </w:pPr>
      <w:r>
        <w:rPr>
          <w:rFonts w:ascii="Arial" w:cs="Arial" w:eastAsia="Arial" w:hAnsi="Arial"/>
          <w:b/>
          <w:bCs/>
          <w:color w:val="1A1A2E"/>
          <w:sz w:val="36"/>
          <w:szCs w:val="36"/>
        </w:rPr>
        <w:t xml:space="preserve">Transaction Profile Data Request</w:t>
      </w:r>
    </w:p>
    <w:p>
      <w:pPr>
        <w:spacing w:after="20"/>
      </w:pPr>
      <w:r>
        <w:rPr>
          <w:rFonts w:ascii="Arial" w:cs="Arial" w:eastAsia="Arial" w:hAnsi="Arial"/>
          <w:color w:val="666666"/>
          <w:sz w:val="22"/>
          <w:szCs w:val="22"/>
        </w:rPr>
        <w:t xml:space="preserve">For: Protocol Engineering &amp; External Partners</w:t>
      </w:r>
    </w:p>
    <w:p>
      <w:pPr>
        <w:spacing w:after="20"/>
      </w:pPr>
      <w:r>
        <w:rPr>
          <w:rFonts w:ascii="Arial" w:cs="Arial" w:eastAsia="Arial" w:hAnsi="Arial"/>
          <w:color w:val="666666"/>
          <w:sz w:val="22"/>
          <w:szCs w:val="22"/>
        </w:rPr>
        <w:t xml:space="preserve">From: Solutions / Business Development</w:t>
      </w:r>
    </w:p>
    <w:p>
      <w:pPr>
        <w:spacing w:after="320"/>
      </w:pPr>
      <w:r>
        <w:rPr>
          <w:rFonts w:ascii="Arial" w:cs="Arial" w:eastAsia="Arial" w:hAnsi="Arial"/>
          <w:color w:val="666666"/>
          <w:sz w:val="22"/>
          <w:szCs w:val="22"/>
        </w:rPr>
        <w:t xml:space="preserve">Purpose: DApp Operator DUST Budget Planning Guide</w:t>
      </w:r>
    </w:p>
    <w:p>
      <w:pPr>
        <w:pStyle w:val="Heading1"/>
        <w:spacing w:after="120" w:before="360"/>
      </w:pPr>
      <w:r>
        <w:rPr>
          <w:rFonts w:ascii="Arial" w:cs="Arial" w:eastAsia="Arial" w:hAnsi="Arial"/>
          <w:b/>
          <w:bCs/>
          <w:color w:val="1A1A2E"/>
          <w:sz w:val="28"/>
          <w:szCs w:val="28"/>
        </w:rPr>
        <w:t xml:space="preserve">Context</w:t>
      </w:r>
    </w:p>
    <w:p>
      <w:pPr>
        <w:spacing w:after="120" w:line="276"/>
      </w:pPr>
      <w:r>
        <w:rPr>
          <w:rFonts w:ascii="Arial" w:cs="Arial" w:eastAsia="Arial" w:hAnsi="Arial"/>
          <w:color w:val="444444"/>
          <w:sz w:val="21"/>
          <w:szCs w:val="21"/>
        </w:rPr>
        <w:t xml:space="preserve">We are building a DUST budgeting guide and calculator for DApp operators to estimate the NIGHT holdings they need to sustain their operations on Midnight. The tool uses the cost model, pricing engine, and DUST generation parameters to model fee costs and translate them into NIGHT requirements.</w:t>
      </w:r>
    </w:p>
    <w:p>
      <w:pPr>
        <w:spacing w:after="120" w:line="276"/>
      </w:pPr>
      <w:r>
        <w:rPr>
          <w:rFonts w:ascii="Arial" w:cs="Arial" w:eastAsia="Arial" w:hAnsi="Arial"/>
          <w:color w:val="444444"/>
          <w:sz w:val="21"/>
          <w:szCs w:val="21"/>
        </w:rPr>
        <w:t xml:space="preserve">We have the full fee computation pipeline implemented from the cost model whitepaper and initial ledger parameters (Appendix 2). What we need now are reference SyntheticCost vectors for common transaction types so operators can select a profile that matches their use case rather than constructing cost vectors from scratch.</w:t>
      </w:r>
    </w:p>
    <w:p>
      <w:pPr>
        <w:pStyle w:val="Heading1"/>
        <w:spacing w:after="120" w:before="360"/>
      </w:pPr>
      <w:r>
        <w:rPr>
          <w:rFonts w:ascii="Arial" w:cs="Arial" w:eastAsia="Arial" w:hAnsi="Arial"/>
          <w:b/>
          <w:bCs/>
          <w:color w:val="1A1A2E"/>
          <w:sz w:val="28"/>
          <w:szCs w:val="28"/>
        </w:rPr>
        <w:t xml:space="preserve">What We Need</w:t>
      </w:r>
    </w:p>
    <w:p>
      <w:pPr>
        <w:pStyle w:val="Heading2"/>
        <w:spacing w:after="80" w:before="240"/>
      </w:pPr>
      <w:r>
        <w:rPr>
          <w:rFonts w:ascii="Arial" w:cs="Arial" w:eastAsia="Arial" w:hAnsi="Arial"/>
          <w:b/>
          <w:bCs/>
          <w:color w:val="333333"/>
          <w:sz w:val="24"/>
          <w:szCs w:val="24"/>
        </w:rPr>
        <w:t xml:space="preserve">1. Reference Transaction Profiles</w:t>
      </w:r>
    </w:p>
    <w:p>
      <w:pPr>
        <w:spacing w:after="120" w:line="276"/>
      </w:pPr>
      <w:r>
        <w:rPr>
          <w:rFonts w:ascii="Arial" w:cs="Arial" w:eastAsia="Arial" w:hAnsi="Arial"/>
          <w:color w:val="444444"/>
          <w:sz w:val="21"/>
          <w:szCs w:val="21"/>
        </w:rPr>
        <w:t xml:space="preserve">For each of the transaction types listed below, we need the five-dimensional SyntheticCost vector as it would be computed by the ledger. These should reflect typical/representative instances, not worst-case or minimum-case.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compute_time (ps)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read_time (ps)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block_usage (B)</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bytes_written (B)</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bytes_churned (B)</w:t>
            </w:r>
          </w:p>
        </w:tc>
        <w:tc>
          <w:tcPr>
            <w:tcW w:type="dxa" w:w="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unshielded NIGHT transfer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ZK proof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Shielded DUST transfer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proof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deployment (small)</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 Compact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call (read-heavy)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Multiple state reads, 1 proof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call (write-heavy)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Multiple state updates, 1 proof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Shielded token swap (ZSwap)</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Atomic swap w/ proofs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DApp interaction (typical)</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999999"/>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DEX trade, lending</w:t>
            </w:r>
          </w:p>
        </w:tc>
      </w:tr>
    </w:tbl>
    <w:p>
      <w:pPr>
        <w:spacing w:after="120" w:line="276"/>
      </w:pPr>
      <w:r>
        <w:rPr>
          <w:rFonts w:ascii="Arial" w:cs="Arial" w:eastAsia="Arial" w:hAnsi="Arial"/>
          <w:color w:val="444444"/>
          <w:sz w:val="21"/>
          <w:szCs w:val="21"/>
        </w:rPr>
        <w:t xml:space="preserve"/>
      </w:r>
    </w:p>
    <w:p>
      <w:pPr>
        <w:spacing w:after="120" w:line="276"/>
      </w:pPr>
      <w:r>
        <w:rPr>
          <w:rFonts w:ascii="Arial" w:cs="Arial" w:eastAsia="Arial" w:hAnsi="Arial"/>
          <w:color w:val="444444"/>
          <w:sz w:val="21"/>
          <w:szCs w:val="21"/>
        </w:rPr>
        <w:t xml:space="preserve">Yellow cells = data needed. If exact values are unavailable, provide the order of magnitude with a confidence qualifier (e.g., "~50ms compute, +/- 20%"). Even rough estimates are far better than no data.</w:t>
      </w:r>
    </w:p>
    <w:p>
      <w:pPr>
        <w:pStyle w:val="Heading2"/>
        <w:spacing w:after="80" w:before="240"/>
      </w:pPr>
      <w:r>
        <w:rPr>
          <w:rFonts w:ascii="Arial" w:cs="Arial" w:eastAsia="Arial" w:hAnsi="Arial"/>
          <w:b/>
          <w:bCs/>
          <w:color w:val="333333"/>
          <w:sz w:val="24"/>
          <w:szCs w:val="24"/>
        </w:rPr>
        <w:t xml:space="preserve">2. Clarification: Proof Verification Cost</w:t>
      </w:r>
    </w:p>
    <w:p>
      <w:pPr>
        <w:spacing w:after="120" w:line="276"/>
      </w:pPr>
      <w:r>
        <w:rPr>
          <w:rFonts w:ascii="Arial" w:cs="Arial" w:eastAsia="Arial" w:hAnsi="Arial"/>
          <w:color w:val="444444"/>
          <w:sz w:val="21"/>
          <w:szCs w:val="21"/>
        </w:rPr>
        <w:t xml:space="preserve">The benchmarked proof_verify_constant is ~5.825 seconds of modeled compute time. This exceeds the 1-second compute block limit even after dividing by the parallelism factor (4). We need to understand:</w:t>
      </w:r>
    </w:p>
    <w:p>
      <w:pPr>
        <w:pStyle w:val="ListParagraph"/>
        <w:numPr>
          <w:ilvl w:val="0"/>
          <w:numId w:val="2"/>
        </w:numPr>
        <w:spacing w:after="80" w:line="276"/>
      </w:pPr>
      <w:r>
        <w:rPr>
          <w:rFonts w:ascii="Arial" w:cs="Arial" w:eastAsia="Arial" w:hAnsi="Arial"/>
          <w:color w:val="444444"/>
          <w:sz w:val="21"/>
          <w:szCs w:val="21"/>
        </w:rPr>
        <w:t xml:space="preserve">Is proof verification computed within the same cost-modeled execution window as the guaranteed segment?</w:t>
      </w:r>
    </w:p>
    <w:p>
      <w:pPr>
        <w:pStyle w:val="ListParagraph"/>
        <w:numPr>
          <w:ilvl w:val="0"/>
          <w:numId w:val="2"/>
        </w:numPr>
        <w:spacing w:after="80" w:line="276"/>
      </w:pPr>
      <w:r>
        <w:rPr>
          <w:rFonts w:ascii="Arial" w:cs="Arial" w:eastAsia="Arial" w:hAnsi="Arial"/>
          <w:color w:val="444444"/>
          <w:sz w:val="21"/>
          <w:szCs w:val="21"/>
        </w:rPr>
        <w:t xml:space="preserve">Is there a separate verification budget outside the block compute limit?</w:t>
      </w:r>
    </w:p>
    <w:p>
      <w:pPr>
        <w:pStyle w:val="ListParagraph"/>
        <w:numPr>
          <w:ilvl w:val="0"/>
          <w:numId w:val="2"/>
        </w:numPr>
        <w:spacing w:after="120" w:line="276"/>
      </w:pPr>
      <w:r>
        <w:rPr>
          <w:rFonts w:ascii="Arial" w:cs="Arial" w:eastAsia="Arial" w:hAnsi="Arial"/>
          <w:color w:val="444444"/>
          <w:sz w:val="21"/>
          <w:szCs w:val="21"/>
        </w:rPr>
        <w:t xml:space="preserve">What is the effective compute cost of proof verification as seen by the SyntheticCost? (This is the single biggest factor in per-TX fees.)</w:t>
      </w:r>
    </w:p>
    <w:p>
      <w:pPr>
        <w:pStyle w:val="Heading2"/>
        <w:spacing w:after="80" w:before="240"/>
      </w:pPr>
      <w:r>
        <w:rPr>
          <w:rFonts w:ascii="Arial" w:cs="Arial" w:eastAsia="Arial" w:hAnsi="Arial"/>
          <w:b/>
          <w:bCs/>
          <w:color w:val="333333"/>
          <w:sz w:val="24"/>
          <w:szCs w:val="24"/>
        </w:rPr>
        <w:t xml:space="preserve">3. Blocktime (Confirmed)</w:t>
      </w:r>
    </w:p>
    <w:p>
      <w:pPr>
        <w:spacing w:after="120" w:line="276"/>
      </w:pPr>
      <w:r>
        <w:rPr>
          <w:rFonts w:ascii="Arial" w:cs="Arial" w:eastAsia="Arial" w:hAnsi="Arial"/>
          <w:color w:val="444444"/>
          <w:sz w:val="21"/>
          <w:szCs w:val="21"/>
        </w:rPr>
        <w:t xml:space="preserve">Blocktime is confirmed at 6 seconds. This has been incorporated into the calculator (14,400 blocks/day). No action needed.</w:t>
      </w:r>
    </w:p>
    <w:p>
      <w:pPr>
        <w:pStyle w:val="Heading2"/>
        <w:spacing w:after="80" w:before="240"/>
      </w:pPr>
      <w:r>
        <w:rPr>
          <w:rFonts w:ascii="Arial" w:cs="Arial" w:eastAsia="Arial" w:hAnsi="Arial"/>
          <w:b/>
          <w:bCs/>
          <w:color w:val="333333"/>
          <w:sz w:val="24"/>
          <w:szCs w:val="24"/>
        </w:rPr>
        <w:t xml:space="preserve">4. Typical Transaction Sizes (bytes)</w:t>
      </w:r>
    </w:p>
    <w:p>
      <w:pPr>
        <w:spacing w:after="120" w:line="276"/>
      </w:pPr>
      <w:r>
        <w:rPr>
          <w:rFonts w:ascii="Arial" w:cs="Arial" w:eastAsia="Arial" w:hAnsi="Arial"/>
          <w:color w:val="444444"/>
          <w:sz w:val="21"/>
          <w:szCs w:val="21"/>
        </w:rPr>
        <w:t xml:space="preserve">For block_usage normalization, we need typical serialized transaction sizes for the profiles above. Specifically:</w:t>
      </w:r>
    </w:p>
    <w:p>
      <w:pPr>
        <w:pStyle w:val="ListParagraph"/>
        <w:numPr>
          <w:ilvl w:val="0"/>
          <w:numId w:val="2"/>
        </w:numPr>
        <w:spacing w:after="80" w:line="276"/>
      </w:pPr>
      <w:r>
        <w:rPr>
          <w:rFonts w:ascii="Arial" w:cs="Arial" w:eastAsia="Arial" w:hAnsi="Arial"/>
          <w:color w:val="444444"/>
          <w:sz w:val="21"/>
          <w:szCs w:val="21"/>
        </w:rPr>
        <w:t xml:space="preserve">Approximate size (bytes) of a serialized shielded transfer with 1 Groth16 proof</w:t>
      </w:r>
    </w:p>
    <w:p>
      <w:pPr>
        <w:pStyle w:val="ListParagraph"/>
        <w:numPr>
          <w:ilvl w:val="0"/>
          <w:numId w:val="2"/>
        </w:numPr>
        <w:spacing w:after="80" w:line="276"/>
      </w:pPr>
      <w:r>
        <w:rPr>
          <w:rFonts w:ascii="Arial" w:cs="Arial" w:eastAsia="Arial" w:hAnsi="Arial"/>
          <w:color w:val="444444"/>
          <w:sz w:val="21"/>
          <w:szCs w:val="21"/>
        </w:rPr>
        <w:t xml:space="preserve">Approximate size of a typical contract interaction (call + proof + state transition)</w:t>
      </w:r>
    </w:p>
    <w:p>
      <w:pPr>
        <w:pStyle w:val="ListParagraph"/>
        <w:numPr>
          <w:ilvl w:val="0"/>
          <w:numId w:val="2"/>
        </w:numPr>
        <w:spacing w:after="120" w:line="276"/>
      </w:pPr>
      <w:r>
        <w:rPr>
          <w:rFonts w:ascii="Arial" w:cs="Arial" w:eastAsia="Arial" w:hAnsi="Arial"/>
          <w:color w:val="444444"/>
          <w:sz w:val="21"/>
          <w:szCs w:val="21"/>
        </w:rPr>
        <w:t xml:space="preserve">Approximate size of a contract deployment</w:t>
      </w:r>
    </w:p>
    <w:p>
      <w:pPr>
        <w:pStyle w:val="Heading2"/>
        <w:spacing w:after="80" w:before="240"/>
      </w:pPr>
      <w:r>
        <w:rPr>
          <w:rFonts w:ascii="Arial" w:cs="Arial" w:eastAsia="Arial" w:hAnsi="Arial"/>
          <w:b/>
          <w:bCs/>
          <w:color w:val="333333"/>
          <w:sz w:val="24"/>
          <w:szCs w:val="24"/>
        </w:rPr>
        <w:t xml:space="preserve">5. Storage Churn Relevance</w:t>
      </w:r>
    </w:p>
    <w:p>
      <w:pPr>
        <w:spacing w:after="120" w:line="276"/>
      </w:pPr>
      <w:r>
        <w:rPr>
          <w:rFonts w:ascii="Arial" w:cs="Arial" w:eastAsia="Arial" w:hAnsi="Arial"/>
          <w:color w:val="444444"/>
          <w:sz w:val="21"/>
          <w:szCs w:val="21"/>
        </w:rPr>
        <w:t xml:space="preserve">Is bytes_churned a meaningful cost contributor for typical DApp transactions, or is it primarily relevant for contract deployments and state migrations? This helps us decide whether to surface it prominently in the operator guide or treat it as an edge-case parameter.</w:t>
      </w:r>
    </w:p>
    <w:p>
      <w:r>
        <w:br w:type="page"/>
      </w:r>
    </w:p>
    <w:p>
      <w:pPr>
        <w:pStyle w:val="Heading1"/>
        <w:spacing w:after="120" w:before="360"/>
      </w:pPr>
      <w:r>
        <w:rPr>
          <w:rFonts w:ascii="Arial" w:cs="Arial" w:eastAsia="Arial" w:hAnsi="Arial"/>
          <w:b/>
          <w:bCs/>
          <w:color w:val="1A1A2E"/>
          <w:sz w:val="28"/>
          <w:szCs w:val="28"/>
        </w:rPr>
        <w:t xml:space="preserve">What We Already Have</w:t>
      </w:r>
    </w:p>
    <w:p>
      <w:pPr>
        <w:spacing w:after="120" w:line="276"/>
      </w:pPr>
      <w:r>
        <w:rPr>
          <w:rFonts w:ascii="Arial" w:cs="Arial" w:eastAsia="Arial" w:hAnsi="Arial"/>
          <w:color w:val="444444"/>
          <w:sz w:val="21"/>
          <w:szCs w:val="21"/>
        </w:rPr>
        <w:t xml:space="preserve">For reference, the calculator and guide already incorporate the following confirmed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 per NIGHT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DUST / ~7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(INITIAL_DUST_PARAMETERS)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Generation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8,267 SPECK/STAR/sec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(generation_decay_rate)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price (initial)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(FeePrices)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dimensional factors (initial)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(FeePrices)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Compute block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second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 read block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second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Block usage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200,000 bytes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writes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50,000 bytes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 churn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1,000,000 bytes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(INITIAL_LIMITS)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adjustment 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±4.595% / block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 (price_adjustment)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Sensitivity parameter (a)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fullness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model whitepaper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 dimensional ratio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MIN_COST floor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(fixed-point)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dust_params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Blocktime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seconds (14,400 blocks/day)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formula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 × (max(C,IO,BU) + W + 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model whitepaper §6.8</w:t>
            </w:r>
          </w:p>
        </w:tc>
      </w:tr>
    </w:tbl>
    <w:p>
      <w:pPr>
        <w:spacing w:after="120" w:line="276"/>
      </w:pPr>
      <w:r>
        <w:rPr>
          <w:rFonts w:ascii="Arial" w:cs="Arial" w:eastAsia="Arial" w:hAnsi="Arial"/>
          <w:color w:val="444444"/>
          <w:sz w:val="21"/>
          <w:szCs w:val="21"/>
        </w:rPr>
        <w:t xml:space="preserve"/>
      </w:r>
    </w:p>
    <w:p>
      <w:pPr>
        <w:pStyle w:val="Heading1"/>
        <w:spacing w:after="120" w:before="360"/>
      </w:pPr>
      <w:r>
        <w:rPr>
          <w:rFonts w:ascii="Arial" w:cs="Arial" w:eastAsia="Arial" w:hAnsi="Arial"/>
          <w:b/>
          <w:bCs/>
          <w:color w:val="1A1A2E"/>
          <w:sz w:val="28"/>
          <w:szCs w:val="28"/>
        </w:rPr>
        <w:t xml:space="preserve">Priority &amp; Timeline</w:t>
      </w:r>
    </w:p>
    <w:p>
      <w:pPr>
        <w:spacing w:after="120" w:line="276"/>
      </w:pPr>
      <w:r>
        <w:rPr>
          <w:rFonts w:ascii="Arial" w:cs="Arial" w:eastAsia="Arial" w:hAnsi="Arial"/>
          <w:color w:val="444444"/>
          <w:sz w:val="21"/>
          <w:szCs w:val="21"/>
        </w:rPr>
        <w:t xml:space="preserve">The reference transaction profiles (Item 1) and proof verification clarification (Item 2) are the highest-priority items. Without these, the guide can only provide a parametric calculator where operators input their own cost vectors, which dramatically reduces usability for non-technical DApp teams.</w:t>
      </w:r>
    </w:p>
    <w:p>
      <w:pPr>
        <w:spacing w:after="120" w:line="276"/>
      </w:pPr>
      <w:r>
        <w:rPr>
          <w:rFonts w:ascii="Arial" w:cs="Arial" w:eastAsia="Arial" w:hAnsi="Arial"/>
          <w:color w:val="444444"/>
          <w:sz w:val="21"/>
          <w:szCs w:val="21"/>
        </w:rPr>
        <w:t xml:space="preserve">If full SyntheticCost vectors are difficult to produce quickly, even providing 2–3 worked examples from testnet/devnet transaction logs would let us calibrate realistic default profiles.</w:t>
      </w:r>
    </w:p>
    <w:p>
      <w:pPr>
        <w:spacing w:after="120" w:line="276"/>
      </w:pPr>
      <w:r>
        <w:rPr>
          <w:rFonts w:ascii="Arial" w:cs="Arial" w:eastAsia="Arial" w:hAnsi="Arial"/>
          <w:color w:val="444444"/>
          <w:sz w:val="21"/>
          <w:szCs w:val="21"/>
        </w:rPr>
        <w:t xml:space="preserve">Items 4–5 (transaction sizes and storage churn relevance) improve accuracy but are not blocking. We can ship with conservative assumptions for these.</w:t>
      </w:r>
    </w:p>
    <w:p>
      <w:pPr>
        <w:pStyle w:val="Heading1"/>
        <w:spacing w:after="120" w:before="360"/>
      </w:pPr>
      <w:r>
        <w:rPr>
          <w:rFonts w:ascii="Arial" w:cs="Arial" w:eastAsia="Arial" w:hAnsi="Arial"/>
          <w:b/>
          <w:bCs/>
          <w:color w:val="1A1A2E"/>
          <w:sz w:val="28"/>
          <w:szCs w:val="28"/>
        </w:rPr>
        <w:t xml:space="preserve">Preferred Response Format</w:t>
      </w:r>
    </w:p>
    <w:p>
      <w:pPr>
        <w:spacing w:after="120" w:line="276"/>
      </w:pPr>
      <w:r>
        <w:rPr>
          <w:rFonts w:ascii="Arial" w:cs="Arial" w:eastAsia="Arial" w:hAnsi="Arial"/>
          <w:color w:val="444444"/>
          <w:sz w:val="21"/>
          <w:szCs w:val="21"/>
        </w:rPr>
        <w:t xml:space="preserve">For the SyntheticCost vectors, any of the following formats work: a table matching the one above, a JSON/Rust struct dump, or raw values from testnet transaction inspection. We can normalize from any format. If providing testnet data, please include the transaction hash so we can cross-reference.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2026-03-12T21:11:16.056Z</dcterms:created>
  <dcterms:modified xsi:type="dcterms:W3CDTF">2026-03-12T21:11:16.057Z</dcterms:modified>
</cp:coreProperties>
</file>

<file path=docProps/custom.xml><?xml version="1.0" encoding="utf-8"?>
<Properties xmlns="http://schemas.openxmlformats.org/officeDocument/2006/custom-properties" xmlns:vt="http://schemas.openxmlformats.org/officeDocument/2006/docPropsVTypes"/>
</file>