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Applied Software Project Report</w:t>
      </w:r>
      <w:r w:rsidDel="00000000" w:rsidR="00000000" w:rsidRPr="00000000">
        <w:drawing>
          <wp:anchor allowOverlap="1" behindDoc="0" distB="114300" distT="114300" distL="114300" distR="114300" hidden="0" layoutInCell="1" locked="0" relativeHeight="0" simplePos="0">
            <wp:simplePos x="0" y="0"/>
            <wp:positionH relativeFrom="column">
              <wp:posOffset>1962150</wp:posOffset>
            </wp:positionH>
            <wp:positionV relativeFrom="paragraph">
              <wp:posOffset>114300</wp:posOffset>
            </wp:positionV>
            <wp:extent cx="2014538" cy="1055695"/>
            <wp:effectExtent b="0" l="0" r="0" t="0"/>
            <wp:wrapTopAndBottom distB="114300" distT="11430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014538" cy="105569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Pr>
          <w:b/>
        </w:rPr>
        <w:t xml:space="preserve">Foodly – A Microservices-Based Food Delivery Platform</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w:t>
      </w:r>
    </w:p>
    <w:p w:rsidR="00000000" w:rsidDel="00000000" w:rsidP="00000000" w:rsidRDefault="00000000" w:rsidRPr="00000000" w14:paraId="00000004">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Ajay Babu Mandarapu</w:t>
      </w:r>
    </w:p>
    <w:p w:rsidR="00000000" w:rsidDel="00000000" w:rsidP="00000000" w:rsidRDefault="00000000" w:rsidRPr="00000000" w14:paraId="00000007">
      <w:pPr>
        <w:ind w:left="-3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Master’s Project Report submitted to Scaler Neovarsity - Woolf in partial fulfillment of the requirements for the degree of Master of Science in Computer Science</w:t>
      </w:r>
    </w:p>
    <w:p w:rsidR="00000000" w:rsidDel="00000000" w:rsidP="00000000" w:rsidRDefault="00000000" w:rsidRPr="00000000" w14:paraId="0000000A">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June 2026</w:t>
      </w:r>
    </w:p>
    <w:p w:rsidR="00000000" w:rsidDel="00000000" w:rsidP="00000000" w:rsidRDefault="00000000" w:rsidRPr="00000000" w14:paraId="0000000C">
      <w:pPr>
        <w:spacing w:line="360" w:lineRule="auto"/>
        <w:ind w:left="-360" w:firstLine="0"/>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161925</wp:posOffset>
            </wp:positionV>
            <wp:extent cx="2209800" cy="1243013"/>
            <wp:effectExtent b="0" l="0" r="0" t="0"/>
            <wp:wrapTopAndBottom distB="114300" distT="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209800" cy="1243013"/>
                    </a:xfrm>
                    <a:prstGeom prst="rect"/>
                    <a:ln/>
                  </pic:spPr>
                </pic:pic>
              </a:graphicData>
            </a:graphic>
          </wp:anchor>
        </w:drawing>
      </w:r>
    </w:p>
    <w:p w:rsidR="00000000" w:rsidDel="00000000" w:rsidP="00000000" w:rsidRDefault="00000000" w:rsidRPr="00000000" w14:paraId="0000000D">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Scaler Mentee Email ID : mbsajay@gmail.com</w:t>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0E">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Supervisor : </w:t>
      </w:r>
      <w:r w:rsidDel="00000000" w:rsidR="00000000" w:rsidRPr="00000000">
        <w:rPr>
          <w:rFonts w:ascii="Times New Roman" w:cs="Times New Roman" w:eastAsia="Times New Roman" w:hAnsi="Times New Roman"/>
          <w:sz w:val="24"/>
          <w:szCs w:val="24"/>
          <w:rtl w:val="0"/>
        </w:rPr>
        <w:t xml:space="preserve">Naman Bhalla</w:t>
      </w:r>
      <w:r w:rsidDel="00000000" w:rsidR="00000000" w:rsidRPr="00000000">
        <w:rPr>
          <w:rtl w:val="0"/>
        </w:rPr>
      </w:r>
    </w:p>
    <w:p w:rsidR="00000000" w:rsidDel="00000000" w:rsidP="00000000" w:rsidRDefault="00000000" w:rsidRPr="00000000" w14:paraId="0000000F">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Date of Submission : 30/05/2026</w:t>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1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Certification</w:t>
      </w:r>
    </w:p>
    <w:p w:rsidR="00000000" w:rsidDel="00000000" w:rsidP="00000000" w:rsidRDefault="00000000" w:rsidRPr="00000000" w14:paraId="00000017">
      <w:pPr>
        <w:spacing w:line="36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000000" w:rsidDel="00000000" w:rsidP="00000000" w:rsidRDefault="00000000" w:rsidRPr="00000000" w14:paraId="0000001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21">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Guide / Supervisor</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DECLARATION</w:t>
      </w:r>
    </w:p>
    <w:p w:rsidR="00000000" w:rsidDel="00000000" w:rsidP="00000000" w:rsidRDefault="00000000" w:rsidRPr="00000000" w14:paraId="00000032">
      <w:pPr>
        <w:spacing w:line="360" w:lineRule="auto"/>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 confirm that this project report, submitted to fulfill the requirements for the Master of Science in Computer Science degree, completed by me from 1 May 2026 to 30 May 2026,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3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Ajay Babu Mandarapu</w:t>
      </w:r>
    </w:p>
    <w:p w:rsidR="00000000" w:rsidDel="00000000" w:rsidP="00000000" w:rsidRDefault="00000000" w:rsidRPr="00000000" w14:paraId="0000004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3">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Ajay Babu Mandarapu                                                                       Date: 30 May 2026</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b w:val="1"/>
          <w:bCs w:val="1"/>
          <w:color w:val="ff0000"/>
          <w:sz w:val="24"/>
          <w:szCs w:val="24"/>
          <w:rtl w:val="0"/>
        </w:rPr>
      </w:r>
    </w:p>
    <w:p w:rsidR="00000000" w:rsidDel="00000000" w:rsidP="00000000" w:rsidRDefault="00000000" w:rsidRPr="00000000" w14:paraId="0000004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ACKNOWLEDGMENT</w:t>
      </w:r>
    </w:p>
    <w:p w:rsidR="00000000" w:rsidDel="00000000" w:rsidP="00000000" w:rsidRDefault="00000000" w:rsidRPr="00000000" w14:paraId="0000004A">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I would like to express my sincere gratitude to my project supervisor, Naman Bhalla, whose expert guidance, patient feedback, and steady encouragement shaped both the design and the execution of this project. I am deeply thankful to the instructors at Scaler Neovarsity for the rigorous Backend Specialization curriculum, which gave me the foundation to attempt a project of this scope. I owe a special debt of thanks to my family for their unwavering support throughout the program — without their understanding through many late nights, this work would not have been possible. Finally, I thank my peers at Scaler whose discussions and code reviews helped sharpen my engineering judgment, and the broader open-source community whose excellent documentation for Spring Boot, Apache Kafka, and PostgreSQL made deep learning practical.</w:t>
      </w:r>
    </w:p>
    <w:p w:rsidR="00000000" w:rsidDel="00000000" w:rsidP="00000000" w:rsidRDefault="00000000" w:rsidRPr="00000000" w14:paraId="0000004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6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sdt>
      <w:sdtPr>
        <w:id w:val="32388966"/>
        <w:docPartObj>
          <w:docPartGallery w:val="Table of Contents"/>
          <w:docPartUnique w:val="1"/>
        </w:docPartObj>
      </w:sdtPr>
      <w:sdtContent>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nnr2lniv9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Tables</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u1gc9w3iua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Figures</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cf8683b1w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Applied Software Project</w:t>
              <w:tab/>
              <w:t xml:space="preserve">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7c7bghlz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5fx61h0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Description</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agy45av5k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 Gathering</w:t>
              <w:tab/>
              <w:t xml:space="preserve">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f4h831fm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Diagrams</w:t>
              <w:tab/>
              <w:t xml:space="preserve">9</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qs8nkbe6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Schema Design</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mfl8dwb9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Development Process</w:t>
              <w:tab/>
              <w:t xml:space="preserve">11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k44ad33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Deployment Flow</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68bn10ag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Technologies Used</w:t>
              <w:tab/>
              <w:t xml:space="preserve">12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46wt6rx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0iyzog9l95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8">
      <w:pPr>
        <w:pStyle w:val="Heading2"/>
        <w:spacing w:line="360" w:lineRule="auto"/>
        <w:ind w:left="-360" w:firstLine="0"/>
        <w:jc w:val="center"/>
        <w:rPr>
          <w:rFonts w:ascii="Times New Roman" w:cs="Times New Roman" w:eastAsia="Times New Roman" w:hAnsi="Times New Roman"/>
          <w:sz w:val="28"/>
          <w:szCs w:val="28"/>
        </w:rPr>
      </w:pPr>
      <w:bookmarkStart w:colFirst="0" w:colLast="0" w:name="_9nnr2lniv90f" w:id="0"/>
      <w:bookmarkEnd w:id="0"/>
      <w:r w:rsidDel="00000000" w:rsidR="00000000" w:rsidRPr="00000000">
        <w:rPr>
          <w:rFonts w:ascii="Times New Roman" w:cs="Times New Roman" w:eastAsia="Times New Roman" w:hAnsi="Times New Roman"/>
          <w:sz w:val="28"/>
          <w:szCs w:val="28"/>
          <w:rtl w:val="0"/>
        </w:rPr>
        <w:t xml:space="preserve">List of Tables</w:t>
      </w:r>
    </w:p>
    <w:p w:rsidR="00000000" w:rsidDel="00000000" w:rsidP="00000000" w:rsidRDefault="00000000" w:rsidRPr="00000000" w14:paraId="00000089">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written sequentially as they appear in the text)</w:t>
      </w:r>
    </w:p>
    <w:p w:rsidR="00000000" w:rsidDel="00000000" w:rsidP="00000000" w:rsidRDefault="00000000" w:rsidRPr="00000000" w14:paraId="0000008A">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Table 1.1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Kafka event catalogue (choreography contract)</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Table 1.2</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Primary actors and their core use cases</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Table 1.3</w:t>
            </w:r>
          </w:p>
        </w:tc>
        <w:tc>
          <w:tcPr>
            <w:tcW w:type="dxa" w:w="6180"/>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Foodly feature set with curriculum mapping</w:t>
            </w:r>
          </w:p>
        </w:tc>
        <w:tc>
          <w:tcPr>
            <w:tcW w:type="dxa" w:w="190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Table 4.1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Test suites by module</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Table 4.2</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REST API reference</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bl>
    <w:p w:rsidR="00000000" w:rsidDel="00000000" w:rsidP="00000000" w:rsidRDefault="00000000" w:rsidRPr="00000000" w14:paraId="0000009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3">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F">
      <w:pPr>
        <w:pStyle w:val="Heading2"/>
        <w:spacing w:line="360" w:lineRule="auto"/>
        <w:jc w:val="center"/>
        <w:rPr>
          <w:rFonts w:ascii="Times New Roman" w:cs="Times New Roman" w:eastAsia="Times New Roman" w:hAnsi="Times New Roman"/>
          <w:sz w:val="28"/>
          <w:szCs w:val="28"/>
        </w:rPr>
      </w:pPr>
      <w:bookmarkStart w:colFirst="0" w:colLast="0" w:name="_ju1gc9w3iuai" w:id="1"/>
      <w:bookmarkEnd w:id="1"/>
      <w:r w:rsidDel="00000000" w:rsidR="00000000" w:rsidRPr="00000000">
        <w:rPr>
          <w:rFonts w:ascii="Times New Roman" w:cs="Times New Roman" w:eastAsia="Times New Roman" w:hAnsi="Times New Roman"/>
          <w:sz w:val="28"/>
          <w:szCs w:val="28"/>
          <w:rtl w:val="0"/>
        </w:rPr>
        <w:t xml:space="preserve">List of Figures</w:t>
      </w:r>
    </w:p>
    <w:p w:rsidR="00000000" w:rsidDel="00000000" w:rsidP="00000000" w:rsidRDefault="00000000" w:rsidRPr="00000000" w14:paraId="000000B0">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(List of Images, Graphs, Charts sequentially as they appear in the text)</w:t>
      </w:r>
    </w:p>
    <w:p w:rsidR="00000000" w:rsidDel="00000000" w:rsidP="00000000" w:rsidRDefault="00000000" w:rsidRPr="00000000" w14:paraId="000000B1">
      <w:pPr>
        <w:spacing w:line="36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2">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Figure 1.1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Foodly high-level system architecture</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Figure 2.1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restaurant-service class diagram</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Figure 2.2</w:t>
            </w:r>
          </w:p>
        </w:tc>
        <w:tc>
          <w:tcPr>
            <w:tcW w:type="dxa" w:w="6180"/>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order-service state machine</w:t>
            </w:r>
          </w:p>
        </w:tc>
        <w:tc>
          <w:tcPr>
            <w:tcW w:type="dxa" w:w="190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Figure 3.1</w:t>
            </w:r>
          </w:p>
        </w:tc>
        <w:tc>
          <w:tcPr>
            <w:tcW w:type="dxa" w:w="6180"/>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Entity-relationship view across the five databases</w:t>
            </w:r>
          </w:p>
        </w:tc>
        <w:tc>
          <w:tcPr>
            <w:tcW w:type="dxa" w:w="190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Figure 4.1</w:t>
            </w:r>
          </w:p>
        </w:tc>
        <w:tc>
          <w:tcPr>
            <w:tcW w:type="dxa" w:w="6180"/>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Order-placement choreography (sequence)</w:t>
            </w:r>
          </w:p>
        </w:tc>
        <w:tc>
          <w:tcPr>
            <w:tcW w:type="dxa" w:w="1905"/>
            <w:tcBorders>
              <w:top w:val="single" w:sz="4" w:color="000000"/>
              <w:left w:val="single" w:sz="4" w:color="000000"/>
              <w:bottom w:val="single" w:sz="4" w:color="000000"/>
              <w:right w:val="single" w:sz="4" w:color="000000"/>
            </w:tcBorders>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5.1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Local Docker Compose deployment topology</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bl>
    <w:p w:rsidR="00000000" w:rsidDel="00000000" w:rsidP="00000000" w:rsidRDefault="00000000" w:rsidRPr="00000000" w14:paraId="000000B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4">
      <w:pPr>
        <w:pStyle w:val="Heading2"/>
        <w:spacing w:line="360" w:lineRule="auto"/>
        <w:ind w:left="-360" w:firstLine="0"/>
        <w:jc w:val="center"/>
        <w:rPr>
          <w:rFonts w:ascii="Times New Roman" w:cs="Times New Roman" w:eastAsia="Times New Roman" w:hAnsi="Times New Roman"/>
          <w:sz w:val="28"/>
          <w:szCs w:val="28"/>
        </w:rPr>
      </w:pPr>
      <w:bookmarkStart w:colFirst="0" w:colLast="0" w:name="_b4cf8683b1wd" w:id="2"/>
      <w:bookmarkEnd w:id="2"/>
      <w:r w:rsidDel="00000000" w:rsidR="00000000" w:rsidRPr="00000000">
        <w:rPr>
          <w:rFonts w:ascii="Times New Roman" w:cs="Times New Roman" w:eastAsia="Times New Roman" w:hAnsi="Times New Roman"/>
          <w:sz w:val="28"/>
          <w:szCs w:val="28"/>
          <w:rtl w:val="0"/>
        </w:rPr>
        <w:t xml:space="preserve">Applied Software Project</w:t>
      </w:r>
      <w:r w:rsidDel="00000000" w:rsidR="00000000" w:rsidRPr="00000000">
        <w:rPr>
          <w:rtl w:val="0"/>
        </w:rPr>
      </w:r>
    </w:p>
    <w:p>
      <w:pPr>
        <w:pStyle w:val="Heading3"/>
        <w:spacing w:line="240" w:lineRule="auto" w:before="240" w:after="120"/>
        <w:jc w:val="left"/>
      </w:pPr>
      <w:r>
        <w:rPr>
          <w:rFonts w:ascii="Times New Roman" w:hAnsi="Times New Roman"/>
          <w:b/>
          <w:sz w:val="28"/>
        </w:rPr>
        <w:t>Abstract</w:t>
      </w:r>
    </w:p>
    <w:p>
      <w:pPr>
        <w:spacing w:line="360" w:lineRule="auto" w:after="120"/>
        <w:jc w:val="both"/>
      </w:pPr>
      <w:r>
        <w:rPr>
          <w:rFonts w:ascii="Times New Roman" w:hAnsi="Times New Roman"/>
          <w:sz w:val="24"/>
        </w:rPr>
        <w:t>This report documents the design, implementation, and local deployment of Foodly, a microservices-based food-delivery platform built as the applied capstone for the Master of Science in Computer Science (Backend Specialization) at Scaler Neovarsity – Woolf. Foodly mirrors the operational shape of platforms such as Swiggy and DoorDash: a customer signs up, browses restaurants, places an order, the order is paid for, a courier is dispatched, and the food is delivered — with a notification recorded at every step.</w:t>
      </w:r>
    </w:p>
    <w:p>
      <w:pPr>
        <w:spacing w:line="360" w:lineRule="auto" w:after="120"/>
        <w:jc w:val="both"/>
      </w:pPr>
      <w:r>
        <w:rPr>
          <w:rFonts w:ascii="Times New Roman" w:hAnsi="Times New Roman"/>
          <w:sz w:val="24"/>
        </w:rPr>
        <w:t>The system is decomposed into nine independently deployable Spring Boot services — user, restaurant, order, payment, delivery, and notification, fronted by an API gateway and supported by a Eureka service registry and a Spring Cloud config server. Services communicate synchronously over REST through the gateway and asynchronously over Apache Kafka (running in KRaft mode) for state propagation between bounded contexts. Each event type is its own topic, and events are carried as JSON strings so that producers and consumers stay loosely coupled. Persistence is handled with Spring Data JPA over a single PostgreSQL instance that hosts five logical databases — one per stateful service — with Flyway managing each schema.</w:t>
      </w:r>
    </w:p>
    <w:p>
      <w:pPr>
        <w:spacing w:line="360" w:lineRule="auto" w:after="120"/>
        <w:jc w:val="both"/>
      </w:pPr>
      <w:r>
        <w:rPr>
          <w:rFonts w:ascii="Times New Roman" w:hAnsi="Times New Roman"/>
          <w:sz w:val="24"/>
        </w:rPr>
        <w:t>Authentication is stateless and based on RS256-signed JSON Web Tokens. The user-service is the sole token issuer and holds the RSA private key; every other service is a Spring Security 6 OAuth2 resource server that validates tokens against a statically configured RSA public key distributed by the config server (not a JWKS endpoint). Payment settlement is modelled by an in-process payment gateway that charges synchronously when the order.placed event is consumed; a scheduled reconciliation job re-checks any payment left PENDING and converges local state with the gateway, writing an audit row for each correction. The codebase is verified by JUnit 5 / Mockito unit tests and a Testcontainers-backed repository integration test, and the entire stack is brought up locally with a single docker compose up, making the submission self-contained and reproducible.</w:t>
      </w:r>
    </w:p>
    <w:p>
      <w:pPr>
        <w:pStyle w:val="Heading3"/>
        <w:spacing w:line="240" w:lineRule="auto" w:before="240" w:after="120"/>
        <w:jc w:val="left"/>
      </w:pPr>
      <w:r>
        <w:rPr>
          <w:rFonts w:ascii="Times New Roman" w:hAnsi="Times New Roman"/>
          <w:b/>
          <w:sz w:val="28"/>
        </w:rPr>
        <w:t>Project Description</w:t>
      </w:r>
    </w:p>
    <w:p>
      <w:pPr>
        <w:spacing w:line="360" w:lineRule="auto" w:after="120"/>
        <w:jc w:val="both"/>
      </w:pPr>
      <w:r>
        <w:rPr>
          <w:rFonts w:ascii="Times New Roman" w:hAnsi="Times New Roman"/>
          <w:sz w:val="24"/>
        </w:rPr>
        <w:t>Foodly is an online food-ordering and delivery platform that connects three classes of end users — customers, restaurant owners, and delivery agents — operated by a fourth role, the platform administrator. The product surface is intentionally small; the engineering surface is deliberately broad, exercising the concepts taught across the Backend Specialization module.</w:t>
      </w:r>
    </w:p>
    <w:p>
      <w:pPr>
        <w:spacing w:line="360" w:lineRule="auto" w:after="120"/>
        <w:jc w:val="both"/>
      </w:pPr>
      <w:r>
        <w:rPr>
          <w:rFonts w:ascii="Times New Roman" w:hAnsi="Times New Roman"/>
          <w:sz w:val="24"/>
        </w:rPr>
        <w:t>The principal objectives of the project are:</w:t>
      </w:r>
    </w:p>
    <w:p>
      <w:pPr>
        <w:spacing w:line="240" w:lineRule="auto" w:after="40"/>
        <w:ind w:left="720" w:hanging="288"/>
        <w:jc w:val="left"/>
      </w:pPr>
      <w:r>
        <w:rPr>
          <w:rFonts w:ascii="Times New Roman" w:hAnsi="Times New Roman"/>
          <w:sz w:val="24"/>
        </w:rPr>
        <w:t>• Build a domain-faithful slice of a real food-delivery system rather than a toy CRUD application.</w:t>
      </w:r>
    </w:p>
    <w:p>
      <w:pPr>
        <w:spacing w:line="240" w:lineRule="auto" w:after="40"/>
        <w:ind w:left="720" w:hanging="288"/>
        <w:jc w:val="left"/>
      </w:pPr>
      <w:r>
        <w:rPr>
          <w:rFonts w:ascii="Times New Roman" w:hAnsi="Times New Roman"/>
          <w:sz w:val="24"/>
        </w:rPr>
        <w:t>• Decompose it into independently deployable microservices with clean bounded contexts and explicit event contracts.</w:t>
      </w:r>
    </w:p>
    <w:p>
      <w:pPr>
        <w:spacing w:line="240" w:lineRule="auto" w:after="40"/>
        <w:ind w:left="720" w:hanging="288"/>
        <w:jc w:val="left"/>
      </w:pPr>
      <w:r>
        <w:rPr>
          <w:rFonts w:ascii="Times New Roman" w:hAnsi="Times New Roman"/>
          <w:sz w:val="24"/>
        </w:rPr>
        <w:t>• Demonstrate event-driven choreography across services using Apache Kafka, with per-service consumer groups and idempotent, guarded state transitions.</w:t>
      </w:r>
    </w:p>
    <w:p>
      <w:pPr>
        <w:spacing w:line="240" w:lineRule="auto" w:after="40"/>
        <w:ind w:left="720" w:hanging="288"/>
        <w:jc w:val="left"/>
      </w:pPr>
      <w:r>
        <w:rPr>
          <w:rFonts w:ascii="Times New Roman" w:hAnsi="Times New Roman"/>
          <w:sz w:val="24"/>
        </w:rPr>
        <w:t>• Model an external payment integration with a simulated gateway, and prove eventual correctness with a scheduled reconciliation job and an audit log.</w:t>
      </w:r>
    </w:p>
    <w:p>
      <w:pPr>
        <w:spacing w:line="240" w:lineRule="auto" w:after="40"/>
        <w:ind w:left="720" w:hanging="288"/>
        <w:jc w:val="left"/>
      </w:pPr>
      <w:r>
        <w:rPr>
          <w:rFonts w:ascii="Times New Roman" w:hAnsi="Times New Roman"/>
          <w:sz w:val="24"/>
        </w:rPr>
        <w:t>• Apply Spring Cloud (Gateway, Eureka, Config Server) so the platform is discoverable, centrally configured, and reachable through a single ingress.</w:t>
      </w:r>
    </w:p>
    <w:p>
      <w:pPr>
        <w:spacing w:line="240" w:lineRule="auto" w:after="40"/>
        <w:ind w:left="720" w:hanging="288"/>
        <w:jc w:val="left"/>
      </w:pPr>
      <w:r>
        <w:rPr>
          <w:rFonts w:ascii="Times New Roman" w:hAnsi="Times New Roman"/>
          <w:sz w:val="24"/>
        </w:rPr>
        <w:t>• Secure every endpoint with stateless RS256 JWTs verified by each service as an OAuth2 resource server.</w:t>
      </w:r>
    </w:p>
    <w:p>
      <w:pPr>
        <w:spacing w:line="240" w:lineRule="auto" w:after="40"/>
        <w:ind w:left="720" w:hanging="288"/>
        <w:jc w:val="left"/>
      </w:pPr>
      <w:r>
        <w:rPr>
          <w:rFonts w:ascii="Times New Roman" w:hAnsi="Times New Roman"/>
          <w:sz w:val="24"/>
        </w:rPr>
        <w:t>• Containerise every component and orchestrate the full local stack with one docker-compose.yml so the project is reproducible on any machine with Docker.</w:t>
      </w:r>
    </w:p>
    <w:p>
      <w:pPr>
        <w:spacing w:line="240" w:lineRule="auto" w:after="40"/>
        <w:ind w:left="720" w:hanging="288"/>
        <w:jc w:val="left"/>
      </w:pPr>
      <w:r>
        <w:rPr>
          <w:rFonts w:ascii="Times New Roman" w:hAnsi="Times New Roman"/>
          <w:sz w:val="24"/>
        </w:rPr>
        <w:t>• Cover the code with unit tests (JUnit 5, Mockito) and a repository integration test on a real PostgreSQL instance via Testcontainers.</w:t>
      </w:r>
    </w:p>
    <w:p>
      <w:pPr>
        <w:spacing w:line="360" w:lineRule="auto" w:after="120"/>
        <w:jc w:val="both"/>
      </w:pPr>
      <w:r>
        <w:rPr>
          <w:rFonts w:ascii="Times New Roman" w:hAnsi="Times New Roman"/>
          <w:sz w:val="24"/>
        </w:rPr>
        <w:t>Food delivery is a canonical distributed-systems case study: high-cardinality reads (browsing), strongly-consistent writes (order placement), and long-running asynchronous workflows (payment and delivery). The same primitives — service decomposition, event-sourced state transitions, edge authentication, and gateway-fronted integration — recur in ride-hailing, e-commerce, and logistics, so the skills exercised here transfer directly to those domains.</w:t>
      </w:r>
    </w:p>
    <w:p>
      <w:pPr>
        <w:pStyle w:val="Heading3"/>
        <w:spacing w:line="240" w:lineRule="auto" w:before="240" w:after="120"/>
        <w:jc w:val="left"/>
      </w:pPr>
      <w:r>
        <w:rPr>
          <w:rFonts w:ascii="Times New Roman" w:hAnsi="Times New Roman"/>
          <w:b/>
          <w:sz w:val="28"/>
        </w:rPr>
        <w:t>System Architecture</w:t>
      </w:r>
    </w:p>
    <w:p>
      <w:pPr>
        <w:spacing w:line="360" w:lineRule="auto" w:after="120"/>
        <w:jc w:val="both"/>
      </w:pPr>
      <w:r>
        <w:rPr>
          <w:rFonts w:ascii="Times New Roman" w:hAnsi="Times New Roman"/>
          <w:sz w:val="24"/>
        </w:rPr>
        <w:t>Clients reach the platform only through the API gateway on port 8080. The gateway validates the bearer token and routes by path prefix to the relevant service, resolving instances through the Eureka registry. Each service loads its configuration from the config server at start-up. The six business services own their data and never reach into each other's databases; instead, they exchange domain events over Kafka. The high-level topology is shown in Figure 1.1.</w:t>
      </w:r>
    </w:p>
    <w:p>
      <w:pPr>
        <w:spacing w:before="160" w:after="40"/>
        <w:jc w:val="center"/>
      </w:pPr>
      <w:r>
        <w:drawing>
          <wp:inline>
            <wp:extent cx="5486400" cy="3722513"/>
            <wp:docPr id="3" name="Picture 3"/>
            <wp:cNvGraphicFramePr>
              <a:graphicFrameLocks noChangeAspect="1"/>
            </wp:cNvGraphicFramePr>
            <a:graphic>
              <a:graphicData uri="http://schemas.openxmlformats.org/drawingml/2006/picture">
                <pic:pic>
                  <pic:nvPicPr>
                    <pic:cNvPr id="0" name="fig_1_1_architecture.png"/>
                    <pic:cNvPicPr/>
                  </pic:nvPicPr>
                  <pic:blipFill>
                    <a:blip r:embed="rId13"/>
                    <a:stretch>
                      <a:fillRect/>
                    </a:stretch>
                  </pic:blipFill>
                  <pic:spPr>
                    <a:xfrm>
                      <a:off x="0" y="0"/>
                      <a:ext cx="5486400" cy="3722513"/>
                    </a:xfrm>
                    <a:prstGeom prst="rect"/>
                  </pic:spPr>
                </pic:pic>
              </a:graphicData>
            </a:graphic>
          </wp:inline>
        </w:drawing>
      </w:r>
    </w:p>
    <w:p>
      <w:pPr>
        <w:spacing w:line="240" w:lineRule="auto" w:after="240"/>
        <w:jc w:val="center"/>
      </w:pPr>
      <w:r>
        <w:rPr>
          <w:rFonts w:ascii="Times New Roman" w:hAnsi="Times New Roman"/>
          <w:i/>
          <w:sz w:val="22"/>
        </w:rPr>
        <w:t>Figure 1.1: Foodly high-level system architecture.</w:t>
      </w:r>
    </w:p>
    <w:p>
      <w:pPr>
        <w:spacing w:line="360" w:lineRule="auto" w:after="120"/>
        <w:jc w:val="both"/>
      </w:pPr>
      <w:r>
        <w:rPr>
          <w:rFonts w:ascii="Times New Roman" w:hAnsi="Times New Roman"/>
          <w:sz w:val="24"/>
        </w:rPr>
        <w:t>State propagation is fully choreographed — there is no central orchestrator. A service reacts to an event by doing its local work and, where appropriate, emitting the next event. Each event type is published to a topic of the same name and is consumed by one or more services under distinct consumer groups, so every interested service receives its own copy. The complete contract is given in Table 1.1.</w:t>
      </w:r>
    </w:p>
    <w:p>
      <w:pPr>
        <w:jc w:val="center"/>
      </w:pPr>
      <w:r>
        <w:rPr>
          <w:rFonts w:ascii="Times New Roman" w:hAnsi="Times New Roman"/>
          <w:i/>
          <w:sz w:val="22"/>
        </w:rPr>
        <w:t>Table 1.1: Kafka event catalogue — the choreography contract between services.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Event / Topic</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Producer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Consumers</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Effect on consumer</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order.placed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 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 charges the gateway; notification records an event</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payment.completed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 delivery-service, 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 CONFIRMED; delivery assigns a courier; notification records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payment.failed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 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 CANCELLED; notification records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order.dispatched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 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 OUT_FOR_DELIVERY; notification records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order.delivered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 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 DELIVERED; notification records</w:t>
            </w:r>
          </w:p>
        </w:tc>
      </w:tr>
    </w:tbl>
    <w:p>
      <w:pPr>
        <w:spacing w:line="360" w:lineRule="auto" w:after="120"/>
        <w:jc w:val="both"/>
      </w:pPr>
      <w:r>
        <w:rPr>
          <w:rFonts w:ascii="Times New Roman" w:hAnsi="Times New Roman"/>
          <w:sz w:val="24"/>
        </w:rPr>
        <w:t>Security is uniform across the platform. The user-service signs access and refresh tokens with an RS256 private key; the matching public key is published by the config server under foodly.security.jwt.public-key and consumed by every other service, which builds a NimbusJwtDecoder from that key. Validation therefore relies on a statically configured public key rather than a JWKS endpoint. The roles claim is mapped to Spring Security ROLE_ authorities so that method-level @PreAuthorize checks (for example, only a RESTAURANT_OWNER or ADMIN may create a restaurant) work consistently downstream.</w:t>
      </w:r>
    </w:p>
    <w:p>
      <w:pPr>
        <w:pStyle w:val="Heading3"/>
        <w:spacing w:line="240" w:lineRule="auto" w:before="240" w:after="120"/>
        <w:jc w:val="left"/>
      </w:pPr>
      <w:r>
        <w:rPr>
          <w:rFonts w:ascii="Times New Roman" w:hAnsi="Times New Roman"/>
          <w:b/>
          <w:sz w:val="28"/>
        </w:rPr>
        <w:t>Requirement Gathering</w:t>
      </w:r>
    </w:p>
    <w:p>
      <w:pPr>
        <w:spacing w:line="360" w:lineRule="auto" w:after="120"/>
        <w:jc w:val="both"/>
      </w:pPr>
      <w:r>
        <w:rPr>
          <w:rFonts w:ascii="Times New Roman" w:hAnsi="Times New Roman"/>
          <w:sz w:val="24"/>
        </w:rPr>
        <w:t>Requirements were derived by reducing the user journeys of incumbent food-delivery platforms to the smallest set that still exercises the full backend stack, partitioned into functional and non-functional categories.</w:t>
      </w:r>
    </w:p>
    <w:p>
      <w:pPr>
        <w:pStyle w:val="Heading4"/>
        <w:spacing w:line="240" w:lineRule="auto" w:before="240" w:after="120"/>
        <w:jc w:val="left"/>
      </w:pPr>
      <w:r>
        <w:rPr>
          <w:rFonts w:ascii="Times New Roman" w:hAnsi="Times New Roman"/>
          <w:b/>
          <w:sz w:val="26"/>
        </w:rPr>
        <w:t>Functional Requirements</w:t>
      </w:r>
    </w:p>
    <w:p>
      <w:pPr>
        <w:spacing w:line="240" w:lineRule="auto" w:after="40"/>
        <w:ind w:left="720" w:hanging="288"/>
        <w:jc w:val="left"/>
      </w:pPr>
      <w:r>
        <w:rPr>
          <w:rFonts w:ascii="Times New Roman" w:hAnsi="Times New Roman"/>
          <w:sz w:val="24"/>
        </w:rPr>
        <w:t>• FR-1 — A user can sign up with email, password, full name and an optional role, and receive an access token and a refresh token on login.</w:t>
      </w:r>
    </w:p>
    <w:p>
      <w:pPr>
        <w:spacing w:line="240" w:lineRule="auto" w:after="40"/>
        <w:ind w:left="720" w:hanging="288"/>
        <w:jc w:val="left"/>
      </w:pPr>
      <w:r>
        <w:rPr>
          <w:rFonts w:ascii="Times New Roman" w:hAnsi="Times New Roman"/>
          <w:sz w:val="24"/>
        </w:rPr>
        <w:t>• FR-2 — A user can read and update their own profile (full name, phone) via /api/users/me.</w:t>
      </w:r>
    </w:p>
    <w:p>
      <w:pPr>
        <w:spacing w:line="240" w:lineRule="auto" w:after="40"/>
        <w:ind w:left="720" w:hanging="288"/>
        <w:jc w:val="left"/>
      </w:pPr>
      <w:r>
        <w:rPr>
          <w:rFonts w:ascii="Times New Roman" w:hAnsi="Times New Roman"/>
          <w:sz w:val="24"/>
        </w:rPr>
        <w:t>• FR-3 — A customer can browse active restaurants and filter by city or by a name query, with results returned in a paged, sorted response.</w:t>
      </w:r>
    </w:p>
    <w:p>
      <w:pPr>
        <w:spacing w:line="240" w:lineRule="auto" w:after="40"/>
        <w:ind w:left="720" w:hanging="288"/>
        <w:jc w:val="left"/>
      </w:pPr>
      <w:r>
        <w:rPr>
          <w:rFonts w:ascii="Times New Roman" w:hAnsi="Times New Roman"/>
          <w:sz w:val="24"/>
        </w:rPr>
        <w:t>• FR-4 — A customer can view a restaurant together with its menu items, each carrying a free-text category, price and availability flag.</w:t>
      </w:r>
    </w:p>
    <w:p>
      <w:pPr>
        <w:spacing w:line="240" w:lineRule="auto" w:after="40"/>
        <w:ind w:left="720" w:hanging="288"/>
        <w:jc w:val="left"/>
      </w:pPr>
      <w:r>
        <w:rPr>
          <w:rFonts w:ascii="Times New Roman" w:hAnsi="Times New Roman"/>
          <w:sz w:val="24"/>
        </w:rPr>
        <w:t>• FR-5 — A restaurant owner (or admin) can create a restaurant and add menu items to it; these endpoints are restricted by role.</w:t>
      </w:r>
    </w:p>
    <w:p>
      <w:pPr>
        <w:spacing w:line="240" w:lineRule="auto" w:after="40"/>
        <w:ind w:left="720" w:hanging="288"/>
        <w:jc w:val="left"/>
      </w:pPr>
      <w:r>
        <w:rPr>
          <w:rFonts w:ascii="Times New Roman" w:hAnsi="Times New Roman"/>
          <w:sz w:val="24"/>
        </w:rPr>
        <w:t>• FR-6 — A customer can place an order by submitting the restaurant id and a list of line items; the service computes the total and persists the order as PENDING_PAYMENT.</w:t>
      </w:r>
    </w:p>
    <w:p>
      <w:pPr>
        <w:spacing w:line="240" w:lineRule="auto" w:after="40"/>
        <w:ind w:left="720" w:hanging="288"/>
        <w:jc w:val="left"/>
      </w:pPr>
      <w:r>
        <w:rPr>
          <w:rFonts w:ascii="Times New Roman" w:hAnsi="Times New Roman"/>
          <w:sz w:val="24"/>
        </w:rPr>
        <w:t>• FR-7 — Placing an order emits order.placed; the payment-service consumes it, charges the (simulated) gateway, and emits payment.completed or payment.failed.</w:t>
      </w:r>
    </w:p>
    <w:p>
      <w:pPr>
        <w:spacing w:line="240" w:lineRule="auto" w:after="40"/>
        <w:ind w:left="720" w:hanging="288"/>
        <w:jc w:val="left"/>
      </w:pPr>
      <w:r>
        <w:rPr>
          <w:rFonts w:ascii="Times New Roman" w:hAnsi="Times New Roman"/>
          <w:sz w:val="24"/>
        </w:rPr>
        <w:t>• FR-8 — On payment.completed the delivery-service assigns a courier and emits order.dispatched; the order advances to OUT_FOR_DELIVERY.</w:t>
      </w:r>
    </w:p>
    <w:p>
      <w:pPr>
        <w:spacing w:line="240" w:lineRule="auto" w:after="40"/>
        <w:ind w:left="720" w:hanging="288"/>
        <w:jc w:val="left"/>
      </w:pPr>
      <w:r>
        <w:rPr>
          <w:rFonts w:ascii="Times New Roman" w:hAnsi="Times New Roman"/>
          <w:sz w:val="24"/>
        </w:rPr>
        <w:t>• FR-9 — A delivery agent (or admin) marks a trip complete via /api/delivery/order/{id}/complete, which emits order.delivered and moves the order to DELIVERED.</w:t>
      </w:r>
    </w:p>
    <w:p>
      <w:pPr>
        <w:spacing w:line="240" w:lineRule="auto" w:after="40"/>
        <w:ind w:left="720" w:hanging="288"/>
        <w:jc w:val="left"/>
      </w:pPr>
      <w:r>
        <w:rPr>
          <w:rFonts w:ascii="Times New Roman" w:hAnsi="Times New Roman"/>
          <w:sz w:val="24"/>
        </w:rPr>
        <w:t>• FR-10 — Every lifecycle event is recorded by the notification-service in an in-memory store, tagged with a channel, and is readable at /api/notifications.</w:t>
      </w:r>
    </w:p>
    <w:p>
      <w:pPr>
        <w:spacing w:line="240" w:lineRule="auto" w:after="40"/>
        <w:ind w:left="720" w:hanging="288"/>
        <w:jc w:val="left"/>
      </w:pPr>
      <w:r>
        <w:rPr>
          <w:rFonts w:ascii="Times New Roman" w:hAnsi="Times New Roman"/>
          <w:sz w:val="24"/>
        </w:rPr>
        <w:t>• FR-11 — A scheduled reconciliation job inspects payments left PENDING beyond a threshold and converges local state with the gateway, writing an audit row for each correction.</w:t>
      </w:r>
    </w:p>
    <w:p>
      <w:pPr>
        <w:pStyle w:val="Heading4"/>
        <w:spacing w:line="240" w:lineRule="auto" w:before="240" w:after="120"/>
        <w:jc w:val="left"/>
      </w:pPr>
      <w:r>
        <w:rPr>
          <w:rFonts w:ascii="Times New Roman" w:hAnsi="Times New Roman"/>
          <w:b/>
          <w:sz w:val="26"/>
        </w:rPr>
        <w:t>Non-Functional Requirements</w:t>
      </w:r>
    </w:p>
    <w:p>
      <w:pPr>
        <w:spacing w:line="360" w:lineRule="auto" w:after="120"/>
        <w:jc w:val="both"/>
      </w:pPr>
      <w:r>
        <w:rPr>
          <w:rFonts w:ascii="Times New Roman" w:hAnsi="Times New Roman"/>
          <w:sz w:val="24"/>
        </w:rPr>
        <w:t>The non-functional requirements below are stated as design targets that informed the architecture; they were not measured under load for this academic submission.</w:t>
      </w:r>
    </w:p>
    <w:p>
      <w:pPr>
        <w:spacing w:line="240" w:lineRule="auto" w:after="40"/>
        <w:ind w:left="720" w:hanging="288"/>
        <w:jc w:val="left"/>
      </w:pPr>
      <w:r>
        <w:rPr>
          <w:rFonts w:ascii="Times New Roman" w:hAnsi="Times New Roman"/>
          <w:sz w:val="24"/>
        </w:rPr>
        <w:t>• Scalability — every service is stateless apart from its own database and can be scaled horizontally behind the gateway; Kafka consumer groups allow consumers to be partitioned.</w:t>
      </w:r>
    </w:p>
    <w:p>
      <w:pPr>
        <w:spacing w:line="240" w:lineRule="auto" w:after="40"/>
        <w:ind w:left="720" w:hanging="288"/>
        <w:jc w:val="left"/>
      </w:pPr>
      <w:r>
        <w:rPr>
          <w:rFonts w:ascii="Times New Roman" w:hAnsi="Times New Roman"/>
          <w:sz w:val="24"/>
        </w:rPr>
        <w:t>• Consistency — state within a service is strongly consistent inside a database transaction; cross-service state is eventually consistent through Kafka, with consumers guarding each transition against an expected current status so replays are idempotent.</w:t>
      </w:r>
    </w:p>
    <w:p>
      <w:pPr>
        <w:spacing w:line="240" w:lineRule="auto" w:after="40"/>
        <w:ind w:left="720" w:hanging="288"/>
        <w:jc w:val="left"/>
      </w:pPr>
      <w:r>
        <w:rPr>
          <w:rFonts w:ascii="Times New Roman" w:hAnsi="Times New Roman"/>
          <w:sz w:val="24"/>
        </w:rPr>
        <w:t>• Security — all routed endpoints require a valid RS256 JWT; passwords are hashed with bcrypt; the token issuer is the only holder of the private key.</w:t>
      </w:r>
    </w:p>
    <w:p>
      <w:pPr>
        <w:spacing w:line="240" w:lineRule="auto" w:after="40"/>
        <w:ind w:left="720" w:hanging="288"/>
        <w:jc w:val="left"/>
      </w:pPr>
      <w:r>
        <w:rPr>
          <w:rFonts w:ascii="Times New Roman" w:hAnsi="Times New Roman"/>
          <w:sz w:val="24"/>
        </w:rPr>
        <w:t>• Resilience — a payment whose event is lost is recovered by the reconciliation job rather than by an unbounded consumer retry, so a transient failure cannot strand an order.</w:t>
      </w:r>
    </w:p>
    <w:p>
      <w:pPr>
        <w:spacing w:line="240" w:lineRule="auto" w:after="40"/>
        <w:ind w:left="720" w:hanging="288"/>
        <w:jc w:val="left"/>
      </w:pPr>
      <w:r>
        <w:rPr>
          <w:rFonts w:ascii="Times New Roman" w:hAnsi="Times New Roman"/>
          <w:sz w:val="24"/>
        </w:rPr>
        <w:t>• Observability — every service exposes Spring Boot Actuator health endpoints, used both for readiness and as the container health check.</w:t>
      </w:r>
    </w:p>
    <w:p>
      <w:pPr>
        <w:spacing w:line="240" w:lineRule="auto" w:after="40"/>
        <w:ind w:left="720" w:hanging="288"/>
        <w:jc w:val="left"/>
      </w:pPr>
      <w:r>
        <w:rPr>
          <w:rFonts w:ascii="Times New Roman" w:hAnsi="Times New Roman"/>
          <w:sz w:val="24"/>
        </w:rPr>
        <w:t>• Reproducibility — the entire stack builds and runs from source on any machine with Docker via a single command, with no external cloud dependencies.</w:t>
      </w:r>
    </w:p>
    <w:p>
      <w:pPr>
        <w:pStyle w:val="Heading4"/>
        <w:spacing w:line="240" w:lineRule="auto" w:before="240" w:after="120"/>
        <w:jc w:val="left"/>
      </w:pPr>
      <w:r>
        <w:rPr>
          <w:rFonts w:ascii="Times New Roman" w:hAnsi="Times New Roman"/>
          <w:b/>
          <w:sz w:val="26"/>
        </w:rPr>
        <w:t>Users and Use Cases</w:t>
      </w:r>
    </w:p>
    <w:p>
      <w:pPr>
        <w:spacing w:line="360" w:lineRule="auto" w:after="120"/>
        <w:jc w:val="both"/>
      </w:pPr>
      <w:r>
        <w:rPr>
          <w:rFonts w:ascii="Times New Roman" w:hAnsi="Times New Roman"/>
          <w:sz w:val="24"/>
        </w:rPr>
        <w:t>The platform serves four roles. Their primary use cases are summarised in Table 1.2.</w:t>
      </w:r>
    </w:p>
    <w:p>
      <w:pPr>
        <w:jc w:val="center"/>
      </w:pPr>
      <w:r>
        <w:rPr>
          <w:rFonts w:ascii="Times New Roman" w:hAnsi="Times New Roman"/>
          <w:i/>
          <w:sz w:val="22"/>
        </w:rPr>
        <w:t>Table 1.2: Primary actors and their core use cases.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Actor</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Use case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Pre-condition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Post-condition</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Sign up / log 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Valid email + password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Access + refresh tokens issued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Browse / search restaurants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Paged result set returned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Place order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Valid menu line items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created as PENDING_PAYMENT</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Track order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exists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Current status returned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 owner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Create restaurant, add menu items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RESTAURANT_OWNER / ADMIN role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 and menu persisted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 agent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Complete a delivery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DELIVERY_AGENT / ADMIN role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order.delivered emitted, order DELIVERED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Platform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Operate across roles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ADMIN role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Privileged actions on any aggregate</w:t>
            </w:r>
          </w:p>
        </w:tc>
      </w:tr>
    </w:tbl>
    <w:p>
      <w:pPr>
        <w:pStyle w:val="Heading4"/>
        <w:spacing w:line="240" w:lineRule="auto" w:before="240" w:after="120"/>
        <w:jc w:val="left"/>
      </w:pPr>
      <w:r>
        <w:rPr>
          <w:rFonts w:ascii="Times New Roman" w:hAnsi="Times New Roman"/>
          <w:b/>
          <w:sz w:val="26"/>
        </w:rPr>
        <w:t>Feature Set</w:t>
      </w:r>
    </w:p>
    <w:p>
      <w:pPr>
        <w:jc w:val="center"/>
      </w:pPr>
      <w:r>
        <w:rPr>
          <w:rFonts w:ascii="Times New Roman" w:hAnsi="Times New Roman"/>
          <w:i/>
          <w:sz w:val="22"/>
        </w:rPr>
        <w:t>Table 1.3: Foodly feature set and the curriculum topic each feature exercises.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Feature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Owning 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Curriculum topic demonstrated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F-01</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Signup / login / refresh</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JWT (RS256), OAuth2 resource server, Spring Security 6</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Profile read / update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Spring Data JPA, Bean Validation</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F-03</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 CRUD (role-gated)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Spring MVC, @PreAuthorize</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F-04</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Menu management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JPA associations, UUID keys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 search (paged + sorted)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Pageable, derived queries, indexes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F-06</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 placement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Kafka producer, guarded state machine</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F-07</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 charge (simulated)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Kafka consumer, idempotency on order id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F-08</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Reconciliation job</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@Scheduled, audit logging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F-09</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Courier assignment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Kafka consume → produce, domain modelling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F-10</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Lifecycle notifications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Fan-out Kafka consumers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F-11</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Single ingress + discovery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api-gateway, discovery-server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Spring Cloud Gateway + Eureka</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F-12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Centralised configuration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config-server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Spring Cloud Config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F-13</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Containerised local stack</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all</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Docker, Docker Compose</w:t>
            </w:r>
          </w:p>
        </w:tc>
      </w:tr>
    </w:tbl>
    <w:p>
      <w:pPr>
        <w:pStyle w:val="Heading3"/>
        <w:spacing w:line="240" w:lineRule="auto" w:before="240" w:after="120"/>
        <w:jc w:val="left"/>
      </w:pPr>
      <w:r>
        <w:rPr>
          <w:rFonts w:ascii="Times New Roman" w:hAnsi="Times New Roman"/>
          <w:b/>
          <w:sz w:val="28"/>
        </w:rPr>
        <w:t>Class Diagrams</w:t>
      </w:r>
    </w:p>
    <w:p>
      <w:pPr>
        <w:spacing w:line="360" w:lineRule="auto" w:after="120"/>
        <w:jc w:val="both"/>
      </w:pPr>
      <w:r>
        <w:rPr>
          <w:rFonts w:ascii="Times New Roman" w:hAnsi="Times New Roman"/>
          <w:sz w:val="24"/>
        </w:rPr>
        <w:t>Each service owns its aggregates and does not expose internal entities across service boundaries. The design-rich aggregates are the restaurant catalogue and the order. Figure 2.1 shows the restaurant-service classes and Figure 2.2 the order lifecycle.</w:t>
      </w:r>
    </w:p>
    <w:p>
      <w:pPr>
        <w:pStyle w:val="Heading4"/>
        <w:spacing w:line="240" w:lineRule="auto" w:before="240" w:after="120"/>
        <w:jc w:val="left"/>
      </w:pPr>
      <w:r>
        <w:rPr>
          <w:rFonts w:ascii="Times New Roman" w:hAnsi="Times New Roman"/>
          <w:b/>
          <w:sz w:val="26"/>
        </w:rPr>
        <w:t>user-service</w:t>
      </w:r>
    </w:p>
    <w:p>
      <w:pPr>
        <w:spacing w:line="240" w:lineRule="auto" w:after="40"/>
        <w:ind w:left="720" w:hanging="288"/>
        <w:jc w:val="left"/>
      </w:pPr>
      <w:r>
        <w:rPr>
          <w:rFonts w:ascii="Times New Roman" w:hAnsi="Times New Roman"/>
          <w:sz w:val="24"/>
        </w:rPr>
        <w:t>• User — aggregate root: id (UUID), email (unique, case-insensitive), passwordHash, fullName, phone, role (enum), enabled, createdAt, updatedAt.</w:t>
      </w:r>
    </w:p>
    <w:p>
      <w:pPr>
        <w:spacing w:line="240" w:lineRule="auto" w:after="40"/>
        <w:ind w:left="720" w:hanging="288"/>
        <w:jc w:val="left"/>
      </w:pPr>
      <w:r>
        <w:rPr>
          <w:rFonts w:ascii="Times New Roman" w:hAnsi="Times New Roman"/>
          <w:sz w:val="24"/>
        </w:rPr>
        <w:t>• Role — enum: CUSTOMER, RESTAURANT_OWNER, DELIVERY_AGENT, ADMIN.</w:t>
      </w:r>
    </w:p>
    <w:p>
      <w:pPr>
        <w:spacing w:line="240" w:lineRule="auto" w:after="40"/>
        <w:ind w:left="720" w:hanging="288"/>
        <w:jc w:val="left"/>
      </w:pPr>
      <w:r>
        <w:rPr>
          <w:rFonts w:ascii="Times New Roman" w:hAnsi="Times New Roman"/>
          <w:sz w:val="24"/>
        </w:rPr>
        <w:t>• JwtIssuer — signs RS256 access and refresh tokens. Refresh tokens are stateless (signed, not persisted); there is no refresh-token table.</w:t>
      </w:r>
    </w:p>
    <w:p>
      <w:pPr>
        <w:pStyle w:val="Heading4"/>
        <w:spacing w:line="240" w:lineRule="auto" w:before="240" w:after="120"/>
        <w:jc w:val="left"/>
      </w:pPr>
      <w:r>
        <w:rPr>
          <w:rFonts w:ascii="Times New Roman" w:hAnsi="Times New Roman"/>
          <w:b/>
          <w:sz w:val="26"/>
        </w:rPr>
        <w:t>restaurant-service</w:t>
      </w:r>
    </w:p>
    <w:p>
      <w:pPr>
        <w:spacing w:line="240" w:lineRule="auto" w:after="40"/>
        <w:ind w:left="720" w:hanging="288"/>
        <w:jc w:val="left"/>
      </w:pPr>
      <w:r>
        <w:rPr>
          <w:rFonts w:ascii="Times New Roman" w:hAnsi="Times New Roman"/>
          <w:sz w:val="24"/>
        </w:rPr>
        <w:t>• Restaurant — aggregate root: id, ownerId, name, description, cuisine, city, address, active, timestamps.</w:t>
      </w:r>
    </w:p>
    <w:p>
      <w:pPr>
        <w:spacing w:line="240" w:lineRule="auto" w:after="40"/>
        <w:ind w:left="720" w:hanging="288"/>
        <w:jc w:val="left"/>
      </w:pPr>
      <w:r>
        <w:rPr>
          <w:rFonts w:ascii="Times New Roman" w:hAnsi="Times New Roman"/>
          <w:sz w:val="24"/>
        </w:rPr>
        <w:t>• MenuItem — entity owned by Restaurant: id, restaurantId, name, description, category (free-text String), price (BigDecimal), available. There is no JPA inheritance hierarchy — item type is just the category string.</w:t>
      </w:r>
    </w:p>
    <w:p>
      <w:pPr>
        <w:spacing w:before="160" w:after="40"/>
        <w:jc w:val="center"/>
      </w:pPr>
      <w:r>
        <w:drawing>
          <wp:inline>
            <wp:extent cx="5120640" cy="2605605"/>
            <wp:docPr id="4" name="Picture 4"/>
            <wp:cNvGraphicFramePr>
              <a:graphicFrameLocks noChangeAspect="1"/>
            </wp:cNvGraphicFramePr>
            <a:graphic>
              <a:graphicData uri="http://schemas.openxmlformats.org/drawingml/2006/picture">
                <pic:pic>
                  <pic:nvPicPr>
                    <pic:cNvPr id="0" name="fig_2_1_restaurant_classes.png"/>
                    <pic:cNvPicPr/>
                  </pic:nvPicPr>
                  <pic:blipFill>
                    <a:blip r:embed="rId14"/>
                    <a:stretch>
                      <a:fillRect/>
                    </a:stretch>
                  </pic:blipFill>
                  <pic:spPr>
                    <a:xfrm>
                      <a:off x="0" y="0"/>
                      <a:ext cx="5120640" cy="2605605"/>
                    </a:xfrm>
                    <a:prstGeom prst="rect"/>
                  </pic:spPr>
                </pic:pic>
              </a:graphicData>
            </a:graphic>
          </wp:inline>
        </w:drawing>
      </w:r>
    </w:p>
    <w:p>
      <w:pPr>
        <w:spacing w:line="240" w:lineRule="auto" w:after="240"/>
        <w:jc w:val="center"/>
      </w:pPr>
      <w:r>
        <w:rPr>
          <w:rFonts w:ascii="Times New Roman" w:hAnsi="Times New Roman"/>
          <w:i/>
          <w:sz w:val="22"/>
        </w:rPr>
        <w:t>Figure 2.1: restaurant-service class diagram (flat MenuItem, as implemented).</w:t>
      </w:r>
    </w:p>
    <w:p>
      <w:pPr>
        <w:pStyle w:val="Heading4"/>
        <w:spacing w:line="240" w:lineRule="auto" w:before="240" w:after="120"/>
        <w:jc w:val="left"/>
      </w:pPr>
      <w:r>
        <w:rPr>
          <w:rFonts w:ascii="Times New Roman" w:hAnsi="Times New Roman"/>
          <w:b/>
          <w:sz w:val="26"/>
        </w:rPr>
        <w:t>order-service</w:t>
      </w:r>
    </w:p>
    <w:p>
      <w:pPr>
        <w:spacing w:line="240" w:lineRule="auto" w:after="40"/>
        <w:ind w:left="720" w:hanging="288"/>
        <w:jc w:val="left"/>
      </w:pPr>
      <w:r>
        <w:rPr>
          <w:rFonts w:ascii="Times New Roman" w:hAnsi="Times New Roman"/>
          <w:sz w:val="24"/>
        </w:rPr>
        <w:t>• Order — aggregate root: id, customerId, restaurantId, status (enum), totalAmount, currency, paymentId, courierId, timestamps.</w:t>
      </w:r>
    </w:p>
    <w:p>
      <w:pPr>
        <w:spacing w:line="240" w:lineRule="auto" w:after="40"/>
        <w:ind w:left="720" w:hanging="288"/>
        <w:jc w:val="left"/>
      </w:pPr>
      <w:r>
        <w:rPr>
          <w:rFonts w:ascii="Times New Roman" w:hAnsi="Times New Roman"/>
          <w:sz w:val="24"/>
        </w:rPr>
        <w:t>• OrderItem — entity owned by Order: id, menuItemId, name, quantity, unitPrice; lineTotal is derived.</w:t>
      </w:r>
    </w:p>
    <w:p>
      <w:pPr>
        <w:spacing w:line="240" w:lineRule="auto" w:after="40"/>
        <w:ind w:left="720" w:hanging="288"/>
        <w:jc w:val="left"/>
      </w:pPr>
      <w:r>
        <w:rPr>
          <w:rFonts w:ascii="Times New Roman" w:hAnsi="Times New Roman"/>
          <w:sz w:val="24"/>
        </w:rPr>
        <w:t>• OrderStatus — enum: PENDING_PAYMENT → CONFIRMED → OUT_FOR_DELIVERY → DELIVERED, with CANCELLED reachable from PENDING_PAYMENT. Transitions are applied by OrderService methods, each guarding on the expected current status.</w:t>
      </w:r>
    </w:p>
    <w:p>
      <w:pPr>
        <w:spacing w:before="160" w:after="40"/>
        <w:jc w:val="center"/>
      </w:pPr>
      <w:r>
        <w:drawing>
          <wp:inline>
            <wp:extent cx="5486400" cy="2176968"/>
            <wp:docPr id="5" name="Picture 5"/>
            <wp:cNvGraphicFramePr>
              <a:graphicFrameLocks noChangeAspect="1"/>
            </wp:cNvGraphicFramePr>
            <a:graphic>
              <a:graphicData uri="http://schemas.openxmlformats.org/drawingml/2006/picture">
                <pic:pic>
                  <pic:nvPicPr>
                    <pic:cNvPr id="0" name="fig_2_2_order_states.png"/>
                    <pic:cNvPicPr/>
                  </pic:nvPicPr>
                  <pic:blipFill>
                    <a:blip r:embed="rId15"/>
                    <a:stretch>
                      <a:fillRect/>
                    </a:stretch>
                  </pic:blipFill>
                  <pic:spPr>
                    <a:xfrm>
                      <a:off x="0" y="0"/>
                      <a:ext cx="5486400" cy="2176968"/>
                    </a:xfrm>
                    <a:prstGeom prst="rect"/>
                  </pic:spPr>
                </pic:pic>
              </a:graphicData>
            </a:graphic>
          </wp:inline>
        </w:drawing>
      </w:r>
    </w:p>
    <w:p>
      <w:pPr>
        <w:spacing w:line="240" w:lineRule="auto" w:after="240"/>
        <w:jc w:val="center"/>
      </w:pPr>
      <w:r>
        <w:rPr>
          <w:rFonts w:ascii="Times New Roman" w:hAnsi="Times New Roman"/>
          <w:i/>
          <w:sz w:val="22"/>
        </w:rPr>
        <w:t>Figure 2.2: order-service state machine and the events that drive each transition.</w:t>
      </w:r>
    </w:p>
    <w:p>
      <w:pPr>
        <w:pStyle w:val="Heading4"/>
        <w:spacing w:line="240" w:lineRule="auto" w:before="240" w:after="120"/>
        <w:jc w:val="left"/>
      </w:pPr>
      <w:r>
        <w:rPr>
          <w:rFonts w:ascii="Times New Roman" w:hAnsi="Times New Roman"/>
          <w:b/>
          <w:sz w:val="26"/>
        </w:rPr>
        <w:t>payment-service</w:t>
      </w:r>
    </w:p>
    <w:p>
      <w:pPr>
        <w:spacing w:line="240" w:lineRule="auto" w:after="40"/>
        <w:ind w:left="720" w:hanging="288"/>
        <w:jc w:val="left"/>
      </w:pPr>
      <w:r>
        <w:rPr>
          <w:rFonts w:ascii="Times New Roman" w:hAnsi="Times New Roman"/>
          <w:sz w:val="24"/>
        </w:rPr>
        <w:t>• Payment — aggregate root: id, orderId (unique), amount, currency, status, provider, providerReference, reasonCode, reason, timestamps.</w:t>
      </w:r>
    </w:p>
    <w:p>
      <w:pPr>
        <w:spacing w:line="240" w:lineRule="auto" w:after="40"/>
        <w:ind w:left="720" w:hanging="288"/>
        <w:jc w:val="left"/>
      </w:pPr>
      <w:r>
        <w:rPr>
          <w:rFonts w:ascii="Times New Roman" w:hAnsi="Times New Roman"/>
          <w:sz w:val="24"/>
        </w:rPr>
        <w:t>• PaymentReconLog — append-only audit entity: id, paymentId, orderId, previousStatus, newStatus, detail, createdAt.</w:t>
      </w:r>
    </w:p>
    <w:p>
      <w:pPr>
        <w:spacing w:line="240" w:lineRule="auto" w:after="40"/>
        <w:ind w:left="720" w:hanging="288"/>
        <w:jc w:val="left"/>
      </w:pPr>
      <w:r>
        <w:rPr>
          <w:rFonts w:ascii="Times New Roman" w:hAnsi="Times New Roman"/>
          <w:sz w:val="24"/>
        </w:rPr>
        <w:t>• PaymentGateway — an in-process @Component standing in for an external processor; any positive amount is approved deterministically so the demo is repeatable.</w:t>
      </w:r>
    </w:p>
    <w:p>
      <w:pPr>
        <w:spacing w:line="240" w:lineRule="auto" w:after="40"/>
        <w:ind w:left="720" w:hanging="288"/>
        <w:jc w:val="left"/>
      </w:pPr>
      <w:r>
        <w:rPr>
          <w:rFonts w:ascii="Times New Roman" w:hAnsi="Times New Roman"/>
          <w:sz w:val="24"/>
        </w:rPr>
        <w:t>• ReconciliationJob — a @Scheduled bean that re-checks stale PENDING payments.</w:t>
      </w:r>
    </w:p>
    <w:p>
      <w:pPr>
        <w:pStyle w:val="Heading4"/>
        <w:spacing w:line="240" w:lineRule="auto" w:before="240" w:after="120"/>
        <w:jc w:val="left"/>
      </w:pPr>
      <w:r>
        <w:rPr>
          <w:rFonts w:ascii="Times New Roman" w:hAnsi="Times New Roman"/>
          <w:b/>
          <w:sz w:val="26"/>
        </w:rPr>
        <w:t>delivery-service</w:t>
      </w:r>
    </w:p>
    <w:p>
      <w:pPr>
        <w:spacing w:line="240" w:lineRule="auto" w:after="40"/>
        <w:ind w:left="720" w:hanging="288"/>
        <w:jc w:val="left"/>
      </w:pPr>
      <w:r>
        <w:rPr>
          <w:rFonts w:ascii="Times New Roman" w:hAnsi="Times New Roman"/>
          <w:sz w:val="24"/>
        </w:rPr>
        <w:t>• Delivery — aggregate root: id, orderId (unique), courierId, status (DISPATCHED, DELIVERED), dispatchedAt, estimatedDeliveryAt, deliveredAt, timestamps. A courier id is assigned on dispatch; there is no separate Agent or Trip entity.</w:t>
      </w:r>
    </w:p>
    <w:p>
      <w:pPr>
        <w:pStyle w:val="Heading3"/>
        <w:spacing w:line="240" w:lineRule="auto" w:before="240" w:after="120"/>
        <w:jc w:val="left"/>
      </w:pPr>
      <w:r>
        <w:rPr>
          <w:rFonts w:ascii="Times New Roman" w:hAnsi="Times New Roman"/>
          <w:b/>
          <w:sz w:val="28"/>
        </w:rPr>
        <w:t>Database Schema Design</w:t>
      </w:r>
    </w:p>
    <w:p>
      <w:pPr>
        <w:spacing w:line="360" w:lineRule="auto" w:after="120"/>
        <w:jc w:val="both"/>
      </w:pPr>
      <w:r>
        <w:rPr>
          <w:rFonts w:ascii="Times New Roman" w:hAnsi="Times New Roman"/>
          <w:sz w:val="24"/>
        </w:rPr>
        <w:t>Each stateful service owns its database. For the submission, a single PostgreSQL instance hosts five logical databases, created at first boot, so no service can read another's tables directly. Schemas are managed by Flyway, one migration per service. Figure 3.1 shows the full picture; the tables are described below.</w:t>
      </w:r>
    </w:p>
    <w:p>
      <w:pPr>
        <w:spacing w:before="160" w:after="40"/>
        <w:jc w:val="center"/>
      </w:pPr>
      <w:r>
        <w:drawing>
          <wp:inline>
            <wp:extent cx="5577840" cy="4050175"/>
            <wp:docPr id="6" name="Picture 6"/>
            <wp:cNvGraphicFramePr>
              <a:graphicFrameLocks noChangeAspect="1"/>
            </wp:cNvGraphicFramePr>
            <a:graphic>
              <a:graphicData uri="http://schemas.openxmlformats.org/drawingml/2006/picture">
                <pic:pic>
                  <pic:nvPicPr>
                    <pic:cNvPr id="0" name="fig_3_1_er.png"/>
                    <pic:cNvPicPr/>
                  </pic:nvPicPr>
                  <pic:blipFill>
                    <a:blip r:embed="rId16"/>
                    <a:stretch>
                      <a:fillRect/>
                    </a:stretch>
                  </pic:blipFill>
                  <pic:spPr>
                    <a:xfrm>
                      <a:off x="0" y="0"/>
                      <a:ext cx="5577840" cy="4050175"/>
                    </a:xfrm>
                    <a:prstGeom prst="rect"/>
                  </pic:spPr>
                </pic:pic>
              </a:graphicData>
            </a:graphic>
          </wp:inline>
        </w:drawing>
      </w:r>
    </w:p>
    <w:p>
      <w:pPr>
        <w:spacing w:line="240" w:lineRule="auto" w:after="240"/>
        <w:jc w:val="center"/>
      </w:pPr>
      <w:r>
        <w:rPr>
          <w:rFonts w:ascii="Times New Roman" w:hAnsi="Times New Roman"/>
          <w:i/>
          <w:sz w:val="22"/>
        </w:rPr>
        <w:t>Figure 3.1: Entity-relationship view across the five Foodly databases.</w:t>
      </w:r>
    </w:p>
    <w:p>
      <w:pPr>
        <w:pStyle w:val="Heading4"/>
        <w:spacing w:line="240" w:lineRule="auto" w:before="240" w:after="120"/>
        <w:jc w:val="left"/>
      </w:pPr>
      <w:r>
        <w:rPr>
          <w:rFonts w:ascii="Times New Roman" w:hAnsi="Times New Roman"/>
          <w:b/>
          <w:sz w:val="26"/>
        </w:rPr>
        <w:t>users database (user-service)</w:t>
      </w:r>
    </w:p>
    <w:p>
      <w:pPr>
        <w:spacing w:line="240" w:lineRule="auto" w:after="40"/>
        <w:ind w:left="720" w:hanging="288"/>
        <w:jc w:val="left"/>
      </w:pPr>
      <w:r>
        <w:rPr>
          <w:rFonts w:ascii="Times New Roman" w:hAnsi="Times New Roman"/>
          <w:sz w:val="24"/>
        </w:rPr>
        <w:t>• users — id (UUID, PK), email, password_hash, full_name, phone, role, enabled, created_at, updated_at. A unique index on lower(email) enforces case-insensitive uniqueness.</w:t>
      </w:r>
    </w:p>
    <w:p>
      <w:pPr>
        <w:pStyle w:val="Heading4"/>
        <w:spacing w:line="240" w:lineRule="auto" w:before="240" w:after="120"/>
        <w:jc w:val="left"/>
      </w:pPr>
      <w:r>
        <w:rPr>
          <w:rFonts w:ascii="Times New Roman" w:hAnsi="Times New Roman"/>
          <w:b/>
          <w:sz w:val="26"/>
        </w:rPr>
        <w:t>restaurants database (restaurant-service)</w:t>
      </w:r>
    </w:p>
    <w:p>
      <w:pPr>
        <w:spacing w:line="240" w:lineRule="auto" w:after="40"/>
        <w:ind w:left="720" w:hanging="288"/>
        <w:jc w:val="left"/>
      </w:pPr>
      <w:r>
        <w:rPr>
          <w:rFonts w:ascii="Times New Roman" w:hAnsi="Times New Roman"/>
          <w:sz w:val="24"/>
        </w:rPr>
        <w:t>• restaurants — id (UUID, PK), owner_id, name, description, cuisine, city, address, active, timestamps. Indexed on lower(city) and owner_id.</w:t>
      </w:r>
    </w:p>
    <w:p>
      <w:pPr>
        <w:spacing w:line="240" w:lineRule="auto" w:after="40"/>
        <w:ind w:left="720" w:hanging="288"/>
        <w:jc w:val="left"/>
      </w:pPr>
      <w:r>
        <w:rPr>
          <w:rFonts w:ascii="Times New Roman" w:hAnsi="Times New Roman"/>
          <w:sz w:val="24"/>
        </w:rPr>
        <w:t>• menu_items — id (UUID, PK), restaurant_id (FK → restaurants.id, ON DELETE CASCADE), name, description, category, price (NUMERIC), available. Indexed on restaurant_id.</w:t>
      </w:r>
    </w:p>
    <w:p>
      <w:pPr>
        <w:pStyle w:val="Heading4"/>
        <w:spacing w:line="240" w:lineRule="auto" w:before="240" w:after="120"/>
        <w:jc w:val="left"/>
      </w:pPr>
      <w:r>
        <w:rPr>
          <w:rFonts w:ascii="Times New Roman" w:hAnsi="Times New Roman"/>
          <w:b/>
          <w:sz w:val="26"/>
        </w:rPr>
        <w:t>orders database (order-service)</w:t>
      </w:r>
    </w:p>
    <w:p>
      <w:pPr>
        <w:spacing w:line="240" w:lineRule="auto" w:after="40"/>
        <w:ind w:left="720" w:hanging="288"/>
        <w:jc w:val="left"/>
      </w:pPr>
      <w:r>
        <w:rPr>
          <w:rFonts w:ascii="Times New Roman" w:hAnsi="Times New Roman"/>
          <w:sz w:val="24"/>
        </w:rPr>
        <w:t>• orders — id (UUID, PK), customer_id, restaurant_id, status, total_amount, currency, payment_id, courier_id, timestamps. Indexed on customer_id and status.</w:t>
      </w:r>
    </w:p>
    <w:p>
      <w:pPr>
        <w:spacing w:line="240" w:lineRule="auto" w:after="40"/>
        <w:ind w:left="720" w:hanging="288"/>
        <w:jc w:val="left"/>
      </w:pPr>
      <w:r>
        <w:rPr>
          <w:rFonts w:ascii="Times New Roman" w:hAnsi="Times New Roman"/>
          <w:sz w:val="24"/>
        </w:rPr>
        <w:t>• order_items — id (UUID, PK), order_id (FK → orders.id, ON DELETE CASCADE), menu_item_id, name, quantity, unit_price. Indexed on order_id.</w:t>
      </w:r>
    </w:p>
    <w:p>
      <w:pPr>
        <w:pStyle w:val="Heading4"/>
        <w:spacing w:line="240" w:lineRule="auto" w:before="240" w:after="120"/>
        <w:jc w:val="left"/>
      </w:pPr>
      <w:r>
        <w:rPr>
          <w:rFonts w:ascii="Times New Roman" w:hAnsi="Times New Roman"/>
          <w:b/>
          <w:sz w:val="26"/>
        </w:rPr>
        <w:t>payments database (payment-service)</w:t>
      </w:r>
    </w:p>
    <w:p>
      <w:pPr>
        <w:spacing w:line="240" w:lineRule="auto" w:after="40"/>
        <w:ind w:left="720" w:hanging="288"/>
        <w:jc w:val="left"/>
      </w:pPr>
      <w:r>
        <w:rPr>
          <w:rFonts w:ascii="Times New Roman" w:hAnsi="Times New Roman"/>
          <w:sz w:val="24"/>
        </w:rPr>
        <w:t>• payments — id (UUID, PK), order_id (unique), amount, currency, status, provider, provider_reference, reason_code, reason, timestamps. Indexed on status.</w:t>
      </w:r>
    </w:p>
    <w:p>
      <w:pPr>
        <w:spacing w:line="240" w:lineRule="auto" w:after="40"/>
        <w:ind w:left="720" w:hanging="288"/>
        <w:jc w:val="left"/>
      </w:pPr>
      <w:r>
        <w:rPr>
          <w:rFonts w:ascii="Times New Roman" w:hAnsi="Times New Roman"/>
          <w:sz w:val="24"/>
        </w:rPr>
        <w:t>• payment_recon_log — id (UUID, PK), payment_id, order_id, previous_status, new_status, detail, created_at. Indexed on payment_id.</w:t>
      </w:r>
    </w:p>
    <w:p>
      <w:pPr>
        <w:pStyle w:val="Heading4"/>
        <w:spacing w:line="240" w:lineRule="auto" w:before="240" w:after="120"/>
        <w:jc w:val="left"/>
      </w:pPr>
      <w:r>
        <w:rPr>
          <w:rFonts w:ascii="Times New Roman" w:hAnsi="Times New Roman"/>
          <w:b/>
          <w:sz w:val="26"/>
        </w:rPr>
        <w:t>delivery database (delivery-service)</w:t>
      </w:r>
    </w:p>
    <w:p>
      <w:pPr>
        <w:spacing w:line="240" w:lineRule="auto" w:after="40"/>
        <w:ind w:left="720" w:hanging="288"/>
        <w:jc w:val="left"/>
      </w:pPr>
      <w:r>
        <w:rPr>
          <w:rFonts w:ascii="Times New Roman" w:hAnsi="Times New Roman"/>
          <w:sz w:val="24"/>
        </w:rPr>
        <w:t>• deliveries — id (UUID, PK), order_id (unique), courier_id, status, dispatched_at, estimated_delivery_at, delivered_at, timestamps. Indexed on status.</w:t>
      </w:r>
    </w:p>
    <w:p>
      <w:pPr>
        <w:spacing w:line="360" w:lineRule="auto" w:after="120"/>
        <w:jc w:val="both"/>
      </w:pPr>
      <w:r>
        <w:rPr>
          <w:rFonts w:ascii="Times New Roman" w:hAnsi="Times New Roman"/>
          <w:sz w:val="24"/>
        </w:rPr>
        <w:t>Cross-service references — orders.customer_id → users, orders.restaurant_id → restaurants, payments.order_id → orders, deliveries.order_id → orders — are intentionally not database foreign keys. They are maintained at the application layer through the Kafka event flow, which is what keeps the services independently deployable.</w:t>
      </w:r>
    </w:p>
    <w:p>
      <w:pPr>
        <w:pStyle w:val="Heading3"/>
        <w:spacing w:line="240" w:lineRule="auto" w:before="240" w:after="120"/>
        <w:jc w:val="left"/>
      </w:pPr>
      <w:r>
        <w:rPr>
          <w:rFonts w:ascii="Times New Roman" w:hAnsi="Times New Roman"/>
          <w:b/>
          <w:sz w:val="28"/>
        </w:rPr>
        <w:t>Feature Development Process</w:t>
      </w:r>
    </w:p>
    <w:p>
      <w:pPr>
        <w:spacing w:line="360" w:lineRule="auto" w:after="120"/>
        <w:jc w:val="both"/>
      </w:pPr>
      <w:r>
        <w:rPr>
          <w:rFonts w:ascii="Times New Roman" w:hAnsi="Times New Roman"/>
          <w:sz w:val="24"/>
        </w:rPr>
        <w:t>Order placement is the feature chosen for detailed analysis because it touches every architectural component — the gateway, the order-service, the Kafka event bus, and the payment, delivery, and notification services. The end-to-end choreography is shown in Figure 4.1.</w:t>
      </w:r>
    </w:p>
    <w:p>
      <w:pPr>
        <w:spacing w:before="160" w:after="40"/>
        <w:jc w:val="center"/>
      </w:pPr>
      <w:r>
        <w:drawing>
          <wp:inline>
            <wp:extent cx="5760720" cy="4328080"/>
            <wp:docPr id="7" name="Picture 7"/>
            <wp:cNvGraphicFramePr>
              <a:graphicFrameLocks noChangeAspect="1"/>
            </wp:cNvGraphicFramePr>
            <a:graphic>
              <a:graphicData uri="http://schemas.openxmlformats.org/drawingml/2006/picture">
                <pic:pic>
                  <pic:nvPicPr>
                    <pic:cNvPr id="0" name="fig_4_1_sequence.png"/>
                    <pic:cNvPicPr/>
                  </pic:nvPicPr>
                  <pic:blipFill>
                    <a:blip r:embed="rId17"/>
                    <a:stretch>
                      <a:fillRect/>
                    </a:stretch>
                  </pic:blipFill>
                  <pic:spPr>
                    <a:xfrm>
                      <a:off x="0" y="0"/>
                      <a:ext cx="5760720" cy="4328080"/>
                    </a:xfrm>
                    <a:prstGeom prst="rect"/>
                  </pic:spPr>
                </pic:pic>
              </a:graphicData>
            </a:graphic>
          </wp:inline>
        </w:drawing>
      </w:r>
    </w:p>
    <w:p>
      <w:pPr>
        <w:spacing w:line="240" w:lineRule="auto" w:after="240"/>
        <w:jc w:val="center"/>
      </w:pPr>
      <w:r>
        <w:rPr>
          <w:rFonts w:ascii="Times New Roman" w:hAnsi="Times New Roman"/>
          <w:i/>
          <w:sz w:val="22"/>
        </w:rPr>
        <w:t>Figure 4.1: Order-placement choreography across services and Kafka.</w:t>
      </w:r>
    </w:p>
    <w:p>
      <w:pPr>
        <w:pStyle w:val="Heading4"/>
        <w:spacing w:line="240" w:lineRule="auto" w:before="240" w:after="120"/>
        <w:jc w:val="left"/>
      </w:pPr>
      <w:r>
        <w:rPr>
          <w:rFonts w:ascii="Times New Roman" w:hAnsi="Times New Roman"/>
          <w:b/>
          <w:sz w:val="26"/>
        </w:rPr>
        <w:t>Request flow</w:t>
      </w:r>
    </w:p>
    <w:p>
      <w:pPr>
        <w:spacing w:line="240" w:lineRule="auto" w:after="40"/>
        <w:ind w:left="720" w:hanging="288"/>
        <w:jc w:val="left"/>
      </w:pPr>
      <w:r>
        <w:rPr>
          <w:rFonts w:ascii="Times New Roman" w:hAnsi="Times New Roman"/>
          <w:sz w:val="24"/>
        </w:rPr>
        <w:t>• Client → API Gateway: POST /api/orders with a bearer token. The gateway validates the token and routes to order-service (stripping the /api prefix).</w:t>
      </w:r>
    </w:p>
    <w:p>
      <w:pPr>
        <w:spacing w:line="240" w:lineRule="auto" w:after="40"/>
        <w:ind w:left="720" w:hanging="288"/>
        <w:jc w:val="left"/>
      </w:pPr>
      <w:r>
        <w:rPr>
          <w:rFonts w:ascii="Times New Roman" w:hAnsi="Times New Roman"/>
          <w:sz w:val="24"/>
        </w:rPr>
        <w:t>• OrderController.place(...) — reads the caller's id from the validated JWT subject and delegates to OrderService.</w:t>
      </w:r>
    </w:p>
    <w:p>
      <w:pPr>
        <w:spacing w:line="240" w:lineRule="auto" w:after="40"/>
        <w:ind w:left="720" w:hanging="288"/>
        <w:jc w:val="left"/>
      </w:pPr>
      <w:r>
        <w:rPr>
          <w:rFonts w:ascii="Times New Roman" w:hAnsi="Times New Roman"/>
          <w:sz w:val="24"/>
        </w:rPr>
        <w:t>• OrderService.place(...) — builds the Order and its OrderItems from the request, computes the total from the line items, persists the order as PENDING_PAYMENT, and publishes order.placed within the same transactional method.</w:t>
      </w:r>
    </w:p>
    <w:p>
      <w:pPr>
        <w:spacing w:line="240" w:lineRule="auto" w:after="40"/>
        <w:ind w:left="720" w:hanging="288"/>
        <w:jc w:val="left"/>
      </w:pPr>
      <w:r>
        <w:rPr>
          <w:rFonts w:ascii="Times New Roman" w:hAnsi="Times New Roman"/>
          <w:sz w:val="24"/>
        </w:rPr>
        <w:t>• payment-service consumes order.placed, charges the in-process gateway (which approves any positive amount), persists a Payment, and emits payment.completed.</w:t>
      </w:r>
    </w:p>
    <w:p>
      <w:pPr>
        <w:spacing w:line="240" w:lineRule="auto" w:after="40"/>
        <w:ind w:left="720" w:hanging="288"/>
        <w:jc w:val="left"/>
      </w:pPr>
      <w:r>
        <w:rPr>
          <w:rFonts w:ascii="Times New Roman" w:hAnsi="Times New Roman"/>
          <w:sz w:val="24"/>
        </w:rPr>
        <w:t>• order-service consumes payment.completed and moves the order to CONFIRMED; delivery-service consumes the same event, assigns a courier, and emits order.dispatched, which moves the order to OUT_FOR_DELIVERY.</w:t>
      </w:r>
    </w:p>
    <w:p>
      <w:pPr>
        <w:pStyle w:val="Heading4"/>
        <w:spacing w:line="240" w:lineRule="auto" w:before="240" w:after="120"/>
        <w:jc w:val="left"/>
      </w:pPr>
      <w:r>
        <w:rPr>
          <w:rFonts w:ascii="Times New Roman" w:hAnsi="Times New Roman"/>
          <w:b/>
          <w:sz w:val="26"/>
        </w:rPr>
        <w:t>API request and response</w:t>
      </w:r>
    </w:p>
    <w:p>
      <w:pPr>
        <w:spacing w:line="360" w:lineRule="auto" w:after="120"/>
        <w:jc w:val="both"/>
      </w:pPr>
      <w:r>
        <w:rPr>
          <w:rFonts w:ascii="Times New Roman" w:hAnsi="Times New Roman"/>
          <w:sz w:val="24"/>
        </w:rPr>
        <w:t>POST /api/orders accepts a JSON body containing the restaurantId, an optional three-letter currency (defaulting to USD), and a non-empty items array, where each line carries menuItemId, name, quantity and unitPrice. The order total is computed on the server from the submitted lines, and the response returns the generated order id, the computed totalAmount, and the status PENDING_PAYMENT. There is no server-side cart: the client submits the lines it wants to order.</w:t>
      </w:r>
    </w:p>
    <w:p>
      <w:pPr>
        <w:pStyle w:val="Heading4"/>
        <w:spacing w:line="240" w:lineRule="auto" w:before="240" w:after="120"/>
        <w:jc w:val="left"/>
      </w:pPr>
      <w:r>
        <w:rPr>
          <w:rFonts w:ascii="Times New Roman" w:hAnsi="Times New Roman"/>
          <w:b/>
          <w:sz w:val="26"/>
        </w:rPr>
        <w:t>Design choices for correctness and performance</w:t>
      </w:r>
    </w:p>
    <w:p>
      <w:pPr>
        <w:spacing w:line="240" w:lineRule="auto" w:after="40"/>
        <w:ind w:left="720" w:hanging="288"/>
        <w:jc w:val="left"/>
      </w:pPr>
      <w:r>
        <w:rPr>
          <w:rFonts w:ascii="Times New Roman" w:hAnsi="Times New Roman"/>
          <w:sz w:val="24"/>
        </w:rPr>
        <w:t>• Events are serialised as JSON strings with a String key and value, decoupling producers and consumers from a shared deserialiser and avoiding type-header coupling between services.</w:t>
      </w:r>
    </w:p>
    <w:p>
      <w:pPr>
        <w:spacing w:line="240" w:lineRule="auto" w:after="40"/>
        <w:ind w:left="720" w:hanging="288"/>
        <w:jc w:val="left"/>
      </w:pPr>
      <w:r>
        <w:rPr>
          <w:rFonts w:ascii="Times New Roman" w:hAnsi="Times New Roman"/>
          <w:sz w:val="24"/>
        </w:rPr>
        <w:t>• Each consumer guards its transition on the expected current status, so a duplicate or out-of-order delivery is ignored rather than corrupting state — the consumers are idempotent.</w:t>
      </w:r>
    </w:p>
    <w:p>
      <w:pPr>
        <w:spacing w:line="240" w:lineRule="auto" w:after="40"/>
        <w:ind w:left="720" w:hanging="288"/>
        <w:jc w:val="left"/>
      </w:pPr>
      <w:r>
        <w:rPr>
          <w:rFonts w:ascii="Times New Roman" w:hAnsi="Times New Roman"/>
          <w:sz w:val="24"/>
        </w:rPr>
        <w:t>• Primary keys are UUIDs generated by the database default, and the hot read paths (orders by customer, orders by status, restaurants by city) are backed by explicit indexes.</w:t>
      </w:r>
    </w:p>
    <w:p>
      <w:pPr>
        <w:spacing w:line="240" w:lineRule="auto" w:after="40"/>
        <w:ind w:left="720" w:hanging="288"/>
        <w:jc w:val="left"/>
      </w:pPr>
      <w:r>
        <w:rPr>
          <w:rFonts w:ascii="Times New Roman" w:hAnsi="Times New Roman"/>
          <w:sz w:val="24"/>
        </w:rPr>
        <w:t>• Notifications are delivered asynchronously over Kafka, so third-party notification latency never sits on the order-placement request path.</w:t>
      </w:r>
    </w:p>
    <w:p>
      <w:pPr>
        <w:spacing w:line="240" w:lineRule="auto" w:after="40"/>
        <w:ind w:left="720" w:hanging="288"/>
        <w:jc w:val="left"/>
      </w:pPr>
      <w:r>
        <w:rPr>
          <w:rFonts w:ascii="Times New Roman" w:hAnsi="Times New Roman"/>
          <w:sz w:val="24"/>
        </w:rPr>
        <w:t>• The reconciliation job, not an unbounded consumer retry, is the recovery mechanism for a lost payment event, keeping the request path fast and bounded.</w:t>
      </w:r>
    </w:p>
    <w:p>
      <w:pPr>
        <w:pStyle w:val="Heading3"/>
        <w:spacing w:line="240" w:lineRule="auto" w:before="240" w:after="120"/>
        <w:jc w:val="left"/>
      </w:pPr>
      <w:r>
        <w:rPr>
          <w:rFonts w:ascii="Times New Roman" w:hAnsi="Times New Roman"/>
          <w:b/>
          <w:sz w:val="28"/>
        </w:rPr>
        <w:t>Testing Strategy</w:t>
      </w:r>
    </w:p>
    <w:p>
      <w:pPr>
        <w:spacing w:line="360" w:lineRule="auto" w:after="120"/>
        <w:jc w:val="both"/>
      </w:pPr>
      <w:r>
        <w:rPr>
          <w:rFonts w:ascii="Times New Roman" w:hAnsi="Times New Roman"/>
          <w:sz w:val="24"/>
        </w:rPr>
        <w:t>Foodly follows a test pyramid: fast service-layer unit tests that isolate collaborators with Mockito, a thin slice of web/security tests, and a repository integration test that runs against a real PostgreSQL instance in Testcontainers. Unit tests run under mvn test; the Testcontainers integration test runs under mvn verify, which is the integration gate. The suites are summarised in Table 4.1.</w:t>
      </w:r>
    </w:p>
    <w:p>
      <w:pPr>
        <w:jc w:val="center"/>
      </w:pPr>
      <w:r>
        <w:rPr>
          <w:rFonts w:ascii="Times New Roman" w:hAnsi="Times New Roman"/>
          <w:i/>
          <w:sz w:val="22"/>
        </w:rPr>
        <w:t>Table 4.1: Test suites by module. mvn test runs the unit and slice tests; mvn verify adds the Testcontainers integration test.</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Module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Representative test(s)</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Type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1"/>
              </w:rPr>
              <w:t>What it verifies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AuthServiceTest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Unit (Mockito)</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Signup hashing, duplicate-email conflict, login token issuance, refresh</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UserControllerIntegrationTest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Web slice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Authenticated /users/me with a mocked JWT decoder</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UserRepositoryPostgresIT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Integration (Testcontainers)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JPA mapping and case-insensitive email uniqueness on real Postgres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RestaurantServiceTest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Unit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Create, owner-only menu add, generated id return, not-found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OrderServiceTest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Unit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Total computation, order.placed emission, guarded transitions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PaymentServiceTest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Unit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Charge outcome mapping, idempotency on order id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DeliveryServiceTest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Unit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Courier assignment and completion → events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NotificationStoreTest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Unit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Bounded in-memory store behaviour</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api-gateway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FoodlyGatewayApplicationTests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Context / smoke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1"/>
              </w:rPr>
              <w:t>Health endpoint with discovery and Redis health disabled</w:t>
            </w:r>
          </w:p>
        </w:tc>
      </w:tr>
    </w:tbl>
    <w:p>
      <w:pPr>
        <w:pStyle w:val="Heading3"/>
        <w:spacing w:line="240" w:lineRule="auto" w:before="240" w:after="120"/>
        <w:jc w:val="left"/>
      </w:pPr>
      <w:r>
        <w:rPr>
          <w:rFonts w:ascii="Times New Roman" w:hAnsi="Times New Roman"/>
          <w:b/>
          <w:sz w:val="28"/>
        </w:rPr>
        <w:t>API Reference</w:t>
      </w:r>
    </w:p>
    <w:p>
      <w:pPr>
        <w:spacing w:line="360" w:lineRule="auto" w:after="120"/>
        <w:jc w:val="both"/>
      </w:pPr>
      <w:r>
        <w:rPr>
          <w:rFonts w:ascii="Times New Roman" w:hAnsi="Times New Roman"/>
          <w:sz w:val="24"/>
        </w:rPr>
        <w:t>All endpoints are reached through the gateway on port 8080 under the /api prefix, which the gateway strips before forwarding. Table 4.2 lists the public surface.</w:t>
      </w:r>
    </w:p>
    <w:p>
      <w:pPr>
        <w:jc w:val="center"/>
      </w:pPr>
      <w:r>
        <w:rPr>
          <w:rFonts w:ascii="Times New Roman" w:hAnsi="Times New Roman"/>
          <w:i/>
          <w:sz w:val="22"/>
        </w:rPr>
        <w:t>Table 4.2: REST API reference (all paths are fronted by the gateway on :8080).</w:t>
      </w:r>
    </w:p>
    <w:tbl>
      <w:tblPr>
        <w:tblW w:type="auto" w:w="0"/>
        <w:tblLook w:firstColumn="1" w:firstRow="1" w:lastColumn="0" w:lastRow="0" w:noHBand="0" w:noVBand="1" w:val="04A0"/>
      </w:tblPr>
      <w:tblGrid>
        <w:gridCol w:w="2880"/>
        <w:gridCol w:w="2880"/>
        <w:gridCol w:w="2880"/>
      </w:tblGrid>
      <w:tr>
        <w:tc>
          <w:tcPr>
            <w:tcW w:type="dxa" w:w="2880"/>
            <w:tcBorders>
              <w:top w:val="single" w:sz="4" w:color="000000"/>
              <w:left w:val="single" w:sz="4" w:color="000000"/>
              <w:bottom w:val="single" w:sz="4" w:color="000000"/>
              <w:right w:val="single" w:sz="4" w:color="000000"/>
            </w:tcBorders>
          </w:tcPr>
          <w:p>
            <w:r>
              <w:rPr>
                <w:rFonts w:ascii="Times New Roman" w:hAnsi="Times New Roman"/>
                <w:b/>
                <w:sz w:val="21"/>
              </w:rPr>
              <w:t>Method &amp; path (via gateway)</w:t>
            </w:r>
          </w:p>
        </w:tc>
        <w:tc>
          <w:tcPr>
            <w:tcW w:type="dxa" w:w="2880"/>
            <w:tcBorders>
              <w:top w:val="single" w:sz="4" w:color="000000"/>
              <w:left w:val="single" w:sz="4" w:color="000000"/>
              <w:bottom w:val="single" w:sz="4" w:color="000000"/>
              <w:right w:val="single" w:sz="4" w:color="000000"/>
            </w:tcBorders>
          </w:tcPr>
          <w:p>
            <w:r>
              <w:rPr>
                <w:rFonts w:ascii="Times New Roman" w:hAnsi="Times New Roman"/>
                <w:b/>
                <w:sz w:val="21"/>
              </w:rPr>
              <w:t>Auth</w:t>
            </w:r>
          </w:p>
        </w:tc>
        <w:tc>
          <w:tcPr>
            <w:tcW w:type="dxa" w:w="2880"/>
            <w:tcBorders>
              <w:top w:val="single" w:sz="4" w:color="000000"/>
              <w:left w:val="single" w:sz="4" w:color="000000"/>
              <w:bottom w:val="single" w:sz="4" w:color="000000"/>
              <w:right w:val="single" w:sz="4" w:color="000000"/>
            </w:tcBorders>
          </w:tcPr>
          <w:p>
            <w:r>
              <w:rPr>
                <w:rFonts w:ascii="Times New Roman" w:hAnsi="Times New Roman"/>
                <w:b/>
                <w:sz w:val="21"/>
              </w:rPr>
              <w:t>Purpose</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/api/auth/signup</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Register a user; returns the created profile</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/api/auth/login</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Exchange credentials for an access + refresh token pair</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/api/auth/refresh</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 (refresh token)</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Exchange a refresh token for a fresh pair</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/api/users/me</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Read the caller's profile</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PUT /api/users/me</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Update the caller's full name / phone</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/api/users/{id}/summary</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Public-safe summary of a user</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/api/restaurants</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Search active restaurants by city or name (paged)</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/api/restaurants/{id}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Fetch a restaurant and its menu</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/api/restaurants</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RESTAURANT_OWNER / ADMIN</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Create a restaurant</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/api/restaurants/{id}/menu</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RESTAURANT_OWNER / ADMIN</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Add a menu item</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/api/orders</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Place an order (becomes PENDING_PAYMENT)</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/api/orders/{id}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Fetch an order by id</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/api/orders</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List the caller's orders (paged)</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/api/payments/{id}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Fetch a payment by id</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/api/payments/order/{orderId}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Fetch the payment for an order</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/api/delivery/order/{orderId}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Any authenticated</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Fetch the delivery for an order</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POST /api/delivery/order/{orderId}/complete</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DELIVERY_AGENT / ADMIN</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Mark the trip delivered</w:t>
            </w:r>
          </w:p>
        </w:tc>
      </w:tr>
      <w:tr>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GET /api/notifications</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Public (demo)</w:t>
            </w:r>
          </w:p>
        </w:tc>
        <w:tc>
          <w:tcPr>
            <w:tcW w:type="dxa" w:w="2880"/>
            <w:tcBorders>
              <w:top w:val="single" w:sz="4" w:color="000000"/>
              <w:left w:val="single" w:sz="4" w:color="000000"/>
              <w:bottom w:val="single" w:sz="4" w:color="000000"/>
              <w:right w:val="single" w:sz="4" w:color="000000"/>
            </w:tcBorders>
          </w:tcPr>
          <w:p>
            <w:r>
              <w:rPr>
                <w:rFonts w:ascii="Times New Roman" w:hAnsi="Times New Roman"/>
                <w:sz w:val="21"/>
              </w:rPr>
              <w:t>Read the recorded lifecycle notifications</w:t>
            </w:r>
          </w:p>
        </w:tc>
      </w:tr>
    </w:tbl>
    <w:p>
      <w:pPr>
        <w:pStyle w:val="Heading3"/>
        <w:spacing w:line="240" w:lineRule="auto" w:before="240" w:after="120"/>
        <w:jc w:val="left"/>
      </w:pPr>
      <w:r>
        <w:rPr>
          <w:rFonts w:ascii="Times New Roman" w:hAnsi="Times New Roman"/>
          <w:b/>
          <w:sz w:val="28"/>
        </w:rPr>
        <w:t>Deployment Flow</w:t>
      </w:r>
    </w:p>
    <w:p>
      <w:pPr>
        <w:spacing w:line="360" w:lineRule="auto" w:after="120"/>
        <w:jc w:val="both"/>
      </w:pPr>
      <w:r>
        <w:rPr>
          <w:rFonts w:ascii="Times New Roman" w:hAnsi="Times New Roman"/>
          <w:sz w:val="24"/>
        </w:rPr>
        <w:t>For the submission, Foodly is deployed entirely on the local machine using Docker Compose. This keeps the project self-contained and reproducible by the evaluator with a single command, with no cloud cost or credentials. The container images are nonetheless production-shaped: each service runs from a slim JRE image and inter-service networking is mediated by the gateway and Eureka exactly as it would be in a managed cluster, so promotion to Kubernetes, ECS, or Cloud Run would be a descriptor change rather than a code change. The topology is shown in Figure 5.1.</w:t>
      </w:r>
    </w:p>
    <w:p>
      <w:pPr>
        <w:spacing w:before="160" w:after="40"/>
        <w:jc w:val="center"/>
      </w:pPr>
      <w:r>
        <w:drawing>
          <wp:inline>
            <wp:extent cx="5577840" cy="3670333"/>
            <wp:docPr id="8" name="Picture 8"/>
            <wp:cNvGraphicFramePr>
              <a:graphicFrameLocks noChangeAspect="1"/>
            </wp:cNvGraphicFramePr>
            <a:graphic>
              <a:graphicData uri="http://schemas.openxmlformats.org/drawingml/2006/picture">
                <pic:pic>
                  <pic:nvPicPr>
                    <pic:cNvPr id="0" name="fig_5_1_deployment.png"/>
                    <pic:cNvPicPr/>
                  </pic:nvPicPr>
                  <pic:blipFill>
                    <a:blip r:embed="rId18"/>
                    <a:stretch>
                      <a:fillRect/>
                    </a:stretch>
                  </pic:blipFill>
                  <pic:spPr>
                    <a:xfrm>
                      <a:off x="0" y="0"/>
                      <a:ext cx="5577840" cy="3670333"/>
                    </a:xfrm>
                    <a:prstGeom prst="rect"/>
                  </pic:spPr>
                </pic:pic>
              </a:graphicData>
            </a:graphic>
          </wp:inline>
        </w:drawing>
      </w:r>
    </w:p>
    <w:p>
      <w:pPr>
        <w:spacing w:line="240" w:lineRule="auto" w:after="240"/>
        <w:jc w:val="center"/>
      </w:pPr>
      <w:r>
        <w:rPr>
          <w:rFonts w:ascii="Times New Roman" w:hAnsi="Times New Roman"/>
          <w:i/>
          <w:sz w:val="22"/>
        </w:rPr>
        <w:t>Figure 5.1: Local Docker Compose deployment topology.</w:t>
      </w:r>
    </w:p>
    <w:p>
      <w:pPr>
        <w:pStyle w:val="Heading4"/>
        <w:spacing w:line="240" w:lineRule="auto" w:before="240" w:after="120"/>
        <w:jc w:val="left"/>
      </w:pPr>
      <w:r>
        <w:rPr>
          <w:rFonts w:ascii="Times New Roman" w:hAnsi="Times New Roman"/>
          <w:b/>
          <w:sz w:val="26"/>
        </w:rPr>
        <w:t>Container topology</w:t>
      </w:r>
    </w:p>
    <w:p>
      <w:pPr>
        <w:spacing w:line="240" w:lineRule="auto" w:after="40"/>
        <w:ind w:left="720" w:hanging="288"/>
        <w:jc w:val="left"/>
      </w:pPr>
      <w:r>
        <w:rPr>
          <w:rFonts w:ascii="Times New Roman" w:hAnsi="Times New Roman"/>
          <w:sz w:val="24"/>
        </w:rPr>
        <w:t>• All services and infrastructure are described in a single docker-compose.yml at the repository root, attached to one user-defined bridge network where services address each other by container name.</w:t>
      </w:r>
    </w:p>
    <w:p>
      <w:pPr>
        <w:spacing w:line="240" w:lineRule="auto" w:after="40"/>
        <w:ind w:left="720" w:hanging="288"/>
        <w:jc w:val="left"/>
      </w:pPr>
      <w:r>
        <w:rPr>
          <w:rFonts w:ascii="Times New Roman" w:hAnsi="Times New Roman"/>
          <w:sz w:val="24"/>
        </w:rPr>
        <w:t>• Infrastructure containers: postgres (one instance, five logical databases), kafka (KRaft mode, no Zookeeper), redis, and kafka-ui for topic inspection.</w:t>
      </w:r>
    </w:p>
    <w:p>
      <w:pPr>
        <w:spacing w:line="240" w:lineRule="auto" w:after="40"/>
        <w:ind w:left="720" w:hanging="288"/>
        <w:jc w:val="left"/>
      </w:pPr>
      <w:r>
        <w:rPr>
          <w:rFonts w:ascii="Times New Roman" w:hAnsi="Times New Roman"/>
          <w:sz w:val="24"/>
        </w:rPr>
        <w:t>• Application containers: api-gateway, discovery-server, config-server, and the six business services.</w:t>
      </w:r>
    </w:p>
    <w:p>
      <w:pPr>
        <w:spacing w:line="240" w:lineRule="auto" w:after="40"/>
        <w:ind w:left="720" w:hanging="288"/>
        <w:jc w:val="left"/>
      </w:pPr>
      <w:r>
        <w:rPr>
          <w:rFonts w:ascii="Times New Roman" w:hAnsi="Times New Roman"/>
          <w:sz w:val="24"/>
        </w:rPr>
        <w:t>• On the host, Kafka is reached on localhost:9094; inside the network it is kafka:9092 — the compose file overrides the broker address accordingly.</w:t>
      </w:r>
    </w:p>
    <w:p>
      <w:pPr>
        <w:pStyle w:val="Heading4"/>
        <w:spacing w:line="240" w:lineRule="auto" w:before="240" w:after="120"/>
        <w:jc w:val="left"/>
      </w:pPr>
      <w:r>
        <w:rPr>
          <w:rFonts w:ascii="Times New Roman" w:hAnsi="Times New Roman"/>
          <w:b/>
          <w:sz w:val="26"/>
        </w:rPr>
        <w:t>Database bootstrapping and start-up order</w:t>
      </w:r>
    </w:p>
    <w:p>
      <w:pPr>
        <w:spacing w:line="240" w:lineRule="auto" w:after="40"/>
        <w:ind w:left="720" w:hanging="288"/>
        <w:jc w:val="left"/>
      </w:pPr>
      <w:r>
        <w:rPr>
          <w:rFonts w:ascii="Times New Roman" w:hAnsi="Times New Roman"/>
          <w:sz w:val="24"/>
        </w:rPr>
        <w:t>• The Postgres container runs docker/postgres/init-multiple-dbs.sh on first boot, creating one logical database per stateful service from the POSTGRES_MULTIPLE_DATABASES variable.</w:t>
      </w:r>
    </w:p>
    <w:p>
      <w:pPr>
        <w:spacing w:line="240" w:lineRule="auto" w:after="40"/>
        <w:ind w:left="720" w:hanging="288"/>
        <w:jc w:val="left"/>
      </w:pPr>
      <w:r>
        <w:rPr>
          <w:rFonts w:ascii="Times New Roman" w:hAnsi="Times New Roman"/>
          <w:sz w:val="24"/>
        </w:rPr>
        <w:t>• Each service runs its Flyway migrations on start-up, so schemas are reproducible from a fresh docker compose up.</w:t>
      </w:r>
    </w:p>
    <w:p>
      <w:pPr>
        <w:spacing w:line="240" w:lineRule="auto" w:after="40"/>
        <w:ind w:left="720" w:hanging="288"/>
        <w:jc w:val="left"/>
      </w:pPr>
      <w:r>
        <w:rPr>
          <w:rFonts w:ascii="Times New Roman" w:hAnsi="Times New Roman"/>
          <w:sz w:val="24"/>
        </w:rPr>
        <w:t>• depends_on health conditions confirm Postgres and Kafka are ready before services start; the discovery server comes up first, then services register with Eureka and become routable through the gateway.</w:t>
      </w:r>
    </w:p>
    <w:p>
      <w:pPr>
        <w:pStyle w:val="Heading4"/>
        <w:spacing w:line="240" w:lineRule="auto" w:before="240" w:after="120"/>
        <w:jc w:val="left"/>
      </w:pPr>
      <w:r>
        <w:rPr>
          <w:rFonts w:ascii="Times New Roman" w:hAnsi="Times New Roman"/>
          <w:b/>
          <w:sz w:val="26"/>
        </w:rPr>
        <w:t>Operating the stack</w:t>
      </w:r>
    </w:p>
    <w:p>
      <w:pPr>
        <w:spacing w:line="240" w:lineRule="auto" w:after="40"/>
        <w:ind w:left="720" w:hanging="288"/>
        <w:jc w:val="left"/>
      </w:pPr>
      <w:r>
        <w:rPr>
          <w:rFonts w:ascii="Times New Roman" w:hAnsi="Times New Roman"/>
          <w:sz w:val="24"/>
        </w:rPr>
        <w:t>• Build: mvn clean package -DskipTests then docker compose build.</w:t>
      </w:r>
    </w:p>
    <w:p>
      <w:pPr>
        <w:spacing w:line="240" w:lineRule="auto" w:after="40"/>
        <w:ind w:left="720" w:hanging="288"/>
        <w:jc w:val="left"/>
      </w:pPr>
      <w:r>
        <w:rPr>
          <w:rFonts w:ascii="Times New Roman" w:hAnsi="Times New Roman"/>
          <w:sz w:val="24"/>
        </w:rPr>
        <w:t>• Run: docker compose up -d.</w:t>
      </w:r>
    </w:p>
    <w:p>
      <w:pPr>
        <w:spacing w:line="240" w:lineRule="auto" w:after="40"/>
        <w:ind w:left="720" w:hanging="288"/>
        <w:jc w:val="left"/>
      </w:pPr>
      <w:r>
        <w:rPr>
          <w:rFonts w:ascii="Times New Roman" w:hAnsi="Times New Roman"/>
          <w:sz w:val="24"/>
        </w:rPr>
        <w:t>• Observe: docker compose logs -f api-gateway order-service, and the Kafka UI at http://localhost:8081.</w:t>
      </w:r>
    </w:p>
    <w:p>
      <w:pPr>
        <w:spacing w:line="240" w:lineRule="auto" w:after="40"/>
        <w:ind w:left="720" w:hanging="288"/>
        <w:jc w:val="left"/>
      </w:pPr>
      <w:r>
        <w:rPr>
          <w:rFonts w:ascii="Times New Roman" w:hAnsi="Times New Roman"/>
          <w:sz w:val="24"/>
        </w:rPr>
        <w:t>• Tear down: docker compose down (add -v to drop volumes).</w:t>
      </w:r>
    </w:p>
    <w:p>
      <w:pPr>
        <w:pStyle w:val="Heading3"/>
        <w:spacing w:line="240" w:lineRule="auto" w:before="240" w:after="120"/>
        <w:jc w:val="left"/>
      </w:pPr>
      <w:r>
        <w:rPr>
          <w:rFonts w:ascii="Times New Roman" w:hAnsi="Times New Roman"/>
          <w:b/>
          <w:sz w:val="28"/>
        </w:rPr>
        <w:t>Technologies Used</w:t>
      </w:r>
    </w:p>
    <w:p>
      <w:pPr>
        <w:spacing w:line="360" w:lineRule="auto" w:after="120"/>
        <w:jc w:val="both"/>
      </w:pPr>
      <w:r>
        <w:rPr>
          <w:rFonts w:ascii="Times New Roman" w:hAnsi="Times New Roman"/>
          <w:sz w:val="24"/>
        </w:rPr>
        <w:t>Each technology was chosen for curriculum coverage, production maturity, and ecosystem fit.</w:t>
      </w:r>
    </w:p>
    <w:p>
      <w:pPr>
        <w:pStyle w:val="Heading4"/>
        <w:spacing w:line="240" w:lineRule="auto" w:before="240" w:after="120"/>
        <w:jc w:val="left"/>
      </w:pPr>
      <w:r>
        <w:rPr>
          <w:rFonts w:ascii="Times New Roman" w:hAnsi="Times New Roman"/>
          <w:b/>
          <w:sz w:val="26"/>
        </w:rPr>
        <w:t>Java 17 and Spring Boot 3.2</w:t>
      </w:r>
    </w:p>
    <w:p>
      <w:pPr>
        <w:spacing w:line="360" w:lineRule="auto" w:after="120"/>
        <w:jc w:val="both"/>
      </w:pPr>
      <w:r>
        <w:rPr>
          <w:rFonts w:ascii="Times New Roman" w:hAnsi="Times New Roman"/>
          <w:sz w:val="24"/>
        </w:rPr>
        <w:t>Java 17 is the current long-term-support release; Spring Boot 3.2 provides auto-configuration, an embedded server, and tight integration with the wider Spring ecosystem used throughout Foodly.</w:t>
      </w:r>
    </w:p>
    <w:p>
      <w:pPr>
        <w:pStyle w:val="Heading4"/>
        <w:spacing w:line="240" w:lineRule="auto" w:before="240" w:after="120"/>
        <w:jc w:val="left"/>
      </w:pPr>
      <w:r>
        <w:rPr>
          <w:rFonts w:ascii="Times New Roman" w:hAnsi="Times New Roman"/>
          <w:b/>
          <w:sz w:val="26"/>
        </w:rPr>
        <w:t>Spring Cloud (Gateway, Eureka, Config Server)</w:t>
      </w:r>
    </w:p>
    <w:p>
      <w:pPr>
        <w:spacing w:line="360" w:lineRule="auto" w:after="120"/>
        <w:jc w:val="both"/>
      </w:pPr>
      <w:r>
        <w:rPr>
          <w:rFonts w:ascii="Times New Roman" w:hAnsi="Times New Roman"/>
          <w:sz w:val="24"/>
        </w:rPr>
        <w:t>Spring Cloud Gateway provides reactive, predicate-and-filter request routing and is the single ingress. Eureka is the service registry the gateway resolves instances through. The config server externalises configuration — including the JWT public key — so values can change without rebuilding images.</w:t>
      </w:r>
    </w:p>
    <w:p>
      <w:pPr>
        <w:pStyle w:val="Heading4"/>
        <w:spacing w:line="240" w:lineRule="auto" w:before="240" w:after="120"/>
        <w:jc w:val="left"/>
      </w:pPr>
      <w:r>
        <w:rPr>
          <w:rFonts w:ascii="Times New Roman" w:hAnsi="Times New Roman"/>
          <w:b/>
          <w:sz w:val="26"/>
        </w:rPr>
        <w:t>Apache Kafka (KRaft)</w:t>
      </w:r>
    </w:p>
    <w:p>
      <w:pPr>
        <w:spacing w:line="360" w:lineRule="auto" w:after="120"/>
        <w:jc w:val="both"/>
      </w:pPr>
      <w:r>
        <w:rPr>
          <w:rFonts w:ascii="Times New Roman" w:hAnsi="Times New Roman"/>
          <w:sz w:val="24"/>
        </w:rPr>
        <w:t>Kafka is the asynchronous backbone. Producers append events; consumers in independent groups read at their own pace. Foodly uses the topics order.placed, payment.completed, payment.failed, order.dispatched, and order.delivered, running Kafka in KRaft mode without ZooKeeper.</w:t>
      </w:r>
    </w:p>
    <w:p>
      <w:pPr>
        <w:pStyle w:val="Heading4"/>
        <w:spacing w:line="240" w:lineRule="auto" w:before="240" w:after="120"/>
        <w:jc w:val="left"/>
      </w:pPr>
      <w:r>
        <w:rPr>
          <w:rFonts w:ascii="Times New Roman" w:hAnsi="Times New Roman"/>
          <w:b/>
          <w:sz w:val="26"/>
        </w:rPr>
        <w:t>PostgreSQL and Spring Data JPA</w:t>
      </w:r>
    </w:p>
    <w:p>
      <w:pPr>
        <w:spacing w:line="360" w:lineRule="auto" w:after="120"/>
        <w:jc w:val="both"/>
      </w:pPr>
      <w:r>
        <w:rPr>
          <w:rFonts w:ascii="Times New Roman" w:hAnsi="Times New Roman"/>
          <w:sz w:val="24"/>
        </w:rPr>
        <w:t>PostgreSQL provides strict transactional semantics and rich indexing. Spring Data JPA over Hibernate removes boilerplate by deriving queries from method names, and Flyway versions each service's schema.</w:t>
      </w:r>
    </w:p>
    <w:p>
      <w:pPr>
        <w:pStyle w:val="Heading4"/>
        <w:spacing w:line="240" w:lineRule="auto" w:before="240" w:after="120"/>
        <w:jc w:val="left"/>
      </w:pPr>
      <w:r>
        <w:rPr>
          <w:rFonts w:ascii="Times New Roman" w:hAnsi="Times New Roman"/>
          <w:b/>
          <w:sz w:val="26"/>
        </w:rPr>
        <w:t>JSON Web Tokens and Spring Security 6</w:t>
      </w:r>
    </w:p>
    <w:p>
      <w:pPr>
        <w:spacing w:line="360" w:lineRule="auto" w:after="120"/>
        <w:jc w:val="both"/>
      </w:pPr>
      <w:r>
        <w:rPr>
          <w:rFonts w:ascii="Times New Roman" w:hAnsi="Times New Roman"/>
          <w:sz w:val="24"/>
        </w:rPr>
        <w:t>Authentication is stateless. The user-service signs an RS256 token; every other service verifies it as an OAuth2 resource server using a statically configured RSA public key distributed by the config server — deliberately not a JWKS endpoint, which keeps the services free of a runtime dependency on the issuer.</w:t>
      </w:r>
    </w:p>
    <w:p>
      <w:pPr>
        <w:pStyle w:val="Heading4"/>
        <w:spacing w:line="240" w:lineRule="auto" w:before="240" w:after="120"/>
        <w:jc w:val="left"/>
      </w:pPr>
      <w:r>
        <w:rPr>
          <w:rFonts w:ascii="Times New Roman" w:hAnsi="Times New Roman"/>
          <w:b/>
          <w:sz w:val="26"/>
        </w:rPr>
        <w:t>Apache Maven (multi-module)</w:t>
      </w:r>
    </w:p>
    <w:p>
      <w:pPr>
        <w:spacing w:line="360" w:lineRule="auto" w:after="120"/>
        <w:jc w:val="both"/>
      </w:pPr>
      <w:r>
        <w:rPr>
          <w:rFonts w:ascii="Times New Roman" w:hAnsi="Times New Roman"/>
          <w:sz w:val="24"/>
        </w:rPr>
        <w:t>A parent POM pins Spring Boot and Spring Cloud versions and pre-registers Lombok and MapStruct as annotation processors, so the ten modules inherit aligned dependencies and build as one reactor.</w:t>
      </w:r>
    </w:p>
    <w:p>
      <w:pPr>
        <w:pStyle w:val="Heading4"/>
        <w:spacing w:line="240" w:lineRule="auto" w:before="240" w:after="120"/>
        <w:jc w:val="left"/>
      </w:pPr>
      <w:r>
        <w:rPr>
          <w:rFonts w:ascii="Times New Roman" w:hAnsi="Times New Roman"/>
          <w:b/>
          <w:sz w:val="26"/>
        </w:rPr>
        <w:t>Docker and Docker Compose</w:t>
      </w:r>
    </w:p>
    <w:p>
      <w:pPr>
        <w:spacing w:line="360" w:lineRule="auto" w:after="120"/>
        <w:jc w:val="both"/>
      </w:pPr>
      <w:r>
        <w:rPr>
          <w:rFonts w:ascii="Times New Roman" w:hAnsi="Times New Roman"/>
          <w:sz w:val="24"/>
        </w:rPr>
        <w:t>Each service ships a Dockerfile producing a slim runtime image, and one docker-compose.yml brings up the infrastructure and application containers together with health-gated start-up ordering.</w:t>
      </w:r>
    </w:p>
    <w:p>
      <w:pPr>
        <w:pStyle w:val="Heading4"/>
        <w:spacing w:line="240" w:lineRule="auto" w:before="240" w:after="120"/>
        <w:jc w:val="left"/>
      </w:pPr>
      <w:r>
        <w:rPr>
          <w:rFonts w:ascii="Times New Roman" w:hAnsi="Times New Roman"/>
          <w:b/>
          <w:sz w:val="26"/>
        </w:rPr>
        <w:t>JUnit 5, Mockito, and Testcontainers</w:t>
      </w:r>
    </w:p>
    <w:p>
      <w:pPr>
        <w:spacing w:line="360" w:lineRule="auto" w:after="120"/>
        <w:jc w:val="both"/>
      </w:pPr>
      <w:r>
        <w:rPr>
          <w:rFonts w:ascii="Times New Roman" w:hAnsi="Times New Roman"/>
          <w:sz w:val="24"/>
        </w:rPr>
        <w:t>JUnit 5 runs the suite, Mockito isolates service-layer collaborators, and Testcontainers starts a real PostgreSQL instance for the repository integration test so persistence is verified against the real database rather than an in-memory substitute.</w:t>
      </w:r>
    </w:p>
    <w:p>
      <w:pPr>
        <w:pStyle w:val="Heading3"/>
        <w:spacing w:line="240" w:lineRule="auto" w:before="240" w:after="120"/>
        <w:jc w:val="left"/>
      </w:pPr>
      <w:r>
        <w:rPr>
          <w:rFonts w:ascii="Times New Roman" w:hAnsi="Times New Roman"/>
          <w:b/>
          <w:sz w:val="28"/>
        </w:rPr>
        <w:t>Conclusion</w:t>
      </w:r>
    </w:p>
    <w:p>
      <w:pPr>
        <w:spacing w:line="360" w:lineRule="auto" w:after="120"/>
        <w:jc w:val="both"/>
      </w:pPr>
      <w:r>
        <w:rPr>
          <w:rFonts w:ascii="Times New Roman" w:hAnsi="Times New Roman"/>
          <w:sz w:val="24"/>
        </w:rPr>
        <w:t>Foodly demonstrates that a production-shaped, event-driven backend can be designed, built, and operated end-to-end by a single engineer using only open-source components on commodity hardware. It is the cumulative application of the Scaler Neovarsity Backend Specialization curriculum, and the full source runs on any machine with Docker via a single command.</w:t>
      </w:r>
    </w:p>
    <w:p>
      <w:pPr>
        <w:pStyle w:val="Heading4"/>
        <w:spacing w:line="240" w:lineRule="auto" w:before="240" w:after="120"/>
        <w:jc w:val="left"/>
      </w:pPr>
      <w:r>
        <w:rPr>
          <w:rFonts w:ascii="Times New Roman" w:hAnsi="Times New Roman"/>
          <w:b/>
          <w:sz w:val="26"/>
        </w:rPr>
        <w:t>Key takeaways</w:t>
      </w:r>
    </w:p>
    <w:p>
      <w:pPr>
        <w:spacing w:line="240" w:lineRule="auto" w:after="40"/>
        <w:ind w:left="720" w:hanging="288"/>
        <w:jc w:val="left"/>
      </w:pPr>
      <w:r>
        <w:rPr>
          <w:rFonts w:ascii="Times New Roman" w:hAnsi="Times New Roman"/>
          <w:sz w:val="24"/>
        </w:rPr>
        <w:t>• Getting bounded contexts right matters more than the framework: each service owning its own database is what makes independent deployment and event choreography possible.</w:t>
      </w:r>
    </w:p>
    <w:p>
      <w:pPr>
        <w:spacing w:line="240" w:lineRule="auto" w:after="40"/>
        <w:ind w:left="720" w:hanging="288"/>
        <w:jc w:val="left"/>
      </w:pPr>
      <w:r>
        <w:rPr>
          <w:rFonts w:ascii="Times New Roman" w:hAnsi="Times New Roman"/>
          <w:sz w:val="24"/>
        </w:rPr>
        <w:t>• Asynchronous choreography over Kafka is the right default for cross-service state, with synchronous REST reserved for reads through the gateway.</w:t>
      </w:r>
    </w:p>
    <w:p>
      <w:pPr>
        <w:spacing w:line="240" w:lineRule="auto" w:after="40"/>
        <w:ind w:left="720" w:hanging="288"/>
        <w:jc w:val="left"/>
      </w:pPr>
      <w:r>
        <w:rPr>
          <w:rFonts w:ascii="Times New Roman" w:hAnsi="Times New Roman"/>
          <w:sz w:val="24"/>
        </w:rPr>
        <w:t>• Idempotent, status-guarded consumers plus a reconciliation job give eventual correctness without an orchestrator or unbounded retries.</w:t>
      </w:r>
    </w:p>
    <w:p>
      <w:pPr>
        <w:spacing w:line="240" w:lineRule="auto" w:after="40"/>
        <w:ind w:left="720" w:hanging="288"/>
        <w:jc w:val="left"/>
      </w:pPr>
      <w:r>
        <w:rPr>
          <w:rFonts w:ascii="Times New Roman" w:hAnsi="Times New Roman"/>
          <w:sz w:val="24"/>
        </w:rPr>
        <w:t>• Stateless RS256 authentication pushes auth complexity to the edge and a small per-service decoder, keeping services simple.</w:t>
      </w:r>
    </w:p>
    <w:p>
      <w:pPr>
        <w:spacing w:line="240" w:lineRule="auto" w:after="40"/>
        <w:ind w:left="720" w:hanging="288"/>
        <w:jc w:val="left"/>
      </w:pPr>
      <w:r>
        <w:rPr>
          <w:rFonts w:ascii="Times New Roman" w:hAnsi="Times New Roman"/>
          <w:sz w:val="24"/>
        </w:rPr>
        <w:t>• A one-command local deployment is the most valuable academic deliverable: it removes cost, credential, and connectivity friction without losing architectural fidelity.</w:t>
      </w:r>
    </w:p>
    <w:p>
      <w:pPr>
        <w:pStyle w:val="Heading4"/>
        <w:spacing w:line="240" w:lineRule="auto" w:before="240" w:after="120"/>
        <w:jc w:val="left"/>
      </w:pPr>
      <w:r>
        <w:rPr>
          <w:rFonts w:ascii="Times New Roman" w:hAnsi="Times New Roman"/>
          <w:b/>
          <w:sz w:val="26"/>
        </w:rPr>
        <w:t>Limitations and future improvements</w:t>
      </w:r>
    </w:p>
    <w:p>
      <w:pPr>
        <w:spacing w:line="240" w:lineRule="auto" w:after="40"/>
        <w:ind w:left="720" w:hanging="288"/>
        <w:jc w:val="left"/>
      </w:pPr>
      <w:r>
        <w:rPr>
          <w:rFonts w:ascii="Times New Roman" w:hAnsi="Times New Roman"/>
          <w:sz w:val="24"/>
        </w:rPr>
        <w:t>• There is no server-side cart and an order targets a single restaurant; a cart service and a multi-restaurant saga would be natural extensions.</w:t>
      </w:r>
    </w:p>
    <w:p>
      <w:pPr>
        <w:spacing w:line="240" w:lineRule="auto" w:after="40"/>
        <w:ind w:left="720" w:hanging="288"/>
        <w:jc w:val="left"/>
      </w:pPr>
      <w:r>
        <w:rPr>
          <w:rFonts w:ascii="Times New Roman" w:hAnsi="Times New Roman"/>
          <w:sz w:val="24"/>
        </w:rPr>
        <w:t>• The menu is a flat entity with a free-text category; a typed hierarchy (veg / non-veg / beverage) or a search index such as OpenSearch would enrich browsing.</w:t>
      </w:r>
    </w:p>
    <w:p>
      <w:pPr>
        <w:spacing w:line="240" w:lineRule="auto" w:after="40"/>
        <w:ind w:left="720" w:hanging="288"/>
        <w:jc w:val="left"/>
      </w:pPr>
      <w:r>
        <w:rPr>
          <w:rFonts w:ascii="Times New Roman" w:hAnsi="Times New Roman"/>
          <w:sz w:val="24"/>
        </w:rPr>
        <w:t>• Notifications are recorded in memory and exposed for inspection rather than sent over email/SMS; wiring a real provider (for example SES or Twilio) is a clear next step.</w:t>
      </w:r>
    </w:p>
    <w:p>
      <w:pPr>
        <w:spacing w:line="240" w:lineRule="auto" w:after="40"/>
        <w:ind w:left="720" w:hanging="288"/>
        <w:jc w:val="left"/>
      </w:pPr>
      <w:r>
        <w:rPr>
          <w:rFonts w:ascii="Times New Roman" w:hAnsi="Times New Roman"/>
          <w:sz w:val="24"/>
        </w:rPr>
        <w:t>• The payment gateway is simulated in-process; integrating a real provider would add webhook handling and signature verification on top of the existing reconciliation safety net.</w:t>
      </w:r>
    </w:p>
    <w:p>
      <w:pPr>
        <w:spacing w:line="240" w:lineRule="auto" w:after="40"/>
        <w:ind w:left="720" w:hanging="288"/>
        <w:jc w:val="left"/>
      </w:pPr>
      <w:r>
        <w:rPr>
          <w:rFonts w:ascii="Times New Roman" w:hAnsi="Times New Roman"/>
          <w:sz w:val="24"/>
        </w:rPr>
        <w:t>• Deployment is local-only by choice; promoting the same images to a managed platform and an external managed database is the obvious production path.</w:t>
      </w:r>
    </w:p>
    <w:p>
      <w:pPr>
        <w:spacing w:line="240" w:lineRule="auto" w:after="40"/>
        <w:ind w:left="720" w:hanging="288"/>
        <w:jc w:val="left"/>
      </w:pPr>
      <w:r>
        <w:rPr>
          <w:rFonts w:ascii="Times New Roman" w:hAnsi="Times New Roman"/>
          <w:sz w:val="24"/>
        </w:rPr>
        <w:t>• Observability is health-endpoint and log based; adding metrics and distributed tracing (Micrometer / OpenTelemetry) would close the loop across services and Kafka.</w:t>
      </w:r>
    </w:p>
    <w:p w:rsidR="00000000" w:rsidDel="00000000" w:rsidP="00000000" w:rsidRDefault="00000000" w:rsidRPr="00000000" w14:paraId="000001A1">
      <w:pPr>
        <w:pStyle w:val="Heading2"/>
        <w:rPr>
          <w:rFonts w:ascii="Times New Roman" w:cs="Times New Roman" w:eastAsia="Times New Roman" w:hAnsi="Times New Roman"/>
          <w:sz w:val="28"/>
          <w:szCs w:val="28"/>
        </w:rPr>
      </w:pPr>
      <w:bookmarkStart w:colFirst="0" w:colLast="0" w:name="_z0iyzog9l959" w:id="12"/>
      <w:bookmarkEnd w:id="12"/>
      <w:r w:rsidDel="00000000" w:rsidR="00000000" w:rsidRPr="00000000">
        <w:rPr>
          <w:rFonts w:ascii="Times New Roman" w:cs="Times New Roman" w:eastAsia="Times New Roman" w:hAnsi="Times New Roman"/>
          <w:sz w:val="28"/>
          <w:szCs w:val="28"/>
          <w:rtl w:val="0"/>
        </w:rPr>
        <w:t xml:space="preserve">References</w:t>
      </w:r>
    </w:p>
    <w:p>
      <w:pPr>
        <w:spacing w:line="240" w:lineRule="auto" w:after="120"/>
        <w:jc w:val="both"/>
      </w:pPr>
      <w:r>
        <w:rPr>
          <w:rFonts w:ascii="Times New Roman" w:hAnsi="Times New Roman"/>
          <w:sz w:val="24"/>
        </w:rPr>
        <w:t>[1] Spring Boot Reference Documentation, version 3.2. Broadcom. https://docs.spring.io/spring-boot/docs/3.2.x/reference/html/.</w:t>
      </w:r>
    </w:p>
    <w:p>
      <w:pPr>
        <w:spacing w:line="240" w:lineRule="auto" w:after="120"/>
        <w:jc w:val="both"/>
      </w:pPr>
      <w:r>
        <w:rPr>
          <w:rFonts w:ascii="Times New Roman" w:hAnsi="Times New Roman"/>
          <w:sz w:val="24"/>
        </w:rPr>
        <w:t>[2] Spring Cloud Documentation, release train 2023.0. https://docs.spring.io/spring-cloud-release/reference/.</w:t>
      </w:r>
    </w:p>
    <w:p>
      <w:pPr>
        <w:spacing w:line="240" w:lineRule="auto" w:after="120"/>
        <w:jc w:val="both"/>
      </w:pPr>
      <w:r>
        <w:rPr>
          <w:rFonts w:ascii="Times New Roman" w:hAnsi="Times New Roman"/>
          <w:sz w:val="24"/>
        </w:rPr>
        <w:t>[3] Apache Kafka Documentation, version 3.7. The Apache Software Foundation. https://kafka.apache.org/documentation/.</w:t>
      </w:r>
    </w:p>
    <w:p>
      <w:pPr>
        <w:spacing w:line="240" w:lineRule="auto" w:after="120"/>
        <w:jc w:val="both"/>
      </w:pPr>
      <w:r>
        <w:rPr>
          <w:rFonts w:ascii="Times New Roman" w:hAnsi="Times New Roman"/>
          <w:sz w:val="24"/>
        </w:rPr>
        <w:t>[4] PostgreSQL 16 Documentation. The PostgreSQL Global Development Group. https://www.postgresql.org/docs/16/.</w:t>
      </w:r>
    </w:p>
    <w:p>
      <w:pPr>
        <w:spacing w:line="240" w:lineRule="auto" w:after="120"/>
        <w:jc w:val="both"/>
      </w:pPr>
      <w:r>
        <w:rPr>
          <w:rFonts w:ascii="Times New Roman" w:hAnsi="Times New Roman"/>
          <w:sz w:val="24"/>
        </w:rPr>
        <w:t>[5] Spring Data JPA Reference Documentation. https://docs.spring.io/spring-data/jpa/reference/.</w:t>
      </w:r>
    </w:p>
    <w:p>
      <w:pPr>
        <w:spacing w:line="240" w:lineRule="auto" w:after="120"/>
        <w:jc w:val="both"/>
      </w:pPr>
      <w:r>
        <w:rPr>
          <w:rFonts w:ascii="Times New Roman" w:hAnsi="Times New Roman"/>
          <w:sz w:val="24"/>
        </w:rPr>
        <w:t>[6] Spring Security Reference Documentation. https://docs.spring.io/spring-security/reference/.</w:t>
      </w:r>
    </w:p>
    <w:p>
      <w:pPr>
        <w:spacing w:line="240" w:lineRule="auto" w:after="120"/>
        <w:jc w:val="both"/>
      </w:pPr>
      <w:r>
        <w:rPr>
          <w:rFonts w:ascii="Times New Roman" w:hAnsi="Times New Roman"/>
          <w:sz w:val="24"/>
        </w:rPr>
        <w:t>[7] Docker and Docker Compose Documentation. Docker Inc. https://docs.docker.com/.</w:t>
      </w:r>
    </w:p>
    <w:p>
      <w:pPr>
        <w:spacing w:line="240" w:lineRule="auto" w:after="120"/>
        <w:jc w:val="both"/>
      </w:pPr>
      <w:r>
        <w:rPr>
          <w:rFonts w:ascii="Times New Roman" w:hAnsi="Times New Roman"/>
          <w:sz w:val="24"/>
        </w:rPr>
        <w:t>[8] IETF RFC 7519 — JSON Web Token (JWT). M. Jones, J. Bradley, N. Sakimura, 2015. https://datatracker.ietf.org/doc/html/rfc7519.</w:t>
      </w:r>
    </w:p>
    <w:p>
      <w:pPr>
        <w:spacing w:line="240" w:lineRule="auto" w:after="120"/>
        <w:jc w:val="both"/>
      </w:pPr>
      <w:r>
        <w:rPr>
          <w:rFonts w:ascii="Times New Roman" w:hAnsi="Times New Roman"/>
          <w:sz w:val="24"/>
        </w:rPr>
        <w:t>[9] Testcontainers for Java Documentation. https://java.testcontainers.org/.</w:t>
      </w:r>
    </w:p>
    <w:p>
      <w:pPr>
        <w:spacing w:line="240" w:lineRule="auto" w:after="120"/>
        <w:jc w:val="both"/>
      </w:pPr>
      <w:r>
        <w:rPr>
          <w:rFonts w:ascii="Times New Roman" w:hAnsi="Times New Roman"/>
          <w:sz w:val="24"/>
        </w:rPr>
        <w:t>[10] Newman, Sam. Building Microservices, 2nd ed. O'Reilly Media, 2021.</w:t>
      </w:r>
    </w:p>
    <w:p>
      <w:pPr>
        <w:spacing w:line="240" w:lineRule="auto" w:after="120"/>
        <w:jc w:val="both"/>
      </w:pPr>
      <w:r>
        <w:rPr>
          <w:rFonts w:ascii="Times New Roman" w:hAnsi="Times New Roman"/>
          <w:sz w:val="24"/>
        </w:rPr>
        <w:t>[11] Scaler Neovarsity Backend Specialization course material. Internal Scaler Academy resources, 2026.</w:t>
      </w:r>
    </w:p>
    <w:sectPr>
      <w:headerReference r:id="rId9" w:type="default"/>
      <w:headerReference r:id="rId10" w:type="first"/>
      <w:footerReference r:id="rId11" w:type="default"/>
      <w:footerReference r:id="rId12" w:type="first"/>
      <w:pgSz w:h="15840" w:w="12240" w:orient="portrait"/>
      <w:pgMar w:bottom="1440" w:top="1440" w:left="1800" w:right="180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ind w:left="-36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ind w:left="-360" w:firstLine="0"/>
      <w:rPr>
        <w:sz w:val="24"/>
        <w:szCs w:val="24"/>
      </w:rPr>
    </w:pPr>
    <w:r w:rsidDel="00000000" w:rsidR="00000000" w:rsidRPr="00000000">
      <w:rPr>
        <w:sz w:val="24"/>
        <w:szCs w:val="24"/>
        <w:rtl w:val="0"/>
      </w:rPr>
      <w:t xml:space="preserve">© The project report of </w:t>
    </w:r>
    <w:r w:rsidDel="00000000" w:rsidR="00000000" w:rsidRPr="00000000">
      <w:rPr>
        <w:color w:val="ff0000"/>
        <w:sz w:val="24"/>
        <w:szCs w:val="24"/>
        <w:rtl w:val="0"/>
      </w:rPr>
      <w:t xml:space="preserve">&lt;Full Name of the Student&gt;</w:t>
    </w:r>
    <w:r w:rsidDel="00000000" w:rsidR="00000000" w:rsidRPr="00000000">
      <w:rPr>
        <w:sz w:val="24"/>
        <w:szCs w:val="24"/>
        <w:rtl w:val="0"/>
      </w:rPr>
      <w:t xml:space="preserve"> is approved, and it is acceptable in quality and form for publication electronically</w:t>
    </w:r>
  </w:p>
  <w:p w:rsidR="00000000" w:rsidDel="00000000" w:rsidP="00000000" w:rsidRDefault="00000000" w:rsidRPr="00000000" w14:paraId="000001DB">
    <w:pPr>
      <w:ind w:left="-360" w:firstLine="0"/>
      <w:jc w:val="right"/>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s="Times New Roman" w:eastAsia="Times New Roman"/>
    </w:rPr>
  </w:style>
  <w:style w:type="paragraph" w:styleId="Heading1">
    <w:name w:val="heading 1"/>
    <w:basedOn w:val="Normal"/>
    <w:next w:val="Normal"/>
    <w:pPr>
      <w:keepNext w:val="1"/>
      <w:keepLines w:val="1"/>
      <w:pageBreakBefore w:val="0"/>
      <w:spacing w:after="120" w:before="400" w:lineRule="auto"/>
    </w:pPr>
    <w:rPr>
      <w:rFonts w:ascii="Times New Roman" w:hAnsi="Times New Roman" w:cs="Times New Roman" w:eastAsia="Times New Roman"/>
      <w:sz w:val="40"/>
      <w:szCs w:val="40"/>
    </w:rPr>
  </w:style>
  <w:style w:type="paragraph" w:styleId="Heading2">
    <w:name w:val="heading 2"/>
    <w:basedOn w:val="Normal"/>
    <w:next w:val="Normal"/>
    <w:pPr>
      <w:keepNext w:val="1"/>
      <w:keepLines w:val="1"/>
      <w:pageBreakBefore w:val="0"/>
      <w:spacing w:after="120" w:before="360" w:lineRule="auto"/>
    </w:pPr>
    <w:rPr>
      <w:rFonts w:ascii="Times New Roman" w:hAnsi="Times New Roman" w:cs="Times New Roman" w:eastAsia="Times New Roman"/>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Times New Roman" w:hAnsi="Times New Roman" w:cs="Times New Roman" w:eastAsia="Times New Roman"/>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Times New Roman" w:hAnsi="Times New Roman" w:cs="Times New Roman" w:eastAsia="Times New Roman"/>
      <w:color w:val="666666"/>
      <w:sz w:val="24"/>
      <w:szCs w:val="24"/>
    </w:rPr>
  </w:style>
  <w:style w:type="paragraph" w:styleId="Heading5">
    <w:name w:val="heading 5"/>
    <w:basedOn w:val="Normal"/>
    <w:next w:val="Normal"/>
    <w:pPr>
      <w:keepNext w:val="1"/>
      <w:keepLines w:val="1"/>
      <w:pageBreakBefore w:val="0"/>
      <w:spacing w:after="80" w:before="240" w:lineRule="auto"/>
    </w:pPr>
    <w:rPr>
      <w:rFonts w:ascii="Times New Roman" w:hAnsi="Times New Roman" w:cs="Times New Roman" w:eastAsia="Times New Roman"/>
      <w:color w:val="666666"/>
      <w:sz w:val="22"/>
      <w:szCs w:val="22"/>
    </w:rPr>
  </w:style>
  <w:style w:type="paragraph" w:styleId="Heading6">
    <w:name w:val="heading 6"/>
    <w:basedOn w:val="Normal"/>
    <w:next w:val="Normal"/>
    <w:pPr>
      <w:keepNext w:val="1"/>
      <w:keepLines w:val="1"/>
      <w:pageBreakBefore w:val="0"/>
      <w:spacing w:after="80" w:before="240" w:lineRule="auto"/>
    </w:pPr>
    <w:rPr>
      <w:rFonts w:ascii="Times New Roman" w:hAnsi="Times New Roman" w:cs="Times New Roman" w:eastAsia="Times New Roman"/>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s="Times New Roman" w:eastAsia="Times New Roman"/>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png"/><Relationship Id="rId8"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