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0810/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فتحي قفاصة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فتحي قفاصة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