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575" w:rsidRDefault="00194575" w:rsidP="00194575">
      <w:pPr>
        <w:spacing w:after="0" w:line="259" w:lineRule="auto"/>
        <w:ind w:left="10" w:right="-11" w:hanging="10"/>
      </w:pPr>
    </w:p>
    <w:p w:rsidR="00194575" w:rsidRDefault="00194575" w:rsidP="00194575">
      <w:pPr>
        <w:spacing w:after="0" w:line="259" w:lineRule="auto"/>
        <w:ind w:left="10" w:right="6" w:hanging="10"/>
        <w:jc w:val="center"/>
      </w:pPr>
      <w:r>
        <w:rPr>
          <w:b/>
        </w:rPr>
        <w:t xml:space="preserve">SECTION - 2 </w:t>
      </w:r>
    </w:p>
    <w:p w:rsidR="00194575" w:rsidRDefault="00194575" w:rsidP="00194575">
      <w:pPr>
        <w:spacing w:after="0" w:line="259" w:lineRule="auto"/>
        <w:ind w:left="54" w:firstLine="0"/>
        <w:jc w:val="center"/>
      </w:pPr>
      <w:r>
        <w:rPr>
          <w:b/>
        </w:rPr>
        <w:t xml:space="preserve"> </w:t>
      </w:r>
    </w:p>
    <w:p w:rsidR="00194575" w:rsidRDefault="00194575" w:rsidP="00194575">
      <w:pPr>
        <w:pStyle w:val="Heading1"/>
        <w:ind w:right="8"/>
      </w:pPr>
      <w:r>
        <w:t xml:space="preserve">VESSEL RELATED CHARGES </w:t>
      </w:r>
    </w:p>
    <w:p w:rsidR="00194575" w:rsidRDefault="00194575" w:rsidP="00194575">
      <w:pPr>
        <w:spacing w:after="0" w:line="259" w:lineRule="auto"/>
        <w:ind w:left="0" w:firstLine="0"/>
        <w:jc w:val="left"/>
      </w:pPr>
      <w:r>
        <w:t xml:space="preserve"> </w:t>
      </w:r>
    </w:p>
    <w:p w:rsidR="00194575" w:rsidRDefault="00194575" w:rsidP="00194575">
      <w:pPr>
        <w:tabs>
          <w:tab w:val="center" w:pos="1357"/>
        </w:tabs>
        <w:spacing w:after="3" w:line="259" w:lineRule="auto"/>
        <w:ind w:left="-15" w:firstLine="0"/>
        <w:jc w:val="left"/>
      </w:pPr>
      <w:r>
        <w:rPr>
          <w:b/>
        </w:rPr>
        <w:t xml:space="preserve">2.1 </w:t>
      </w:r>
      <w:r>
        <w:rPr>
          <w:b/>
        </w:rPr>
        <w:tab/>
        <w:t xml:space="preserve"> BERTH HIRE</w:t>
      </w:r>
      <w:r>
        <w:t xml:space="preserve"> </w:t>
      </w:r>
    </w:p>
    <w:p w:rsidR="00194575" w:rsidRDefault="00194575" w:rsidP="00194575">
      <w:pPr>
        <w:spacing w:after="0" w:line="259" w:lineRule="auto"/>
        <w:ind w:left="0" w:firstLine="0"/>
        <w:jc w:val="left"/>
      </w:pPr>
      <w:r>
        <w:t xml:space="preserve"> </w:t>
      </w:r>
    </w:p>
    <w:p w:rsidR="00194575" w:rsidRDefault="00194575" w:rsidP="00194575">
      <w:pPr>
        <w:tabs>
          <w:tab w:val="center" w:pos="2357"/>
        </w:tabs>
        <w:spacing w:after="3" w:line="259" w:lineRule="auto"/>
        <w:ind w:left="-15" w:firstLine="0"/>
        <w:jc w:val="left"/>
      </w:pPr>
      <w:r>
        <w:rPr>
          <w:b/>
        </w:rPr>
        <w:t xml:space="preserve">2.1.1 </w:t>
      </w:r>
      <w:r>
        <w:rPr>
          <w:b/>
        </w:rPr>
        <w:tab/>
        <w:t>Schedule of Berth Hire for Vessels</w:t>
      </w:r>
      <w:r>
        <w:t xml:space="preserve">  </w:t>
      </w:r>
    </w:p>
    <w:p w:rsidR="00194575" w:rsidRDefault="00194575" w:rsidP="00194575">
      <w:pPr>
        <w:spacing w:after="0" w:line="259" w:lineRule="auto"/>
        <w:ind w:left="0" w:firstLine="0"/>
        <w:jc w:val="left"/>
      </w:pPr>
      <w:r>
        <w:t xml:space="preserve"> </w:t>
      </w:r>
    </w:p>
    <w:tbl>
      <w:tblPr>
        <w:tblStyle w:val="TableGrid"/>
        <w:tblW w:w="8642" w:type="dxa"/>
        <w:tblInd w:w="120" w:type="dxa"/>
        <w:tblCellMar>
          <w:top w:w="7" w:type="dxa"/>
          <w:left w:w="108" w:type="dxa"/>
          <w:bottom w:w="0" w:type="dxa"/>
          <w:right w:w="115" w:type="dxa"/>
        </w:tblCellMar>
        <w:tblLook w:val="04A0" w:firstRow="1" w:lastRow="0" w:firstColumn="1" w:lastColumn="0" w:noHBand="0" w:noVBand="1"/>
      </w:tblPr>
      <w:tblGrid>
        <w:gridCol w:w="2041"/>
        <w:gridCol w:w="3360"/>
        <w:gridCol w:w="3241"/>
      </w:tblGrid>
      <w:tr w:rsidR="00194575" w:rsidTr="008D2954">
        <w:trPr>
          <w:trHeight w:val="240"/>
        </w:trPr>
        <w:tc>
          <w:tcPr>
            <w:tcW w:w="2041" w:type="dxa"/>
            <w:vMerge w:val="restart"/>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4" w:firstLine="0"/>
              <w:jc w:val="center"/>
            </w:pPr>
            <w:r>
              <w:rPr>
                <w:b/>
              </w:rPr>
              <w:t xml:space="preserve">DESCRIPTION </w:t>
            </w:r>
          </w:p>
        </w:tc>
        <w:tc>
          <w:tcPr>
            <w:tcW w:w="6601" w:type="dxa"/>
            <w:gridSpan w:val="2"/>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 w:firstLine="0"/>
              <w:jc w:val="center"/>
            </w:pPr>
            <w:r>
              <w:rPr>
                <w:b/>
              </w:rPr>
              <w:t xml:space="preserve">Rate per GRT per hour or part thereof  </w:t>
            </w:r>
          </w:p>
        </w:tc>
      </w:tr>
      <w:tr w:rsidR="00194575" w:rsidTr="008D2954">
        <w:trPr>
          <w:trHeight w:val="586"/>
        </w:trPr>
        <w:tc>
          <w:tcPr>
            <w:tcW w:w="0" w:type="auto"/>
            <w:vMerge/>
            <w:tcBorders>
              <w:top w:val="nil"/>
              <w:left w:val="single" w:sz="4" w:space="0" w:color="000000"/>
              <w:bottom w:val="single" w:sz="4" w:space="0" w:color="000000"/>
              <w:right w:val="single" w:sz="4" w:space="0" w:color="000000"/>
            </w:tcBorders>
          </w:tcPr>
          <w:p w:rsidR="00194575" w:rsidRDefault="00194575" w:rsidP="008D2954">
            <w:pPr>
              <w:spacing w:after="160" w:line="259" w:lineRule="auto"/>
              <w:ind w:left="0" w:firstLine="0"/>
              <w:jc w:val="left"/>
            </w:pPr>
          </w:p>
        </w:tc>
        <w:tc>
          <w:tcPr>
            <w:tcW w:w="33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444" w:right="382" w:firstLine="0"/>
              <w:jc w:val="center"/>
            </w:pPr>
            <w:r>
              <w:rPr>
                <w:b/>
              </w:rPr>
              <w:t xml:space="preserve">Foreign-going vessel (in US $) </w:t>
            </w:r>
          </w:p>
        </w:tc>
        <w:tc>
          <w:tcPr>
            <w:tcW w:w="3241" w:type="dxa"/>
            <w:tcBorders>
              <w:top w:val="single" w:sz="4" w:space="0" w:color="000000"/>
              <w:left w:val="single" w:sz="4" w:space="0" w:color="000000"/>
              <w:bottom w:val="single" w:sz="4" w:space="0" w:color="000000"/>
              <w:right w:val="single" w:sz="4" w:space="0" w:color="000000"/>
            </w:tcBorders>
          </w:tcPr>
          <w:p w:rsidR="00194575" w:rsidRPr="00BC1A3F" w:rsidRDefault="00194575" w:rsidP="008D2954">
            <w:pPr>
              <w:pStyle w:val="NoSpacing"/>
              <w:jc w:val="center"/>
              <w:rPr>
                <w:b/>
              </w:rPr>
            </w:pPr>
            <w:r w:rsidRPr="00BC1A3F">
              <w:rPr>
                <w:b/>
              </w:rPr>
              <w:t>Coastal vessel</w:t>
            </w:r>
          </w:p>
          <w:p w:rsidR="00194575" w:rsidRDefault="00194575" w:rsidP="008D2954">
            <w:pPr>
              <w:pStyle w:val="NoSpacing"/>
              <w:jc w:val="center"/>
            </w:pPr>
            <w:r w:rsidRPr="00BC1A3F">
              <w:rPr>
                <w:b/>
              </w:rPr>
              <w:t xml:space="preserve">(in </w:t>
            </w:r>
            <w:proofErr w:type="spellStart"/>
            <w:r w:rsidRPr="00BC1A3F">
              <w:rPr>
                <w:rFonts w:ascii="Malgun Gothic" w:eastAsia="Malgun Gothic" w:hAnsi="Malgun Gothic" w:cs="Malgun Gothic"/>
                <w:b/>
              </w:rPr>
              <w:t>Rs</w:t>
            </w:r>
            <w:proofErr w:type="spellEnd"/>
            <w:r w:rsidRPr="00BC1A3F">
              <w:rPr>
                <w:b/>
              </w:rPr>
              <w:t>)</w:t>
            </w:r>
          </w:p>
        </w:tc>
      </w:tr>
      <w:tr w:rsidR="00194575" w:rsidTr="008D2954">
        <w:trPr>
          <w:trHeight w:val="586"/>
        </w:trPr>
        <w:tc>
          <w:tcPr>
            <w:tcW w:w="20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Berth EQ 8 &amp; EQ 9 </w:t>
            </w:r>
          </w:p>
          <w:p w:rsidR="00194575" w:rsidRDefault="00194575" w:rsidP="008D2954">
            <w:pPr>
              <w:spacing w:after="0" w:line="259" w:lineRule="auto"/>
              <w:ind w:left="62" w:firstLine="0"/>
              <w:jc w:val="center"/>
            </w:pPr>
            <w:r>
              <w:rPr>
                <w:b/>
              </w:rPr>
              <w:t xml:space="preserve"> </w:t>
            </w:r>
          </w:p>
        </w:tc>
        <w:tc>
          <w:tcPr>
            <w:tcW w:w="33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center"/>
            </w:pPr>
            <w:r>
              <w:t xml:space="preserve">0.0083 subject to a minimum of US$ 166/- </w:t>
            </w:r>
          </w:p>
        </w:tc>
        <w:tc>
          <w:tcPr>
            <w:tcW w:w="32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55" w:line="259" w:lineRule="auto"/>
              <w:ind w:left="1" w:firstLine="0"/>
              <w:jc w:val="center"/>
            </w:pPr>
            <w:r>
              <w:t xml:space="preserve">0.2182 subject to a minimum of </w:t>
            </w:r>
          </w:p>
          <w:p w:rsidR="00194575" w:rsidRDefault="00194575" w:rsidP="008D2954">
            <w:pPr>
              <w:spacing w:after="0" w:line="259" w:lineRule="auto"/>
              <w:ind w:left="4" w:firstLine="0"/>
              <w:jc w:val="center"/>
            </w:pPr>
            <w:r>
              <w:rPr>
                <w:rFonts w:ascii="Malgun Gothic" w:eastAsia="Malgun Gothic" w:hAnsi="Malgun Gothic" w:cs="Malgun Gothic"/>
              </w:rPr>
              <w:t>`</w:t>
            </w:r>
            <w:r>
              <w:t xml:space="preserve">4,363/- </w:t>
            </w:r>
          </w:p>
        </w:tc>
      </w:tr>
    </w:tbl>
    <w:p w:rsidR="00194575" w:rsidRDefault="00194575" w:rsidP="00194575">
      <w:pPr>
        <w:spacing w:after="0" w:line="259" w:lineRule="auto"/>
        <w:ind w:left="0" w:firstLine="0"/>
        <w:jc w:val="left"/>
      </w:pPr>
      <w:r>
        <w:t xml:space="preserve"> </w:t>
      </w:r>
    </w:p>
    <w:p w:rsidR="00194575" w:rsidRDefault="00194575" w:rsidP="00194575">
      <w:pPr>
        <w:spacing w:after="3" w:line="259" w:lineRule="auto"/>
        <w:ind w:left="-5" w:hanging="10"/>
        <w:jc w:val="left"/>
      </w:pPr>
      <w:r>
        <w:rPr>
          <w:b/>
        </w:rPr>
        <w:t xml:space="preserve">General Notes relating to Berth hire  </w:t>
      </w:r>
    </w:p>
    <w:p w:rsidR="00194575" w:rsidRDefault="00194575" w:rsidP="00194575">
      <w:pPr>
        <w:spacing w:after="0" w:line="259" w:lineRule="auto"/>
        <w:ind w:left="0" w:firstLine="0"/>
        <w:jc w:val="left"/>
      </w:pPr>
      <w:r>
        <w:t xml:space="preserve"> </w:t>
      </w:r>
    </w:p>
    <w:p w:rsidR="00194575" w:rsidRDefault="00194575" w:rsidP="00194575">
      <w:pPr>
        <w:ind w:left="715"/>
      </w:pPr>
      <w:r>
        <w:t xml:space="preserve">(1).     Berth hire for the period of 1 hour in which the vessel changes its status can be charged on the basis of the status of the vessel at the beginning of the relevant block of 1 hour period.  </w:t>
      </w:r>
    </w:p>
    <w:tbl>
      <w:tblPr>
        <w:tblStyle w:val="TableGrid"/>
        <w:tblW w:w="8797" w:type="dxa"/>
        <w:tblInd w:w="0" w:type="dxa"/>
        <w:tblCellMar>
          <w:top w:w="0" w:type="dxa"/>
          <w:left w:w="0" w:type="dxa"/>
          <w:bottom w:w="0" w:type="dxa"/>
          <w:right w:w="0" w:type="dxa"/>
        </w:tblCellMar>
        <w:tblLook w:val="04A0" w:firstRow="1" w:lastRow="0" w:firstColumn="1" w:lastColumn="0" w:noHBand="0" w:noVBand="1"/>
      </w:tblPr>
      <w:tblGrid>
        <w:gridCol w:w="720"/>
        <w:gridCol w:w="8077"/>
      </w:tblGrid>
      <w:tr w:rsidR="00194575" w:rsidTr="008D2954">
        <w:trPr>
          <w:trHeight w:val="226"/>
        </w:trPr>
        <w:tc>
          <w:tcPr>
            <w:tcW w:w="720" w:type="dxa"/>
            <w:tcBorders>
              <w:top w:val="nil"/>
              <w:left w:val="nil"/>
              <w:bottom w:val="nil"/>
              <w:right w:val="nil"/>
            </w:tcBorders>
          </w:tcPr>
          <w:p w:rsidR="00194575" w:rsidRDefault="00194575" w:rsidP="008D2954">
            <w:pPr>
              <w:spacing w:after="0" w:line="259" w:lineRule="auto"/>
              <w:ind w:left="0" w:firstLine="0"/>
              <w:jc w:val="left"/>
            </w:pPr>
            <w:r>
              <w:t xml:space="preserve"> </w:t>
            </w:r>
          </w:p>
        </w:tc>
        <w:tc>
          <w:tcPr>
            <w:tcW w:w="8077" w:type="dxa"/>
            <w:tcBorders>
              <w:top w:val="nil"/>
              <w:left w:val="nil"/>
              <w:bottom w:val="nil"/>
              <w:right w:val="nil"/>
            </w:tcBorders>
          </w:tcPr>
          <w:p w:rsidR="00194575" w:rsidRDefault="00194575" w:rsidP="008D2954">
            <w:pPr>
              <w:spacing w:after="160" w:line="259" w:lineRule="auto"/>
              <w:ind w:left="0" w:firstLine="0"/>
              <w:jc w:val="left"/>
            </w:pPr>
          </w:p>
        </w:tc>
      </w:tr>
      <w:tr w:rsidR="00194575" w:rsidTr="008D2954">
        <w:trPr>
          <w:trHeight w:val="689"/>
        </w:trPr>
        <w:tc>
          <w:tcPr>
            <w:tcW w:w="720" w:type="dxa"/>
            <w:tcBorders>
              <w:top w:val="nil"/>
              <w:left w:val="nil"/>
              <w:bottom w:val="nil"/>
              <w:right w:val="nil"/>
            </w:tcBorders>
          </w:tcPr>
          <w:p w:rsidR="00194575" w:rsidRDefault="00194575" w:rsidP="008D2954">
            <w:pPr>
              <w:spacing w:after="211" w:line="259" w:lineRule="auto"/>
              <w:ind w:left="0" w:firstLine="0"/>
              <w:jc w:val="left"/>
            </w:pPr>
            <w:r>
              <w:t xml:space="preserve">(2). </w:t>
            </w:r>
          </w:p>
          <w:p w:rsidR="00194575" w:rsidRDefault="00194575" w:rsidP="008D2954">
            <w:pPr>
              <w:spacing w:after="0" w:line="259" w:lineRule="auto"/>
              <w:ind w:left="0" w:firstLine="0"/>
              <w:jc w:val="left"/>
            </w:pPr>
            <w:r>
              <w:t xml:space="preserve"> </w:t>
            </w:r>
          </w:p>
        </w:tc>
        <w:tc>
          <w:tcPr>
            <w:tcW w:w="8077" w:type="dxa"/>
            <w:tcBorders>
              <w:top w:val="nil"/>
              <w:left w:val="nil"/>
              <w:bottom w:val="nil"/>
              <w:right w:val="nil"/>
            </w:tcBorders>
          </w:tcPr>
          <w:p w:rsidR="00194575" w:rsidRDefault="00194575" w:rsidP="008D2954">
            <w:pPr>
              <w:spacing w:after="0" w:line="259" w:lineRule="auto"/>
              <w:ind w:left="0" w:firstLine="0"/>
              <w:jc w:val="left"/>
            </w:pPr>
            <w:r>
              <w:t xml:space="preserve">The period of berth hire shall be calculated from the time mooring in the berth is completed. </w:t>
            </w:r>
          </w:p>
        </w:tc>
      </w:tr>
      <w:tr w:rsidR="00194575" w:rsidTr="008D2954">
        <w:trPr>
          <w:trHeight w:val="922"/>
        </w:trPr>
        <w:tc>
          <w:tcPr>
            <w:tcW w:w="720" w:type="dxa"/>
            <w:tcBorders>
              <w:top w:val="nil"/>
              <w:left w:val="nil"/>
              <w:bottom w:val="nil"/>
              <w:right w:val="nil"/>
            </w:tcBorders>
          </w:tcPr>
          <w:p w:rsidR="00194575" w:rsidRDefault="00194575" w:rsidP="008D2954">
            <w:pPr>
              <w:spacing w:after="444" w:line="259" w:lineRule="auto"/>
              <w:ind w:left="0" w:firstLine="0"/>
              <w:jc w:val="left"/>
            </w:pPr>
            <w:r>
              <w:t xml:space="preserve">(3). </w:t>
            </w:r>
          </w:p>
          <w:p w:rsidR="00194575" w:rsidRDefault="00194575" w:rsidP="008D2954">
            <w:pPr>
              <w:spacing w:after="0" w:line="259" w:lineRule="auto"/>
              <w:ind w:left="0" w:firstLine="0"/>
              <w:jc w:val="left"/>
            </w:pPr>
            <w:r>
              <w:t xml:space="preserve"> </w:t>
            </w:r>
          </w:p>
        </w:tc>
        <w:tc>
          <w:tcPr>
            <w:tcW w:w="8077" w:type="dxa"/>
            <w:tcBorders>
              <w:top w:val="nil"/>
              <w:left w:val="nil"/>
              <w:bottom w:val="nil"/>
              <w:right w:val="nil"/>
            </w:tcBorders>
          </w:tcPr>
          <w:p w:rsidR="00194575" w:rsidRDefault="00194575" w:rsidP="008D2954">
            <w:pPr>
              <w:spacing w:after="0" w:line="259" w:lineRule="auto"/>
              <w:ind w:left="0" w:right="62" w:firstLine="0"/>
            </w:pPr>
            <w:r>
              <w:t xml:space="preserve">No berth hire charges shall be payable for the period when loading/unloading operations cannot be carried out due to non-availability or break down of plant equipment or any other reasons including power failure attributable to VSPL.   </w:t>
            </w:r>
          </w:p>
        </w:tc>
      </w:tr>
      <w:tr w:rsidR="00194575" w:rsidTr="008D2954">
        <w:trPr>
          <w:trHeight w:val="1609"/>
        </w:trPr>
        <w:tc>
          <w:tcPr>
            <w:tcW w:w="720" w:type="dxa"/>
            <w:tcBorders>
              <w:top w:val="nil"/>
              <w:left w:val="nil"/>
              <w:bottom w:val="nil"/>
              <w:right w:val="nil"/>
            </w:tcBorders>
          </w:tcPr>
          <w:p w:rsidR="00194575" w:rsidRDefault="00194575" w:rsidP="008D2954">
            <w:pPr>
              <w:spacing w:after="211" w:line="259" w:lineRule="auto"/>
              <w:ind w:left="0" w:firstLine="0"/>
              <w:jc w:val="left"/>
            </w:pPr>
            <w:r>
              <w:t xml:space="preserve">(4). </w:t>
            </w:r>
          </w:p>
          <w:p w:rsidR="00194575" w:rsidRDefault="00194575" w:rsidP="008D2954">
            <w:pPr>
              <w:spacing w:after="0" w:line="259" w:lineRule="auto"/>
              <w:ind w:left="0" w:firstLine="0"/>
              <w:jc w:val="left"/>
            </w:pPr>
            <w:r>
              <w:t xml:space="preserve"> </w:t>
            </w:r>
          </w:p>
        </w:tc>
        <w:tc>
          <w:tcPr>
            <w:tcW w:w="8077" w:type="dxa"/>
            <w:tcBorders>
              <w:top w:val="nil"/>
              <w:left w:val="nil"/>
              <w:bottom w:val="nil"/>
              <w:right w:val="nil"/>
            </w:tcBorders>
          </w:tcPr>
          <w:p w:rsidR="00194575" w:rsidRDefault="00194575" w:rsidP="008D2954">
            <w:pPr>
              <w:spacing w:after="233" w:line="239" w:lineRule="auto"/>
              <w:ind w:left="720" w:hanging="720"/>
            </w:pPr>
            <w:r>
              <w:t>(i)</w:t>
            </w:r>
            <w:proofErr w:type="gramStart"/>
            <w:r>
              <w:t>.  There</w:t>
            </w:r>
            <w:proofErr w:type="gramEnd"/>
            <w:r>
              <w:t xml:space="preserve"> shall be a time limit beyond which berth hire shall not apply. The berth hire shall cease to apply 4 </w:t>
            </w:r>
            <w:proofErr w:type="spellStart"/>
            <w:r>
              <w:t>hrs</w:t>
            </w:r>
            <w:proofErr w:type="spellEnd"/>
            <w:r>
              <w:t xml:space="preserve"> after the time of vessel </w:t>
            </w:r>
            <w:proofErr w:type="spellStart"/>
            <w:r>
              <w:t>signalling</w:t>
            </w:r>
            <w:proofErr w:type="spellEnd"/>
            <w:r>
              <w:t xml:space="preserve"> its readiness to sail. </w:t>
            </w:r>
          </w:p>
          <w:p w:rsidR="00194575" w:rsidRDefault="00194575" w:rsidP="008D2954">
            <w:pPr>
              <w:spacing w:after="0" w:line="241" w:lineRule="auto"/>
              <w:ind w:left="720" w:right="65" w:hanging="720"/>
            </w:pPr>
            <w:r>
              <w:t xml:space="preserve">(ii).  The time limit of 4 </w:t>
            </w:r>
            <w:proofErr w:type="spellStart"/>
            <w:r>
              <w:t>hrs</w:t>
            </w:r>
            <w:proofErr w:type="spellEnd"/>
            <w:r>
              <w:t xml:space="preserve"> prescribed for cessation of berth hire shall exclude the ship’s waiting time for want of </w:t>
            </w:r>
            <w:proofErr w:type="spellStart"/>
            <w:r>
              <w:t>favourable</w:t>
            </w:r>
            <w:proofErr w:type="spellEnd"/>
            <w:r>
              <w:t xml:space="preserve"> tidal condition or on account of inclement weather or due to absence of night navigation facilities. </w:t>
            </w:r>
          </w:p>
          <w:p w:rsidR="00194575" w:rsidRDefault="00194575" w:rsidP="008D2954">
            <w:pPr>
              <w:spacing w:after="0" w:line="259" w:lineRule="auto"/>
              <w:ind w:left="0" w:firstLine="0"/>
              <w:jc w:val="left"/>
            </w:pPr>
            <w:r>
              <w:t xml:space="preserve"> </w:t>
            </w:r>
          </w:p>
        </w:tc>
      </w:tr>
      <w:tr w:rsidR="00194575" w:rsidTr="008D2954">
        <w:trPr>
          <w:trHeight w:val="1378"/>
        </w:trPr>
        <w:tc>
          <w:tcPr>
            <w:tcW w:w="720" w:type="dxa"/>
            <w:tcBorders>
              <w:top w:val="nil"/>
              <w:left w:val="nil"/>
              <w:bottom w:val="nil"/>
              <w:right w:val="nil"/>
            </w:tcBorders>
          </w:tcPr>
          <w:p w:rsidR="00194575" w:rsidRDefault="00194575" w:rsidP="008D2954">
            <w:pPr>
              <w:spacing w:after="213" w:line="259" w:lineRule="auto"/>
              <w:ind w:left="0" w:firstLine="0"/>
              <w:jc w:val="left"/>
            </w:pPr>
            <w:r>
              <w:t xml:space="preserve"> </w:t>
            </w:r>
          </w:p>
          <w:p w:rsidR="00194575" w:rsidRDefault="00194575" w:rsidP="008D2954">
            <w:pPr>
              <w:spacing w:after="0" w:line="259" w:lineRule="auto"/>
              <w:ind w:left="0" w:firstLine="0"/>
              <w:jc w:val="left"/>
            </w:pPr>
            <w:r>
              <w:t xml:space="preserve"> </w:t>
            </w:r>
          </w:p>
        </w:tc>
        <w:tc>
          <w:tcPr>
            <w:tcW w:w="8077" w:type="dxa"/>
            <w:tcBorders>
              <w:top w:val="nil"/>
              <w:left w:val="nil"/>
              <w:bottom w:val="nil"/>
              <w:right w:val="nil"/>
            </w:tcBorders>
          </w:tcPr>
          <w:p w:rsidR="00194575" w:rsidRDefault="00194575" w:rsidP="008D2954">
            <w:pPr>
              <w:spacing w:after="261" w:line="241" w:lineRule="auto"/>
              <w:ind w:left="720" w:hanging="720"/>
            </w:pPr>
            <w:r>
              <w:t xml:space="preserve">(iii). The Master/Agent of the vessel shall signal readiness to sail only in accordance with </w:t>
            </w:r>
            <w:proofErr w:type="spellStart"/>
            <w:r>
              <w:t>favourable</w:t>
            </w:r>
            <w:proofErr w:type="spellEnd"/>
            <w:r>
              <w:t xml:space="preserve"> tidal and weather condition. </w:t>
            </w:r>
          </w:p>
          <w:p w:rsidR="00194575" w:rsidRDefault="00194575" w:rsidP="008D2954">
            <w:pPr>
              <w:spacing w:after="0"/>
              <w:ind w:left="720" w:hanging="720"/>
              <w:jc w:val="left"/>
            </w:pPr>
            <w:r>
              <w:t xml:space="preserve">(iv). </w:t>
            </w:r>
            <w:r>
              <w:tab/>
              <w:t xml:space="preserve">There shall be a  penal berth hire equal to one day’s berth hire charge for a false signal. </w:t>
            </w:r>
          </w:p>
          <w:p w:rsidR="00194575" w:rsidRDefault="00194575" w:rsidP="008D2954">
            <w:pPr>
              <w:spacing w:after="0" w:line="259" w:lineRule="auto"/>
              <w:ind w:left="0" w:firstLine="0"/>
              <w:jc w:val="left"/>
            </w:pPr>
            <w:r>
              <w:t xml:space="preserve"> </w:t>
            </w:r>
          </w:p>
        </w:tc>
      </w:tr>
    </w:tbl>
    <w:p w:rsidR="00194575" w:rsidRDefault="00194575" w:rsidP="00194575">
      <w:pPr>
        <w:ind w:left="1440" w:firstLine="0"/>
      </w:pPr>
      <w:r>
        <w:t xml:space="preserve">“False signal” would be when a ship signals readiness and asks for a pilot in anticipation even when she is not ready for </w:t>
      </w:r>
      <w:proofErr w:type="spellStart"/>
      <w:r>
        <w:t>unberthing</w:t>
      </w:r>
      <w:proofErr w:type="spellEnd"/>
      <w:r>
        <w:t xml:space="preserve"> due to engine not being ready or cargo operation not completed or such other reasons attributable to the vessel.  This excludes the </w:t>
      </w:r>
      <w:proofErr w:type="spellStart"/>
      <w:r>
        <w:t>signalling</w:t>
      </w:r>
      <w:proofErr w:type="spellEnd"/>
      <w:r>
        <w:t xml:space="preserve"> readiness when a ship is not able to sail due to </w:t>
      </w:r>
      <w:proofErr w:type="spellStart"/>
      <w:r>
        <w:t>unfavourable</w:t>
      </w:r>
      <w:proofErr w:type="spellEnd"/>
      <w:r>
        <w:t xml:space="preserve"> tide, lack of night navigation or adverse weather conditions”. </w:t>
      </w:r>
    </w:p>
    <w:p w:rsidR="00194575" w:rsidRDefault="00194575" w:rsidP="00194575">
      <w:pPr>
        <w:spacing w:after="0" w:line="259" w:lineRule="auto"/>
        <w:ind w:left="0" w:firstLine="0"/>
        <w:jc w:val="left"/>
      </w:pPr>
      <w:r>
        <w:t xml:space="preserve"> </w:t>
      </w:r>
    </w:p>
    <w:p w:rsidR="00194575" w:rsidRDefault="00194575" w:rsidP="00194575">
      <w:pPr>
        <w:spacing w:after="0" w:line="259" w:lineRule="auto"/>
        <w:ind w:left="0" w:firstLine="0"/>
        <w:jc w:val="left"/>
      </w:pPr>
      <w:r>
        <w:t xml:space="preserve"> </w:t>
      </w:r>
    </w:p>
    <w:p w:rsidR="00194575" w:rsidRDefault="00194575" w:rsidP="00194575">
      <w:pPr>
        <w:spacing w:after="0" w:line="259" w:lineRule="auto"/>
        <w:ind w:left="0" w:firstLine="0"/>
        <w:jc w:val="left"/>
      </w:pPr>
      <w:r>
        <w:t xml:space="preserve"> </w:t>
      </w:r>
    </w:p>
    <w:p w:rsidR="00194575" w:rsidRDefault="00194575" w:rsidP="00194575">
      <w:pPr>
        <w:spacing w:after="0" w:line="259" w:lineRule="auto"/>
        <w:ind w:left="0" w:firstLine="0"/>
        <w:jc w:val="left"/>
      </w:pPr>
    </w:p>
    <w:p w:rsidR="00194575" w:rsidRDefault="00194575" w:rsidP="00194575">
      <w:pPr>
        <w:spacing w:after="0" w:line="259" w:lineRule="auto"/>
        <w:ind w:left="0" w:firstLine="0"/>
        <w:jc w:val="left"/>
      </w:pPr>
    </w:p>
    <w:p w:rsidR="00194575" w:rsidRDefault="00194575" w:rsidP="00194575">
      <w:pPr>
        <w:spacing w:after="0" w:line="259" w:lineRule="auto"/>
        <w:ind w:left="0" w:firstLine="0"/>
        <w:jc w:val="left"/>
      </w:pPr>
    </w:p>
    <w:p w:rsidR="00194575" w:rsidRDefault="00194575" w:rsidP="00194575">
      <w:pPr>
        <w:tabs>
          <w:tab w:val="center" w:pos="2234"/>
        </w:tabs>
        <w:ind w:left="-15" w:firstLine="0"/>
        <w:jc w:val="left"/>
      </w:pPr>
      <w:r>
        <w:lastRenderedPageBreak/>
        <w:t xml:space="preserve">(5).   </w:t>
      </w:r>
      <w:r>
        <w:tab/>
        <w:t xml:space="preserve">Ousting Priority/Priority berth Hire:  </w:t>
      </w:r>
    </w:p>
    <w:p w:rsidR="00194575" w:rsidRDefault="00194575" w:rsidP="00194575">
      <w:pPr>
        <w:spacing w:after="0" w:line="259" w:lineRule="auto"/>
        <w:ind w:left="0" w:firstLine="0"/>
        <w:jc w:val="left"/>
      </w:pPr>
      <w:r>
        <w:t xml:space="preserve"> </w:t>
      </w:r>
    </w:p>
    <w:tbl>
      <w:tblPr>
        <w:tblStyle w:val="TableGrid"/>
        <w:tblW w:w="8848" w:type="dxa"/>
        <w:tblInd w:w="0" w:type="dxa"/>
        <w:tblCellMar>
          <w:top w:w="0" w:type="dxa"/>
          <w:left w:w="0" w:type="dxa"/>
          <w:bottom w:w="0" w:type="dxa"/>
          <w:right w:w="0" w:type="dxa"/>
        </w:tblCellMar>
        <w:tblLook w:val="04A0" w:firstRow="1" w:lastRow="0" w:firstColumn="1" w:lastColumn="0" w:noHBand="0" w:noVBand="1"/>
      </w:tblPr>
      <w:tblGrid>
        <w:gridCol w:w="1080"/>
        <w:gridCol w:w="7768"/>
      </w:tblGrid>
      <w:tr w:rsidR="00194575" w:rsidTr="008D2954">
        <w:trPr>
          <w:trHeight w:val="917"/>
        </w:trPr>
        <w:tc>
          <w:tcPr>
            <w:tcW w:w="1080" w:type="dxa"/>
            <w:tcBorders>
              <w:top w:val="nil"/>
              <w:left w:val="nil"/>
              <w:bottom w:val="nil"/>
              <w:right w:val="nil"/>
            </w:tcBorders>
          </w:tcPr>
          <w:p w:rsidR="00194575" w:rsidRDefault="00194575" w:rsidP="008D2954">
            <w:pPr>
              <w:spacing w:after="444" w:line="259" w:lineRule="auto"/>
              <w:ind w:left="232" w:firstLine="0"/>
              <w:jc w:val="center"/>
            </w:pPr>
            <w:r>
              <w:t xml:space="preserve">(i).   </w:t>
            </w:r>
          </w:p>
          <w:p w:rsidR="00194575" w:rsidRDefault="00194575" w:rsidP="008D2954">
            <w:pPr>
              <w:spacing w:after="0" w:line="259" w:lineRule="auto"/>
              <w:ind w:left="55" w:firstLine="0"/>
              <w:jc w:val="center"/>
            </w:pPr>
            <w:r>
              <w:t xml:space="preserve"> </w:t>
            </w:r>
          </w:p>
        </w:tc>
        <w:tc>
          <w:tcPr>
            <w:tcW w:w="7768" w:type="dxa"/>
            <w:tcBorders>
              <w:top w:val="nil"/>
              <w:left w:val="nil"/>
              <w:bottom w:val="nil"/>
              <w:right w:val="nil"/>
            </w:tcBorders>
          </w:tcPr>
          <w:p w:rsidR="00194575" w:rsidRDefault="00194575" w:rsidP="008D2954">
            <w:pPr>
              <w:spacing w:after="0" w:line="259" w:lineRule="auto"/>
              <w:ind w:left="0" w:right="113" w:firstLine="0"/>
            </w:pPr>
            <w:r>
              <w:t xml:space="preserve">For providing the "ousting priority" to any vessel, a fee equivalent to berth hire for a single </w:t>
            </w:r>
            <w:proofErr w:type="gramStart"/>
            <w:r>
              <w:t>day  (</w:t>
            </w:r>
            <w:proofErr w:type="gramEnd"/>
            <w:r>
              <w:t xml:space="preserve">24 units of one hour each) or 100% of the berth hire calculated for the total period of actual stay at the berth, whichever is higher, shall be levied.   </w:t>
            </w:r>
          </w:p>
        </w:tc>
      </w:tr>
      <w:tr w:rsidR="00194575" w:rsidTr="008D2954">
        <w:trPr>
          <w:trHeight w:val="919"/>
        </w:trPr>
        <w:tc>
          <w:tcPr>
            <w:tcW w:w="1080" w:type="dxa"/>
            <w:tcBorders>
              <w:top w:val="nil"/>
              <w:left w:val="nil"/>
              <w:bottom w:val="nil"/>
              <w:right w:val="nil"/>
            </w:tcBorders>
          </w:tcPr>
          <w:p w:rsidR="00194575" w:rsidRDefault="00194575" w:rsidP="008D2954">
            <w:pPr>
              <w:spacing w:after="441" w:line="259" w:lineRule="auto"/>
              <w:ind w:left="276" w:firstLine="0"/>
              <w:jc w:val="center"/>
            </w:pPr>
            <w:r>
              <w:t xml:space="preserve">(ii).  </w:t>
            </w:r>
          </w:p>
          <w:p w:rsidR="00194575" w:rsidRDefault="00194575" w:rsidP="008D2954">
            <w:pPr>
              <w:spacing w:after="0" w:line="259" w:lineRule="auto"/>
              <w:ind w:left="0" w:firstLine="0"/>
              <w:jc w:val="left"/>
            </w:pPr>
            <w:r>
              <w:t xml:space="preserve"> </w:t>
            </w:r>
          </w:p>
        </w:tc>
        <w:tc>
          <w:tcPr>
            <w:tcW w:w="7768" w:type="dxa"/>
            <w:tcBorders>
              <w:top w:val="nil"/>
              <w:left w:val="nil"/>
              <w:bottom w:val="nil"/>
              <w:right w:val="nil"/>
            </w:tcBorders>
          </w:tcPr>
          <w:p w:rsidR="00194575" w:rsidRDefault="00194575" w:rsidP="008D2954">
            <w:pPr>
              <w:spacing w:after="0" w:line="259" w:lineRule="auto"/>
              <w:ind w:left="0" w:right="111" w:firstLine="0"/>
            </w:pPr>
            <w:r>
              <w:t xml:space="preserve">For "priority berthing" to any vessel, a fee equivalent to berth hire for a single day  (24 units of one hour each) or 75% of the berth hire, calculated for the total period of actual stay at the berth whichever is higher, shall be levied. </w:t>
            </w:r>
          </w:p>
        </w:tc>
      </w:tr>
      <w:tr w:rsidR="00194575" w:rsidTr="008D2954">
        <w:trPr>
          <w:trHeight w:val="1611"/>
        </w:trPr>
        <w:tc>
          <w:tcPr>
            <w:tcW w:w="1080" w:type="dxa"/>
            <w:tcBorders>
              <w:top w:val="nil"/>
              <w:left w:val="nil"/>
              <w:bottom w:val="nil"/>
              <w:right w:val="nil"/>
            </w:tcBorders>
          </w:tcPr>
          <w:p w:rsidR="00194575" w:rsidRDefault="00194575" w:rsidP="008D2954">
            <w:pPr>
              <w:spacing w:after="1133" w:line="259" w:lineRule="auto"/>
              <w:ind w:left="319" w:firstLine="0"/>
              <w:jc w:val="center"/>
            </w:pPr>
            <w:r>
              <w:t xml:space="preserve">(iii). </w:t>
            </w:r>
          </w:p>
          <w:p w:rsidR="00194575" w:rsidRDefault="00194575" w:rsidP="008D2954">
            <w:pPr>
              <w:spacing w:after="0" w:line="259" w:lineRule="auto"/>
              <w:ind w:left="55" w:firstLine="0"/>
              <w:jc w:val="center"/>
            </w:pPr>
            <w:r>
              <w:t xml:space="preserve"> </w:t>
            </w:r>
          </w:p>
        </w:tc>
        <w:tc>
          <w:tcPr>
            <w:tcW w:w="7768" w:type="dxa"/>
            <w:tcBorders>
              <w:top w:val="nil"/>
              <w:left w:val="nil"/>
              <w:bottom w:val="nil"/>
              <w:right w:val="nil"/>
            </w:tcBorders>
          </w:tcPr>
          <w:p w:rsidR="00194575" w:rsidRDefault="00194575" w:rsidP="008D2954">
            <w:pPr>
              <w:spacing w:after="0" w:line="259" w:lineRule="auto"/>
              <w:ind w:left="0" w:right="110" w:firstLine="0"/>
            </w:pPr>
            <w:r>
              <w:t>Where a working berth is already vacant for want of a vessel and a vessel having priority / ousting priority is berthed at that vacant berth when there are no vessels waiting at roads for berthing prior to its arrival or when the vessels waiting at roads are not ready in all aspects (</w:t>
            </w:r>
            <w:proofErr w:type="spellStart"/>
            <w:r>
              <w:t>unreadiness</w:t>
            </w:r>
            <w:proofErr w:type="spellEnd"/>
            <w:r>
              <w:t xml:space="preserve"> of documents/lack of cargo/lack of </w:t>
            </w:r>
            <w:proofErr w:type="spellStart"/>
            <w:r>
              <w:t>ullage</w:t>
            </w:r>
            <w:proofErr w:type="spellEnd"/>
            <w:r>
              <w:t xml:space="preserve">/hatch cleaning/ receivers or shippers not willing to work), it is not treated as priority berthing and in such cases no priority berthing charges will be levied. </w:t>
            </w:r>
          </w:p>
        </w:tc>
      </w:tr>
      <w:tr w:rsidR="00194575" w:rsidTr="008D2954">
        <w:trPr>
          <w:trHeight w:val="5056"/>
        </w:trPr>
        <w:tc>
          <w:tcPr>
            <w:tcW w:w="1080" w:type="dxa"/>
            <w:tcBorders>
              <w:top w:val="nil"/>
              <w:left w:val="nil"/>
              <w:bottom w:val="nil"/>
              <w:right w:val="nil"/>
            </w:tcBorders>
          </w:tcPr>
          <w:p w:rsidR="00194575" w:rsidRDefault="00194575" w:rsidP="008D2954">
            <w:pPr>
              <w:spacing w:after="213" w:line="259" w:lineRule="auto"/>
              <w:ind w:left="720" w:firstLine="0"/>
              <w:jc w:val="left"/>
            </w:pPr>
            <w:r>
              <w:t xml:space="preserve">(iv).   </w:t>
            </w:r>
          </w:p>
          <w:p w:rsidR="00194575" w:rsidRDefault="00194575" w:rsidP="008D2954">
            <w:pPr>
              <w:spacing w:after="211" w:line="259" w:lineRule="auto"/>
              <w:ind w:left="0" w:firstLine="0"/>
              <w:jc w:val="left"/>
            </w:pPr>
            <w:r>
              <w:t xml:space="preserve"> </w:t>
            </w:r>
          </w:p>
          <w:p w:rsidR="00194575" w:rsidRDefault="00194575" w:rsidP="008D2954">
            <w:pPr>
              <w:spacing w:after="213" w:line="259" w:lineRule="auto"/>
              <w:ind w:left="0" w:firstLine="0"/>
              <w:jc w:val="left"/>
            </w:pPr>
            <w:r>
              <w:t xml:space="preserve"> </w:t>
            </w:r>
          </w:p>
          <w:p w:rsidR="00194575" w:rsidRDefault="00194575" w:rsidP="008D2954">
            <w:pPr>
              <w:spacing w:after="441" w:line="259" w:lineRule="auto"/>
              <w:ind w:left="0" w:firstLine="0"/>
              <w:jc w:val="left"/>
            </w:pPr>
            <w:r>
              <w:t xml:space="preserve"> </w:t>
            </w:r>
          </w:p>
          <w:p w:rsidR="00194575" w:rsidRDefault="00194575" w:rsidP="008D2954">
            <w:pPr>
              <w:spacing w:after="444" w:line="259" w:lineRule="auto"/>
              <w:ind w:left="0" w:firstLine="0"/>
              <w:jc w:val="left"/>
            </w:pPr>
            <w:r>
              <w:t xml:space="preserve"> </w:t>
            </w:r>
          </w:p>
          <w:p w:rsidR="00194575" w:rsidRDefault="00194575" w:rsidP="008D2954">
            <w:pPr>
              <w:spacing w:after="441" w:line="259" w:lineRule="auto"/>
              <w:ind w:left="0" w:firstLine="0"/>
              <w:jc w:val="left"/>
            </w:pPr>
            <w:r>
              <w:t xml:space="preserve"> </w:t>
            </w:r>
          </w:p>
          <w:p w:rsidR="00194575" w:rsidRDefault="00194575" w:rsidP="008D2954">
            <w:pPr>
              <w:spacing w:after="0" w:line="259" w:lineRule="auto"/>
              <w:ind w:left="0" w:firstLine="0"/>
              <w:jc w:val="left"/>
            </w:pPr>
            <w:r>
              <w:t xml:space="preserve"> </w:t>
            </w:r>
          </w:p>
        </w:tc>
        <w:tc>
          <w:tcPr>
            <w:tcW w:w="7768" w:type="dxa"/>
            <w:tcBorders>
              <w:top w:val="nil"/>
              <w:left w:val="nil"/>
              <w:bottom w:val="nil"/>
              <w:right w:val="nil"/>
            </w:tcBorders>
          </w:tcPr>
          <w:p w:rsidR="00194575" w:rsidRDefault="00194575" w:rsidP="008D2954">
            <w:pPr>
              <w:spacing w:after="228" w:line="241" w:lineRule="auto"/>
              <w:ind w:left="0" w:firstLine="0"/>
            </w:pPr>
            <w:r>
              <w:t xml:space="preserve">The fee for according priority/ousting priority as indicated above shall be charged from all the vessels except the following categories: </w:t>
            </w:r>
          </w:p>
          <w:p w:rsidR="00194575" w:rsidRDefault="00194575" w:rsidP="008D2954">
            <w:pPr>
              <w:tabs>
                <w:tab w:val="center" w:pos="3270"/>
              </w:tabs>
              <w:spacing w:after="220" w:line="259" w:lineRule="auto"/>
              <w:ind w:left="0" w:firstLine="0"/>
              <w:jc w:val="left"/>
            </w:pPr>
            <w:r>
              <w:t>(</w:t>
            </w:r>
            <w:proofErr w:type="gramStart"/>
            <w:r>
              <w:t>a</w:t>
            </w:r>
            <w:proofErr w:type="gramEnd"/>
            <w:r>
              <w:t xml:space="preserve">). </w:t>
            </w:r>
            <w:r>
              <w:tab/>
              <w:t xml:space="preserve">Vessels carrying cargo on account of Ministry of </w:t>
            </w:r>
            <w:proofErr w:type="spellStart"/>
            <w:r>
              <w:t>Defence</w:t>
            </w:r>
            <w:proofErr w:type="spellEnd"/>
            <w:r>
              <w:t xml:space="preserve">. </w:t>
            </w:r>
          </w:p>
          <w:p w:rsidR="00194575" w:rsidRDefault="00194575" w:rsidP="008D2954">
            <w:pPr>
              <w:tabs>
                <w:tab w:val="center" w:pos="2608"/>
              </w:tabs>
              <w:spacing w:after="220" w:line="259" w:lineRule="auto"/>
              <w:ind w:left="0" w:firstLine="0"/>
              <w:jc w:val="left"/>
            </w:pPr>
            <w:r>
              <w:t xml:space="preserve">(b).  </w:t>
            </w:r>
            <w:r>
              <w:tab/>
            </w:r>
            <w:proofErr w:type="spellStart"/>
            <w:r>
              <w:t>Defence</w:t>
            </w:r>
            <w:proofErr w:type="spellEnd"/>
            <w:r>
              <w:t xml:space="preserve"> vessels coming on goodwill visits.   </w:t>
            </w:r>
          </w:p>
          <w:p w:rsidR="00194575" w:rsidRDefault="00194575" w:rsidP="008D2954">
            <w:pPr>
              <w:spacing w:after="233" w:line="239" w:lineRule="auto"/>
              <w:ind w:left="721" w:hanging="721"/>
            </w:pPr>
            <w:r>
              <w:t>(c)</w:t>
            </w:r>
            <w:proofErr w:type="gramStart"/>
            <w:r>
              <w:t>.  Vessels</w:t>
            </w:r>
            <w:proofErr w:type="gramEnd"/>
            <w:r>
              <w:t xml:space="preserve"> hired for the purpose of Antarctica expedition by Department of Ocean Development. </w:t>
            </w:r>
          </w:p>
          <w:p w:rsidR="00194575" w:rsidRDefault="00194575" w:rsidP="008D2954">
            <w:pPr>
              <w:spacing w:after="230" w:line="241" w:lineRule="auto"/>
              <w:ind w:left="721" w:hanging="721"/>
            </w:pPr>
            <w:r>
              <w:t xml:space="preserve">(d).  Any other vessel for which special exemption has been granted by the Ministry of Shipping      </w:t>
            </w:r>
          </w:p>
          <w:p w:rsidR="00194575" w:rsidRDefault="00194575" w:rsidP="008D2954">
            <w:pPr>
              <w:spacing w:after="231" w:line="239" w:lineRule="auto"/>
              <w:ind w:left="721" w:hanging="721"/>
            </w:pPr>
            <w:r>
              <w:t xml:space="preserve">(e). Coastal vessels which will be accorded priority berthing shall not be liable to pay priority berthing charges. </w:t>
            </w:r>
          </w:p>
          <w:p w:rsidR="00194575" w:rsidRDefault="00194575" w:rsidP="008D2954">
            <w:pPr>
              <w:spacing w:after="0" w:line="241" w:lineRule="auto"/>
              <w:ind w:left="721" w:right="111" w:hanging="721"/>
            </w:pPr>
            <w:r>
              <w:rPr>
                <w:b/>
              </w:rPr>
              <w:t>Note</w:t>
            </w:r>
            <w:r>
              <w:t xml:space="preserve">:  The VSPL is governed by clause 3.9 (b) of the License Agreement which provides that the Licensee (VSPL) may with the prior written approval of the Licensor (VPT) offer preferential or priority berthing to any one or more shipping lines or vessel owners / operators to optimize the use of the berths and equipment. </w:t>
            </w: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41" w:lineRule="auto"/>
              <w:ind w:left="721" w:right="111" w:hanging="721"/>
            </w:pPr>
          </w:p>
          <w:p w:rsidR="00194575" w:rsidRDefault="00194575" w:rsidP="008D2954">
            <w:pPr>
              <w:spacing w:after="0" w:line="259" w:lineRule="auto"/>
              <w:ind w:left="0" w:firstLine="0"/>
              <w:jc w:val="left"/>
            </w:pPr>
          </w:p>
          <w:p w:rsidR="00194575" w:rsidRDefault="00194575" w:rsidP="008D2954">
            <w:pPr>
              <w:spacing w:after="0" w:line="259" w:lineRule="auto"/>
              <w:ind w:left="0" w:firstLine="0"/>
              <w:jc w:val="left"/>
            </w:pPr>
          </w:p>
        </w:tc>
      </w:tr>
    </w:tbl>
    <w:p w:rsidR="00194575" w:rsidRDefault="00194575" w:rsidP="00194575">
      <w:pPr>
        <w:spacing w:after="3" w:line="259" w:lineRule="auto"/>
        <w:ind w:left="-5" w:hanging="10"/>
        <w:jc w:val="left"/>
      </w:pPr>
      <w:r>
        <w:rPr>
          <w:b/>
        </w:rPr>
        <w:lastRenderedPageBreak/>
        <w:t xml:space="preserve">2.1.2.    Penal Berth Hire Charges </w:t>
      </w:r>
    </w:p>
    <w:p w:rsidR="00194575" w:rsidRDefault="00194575" w:rsidP="00194575">
      <w:pPr>
        <w:spacing w:after="0" w:line="259" w:lineRule="auto"/>
        <w:ind w:left="0" w:firstLine="0"/>
        <w:jc w:val="left"/>
      </w:pPr>
      <w:r>
        <w:rPr>
          <w:b/>
        </w:rPr>
        <w:t xml:space="preserve"> </w:t>
      </w:r>
    </w:p>
    <w:p w:rsidR="00194575" w:rsidRDefault="00194575" w:rsidP="00194575">
      <w:pPr>
        <w:ind w:left="720" w:firstLine="0"/>
      </w:pPr>
      <w:r>
        <w:t>Penal berth hire charges shall become payable for over-</w:t>
      </w:r>
      <w:proofErr w:type="spellStart"/>
      <w:r>
        <w:t>stayal</w:t>
      </w:r>
      <w:proofErr w:type="spellEnd"/>
      <w:r>
        <w:t xml:space="preserve"> of the vessel beyond the berth occupancy as per the norms given in clause 2.1.4 if the norms cannot be achieved due to any reasons attributable to the vessel.  </w:t>
      </w:r>
    </w:p>
    <w:p w:rsidR="00194575" w:rsidRDefault="00194575" w:rsidP="00194575">
      <w:pPr>
        <w:spacing w:after="0" w:line="259" w:lineRule="auto"/>
        <w:ind w:left="720" w:firstLine="0"/>
        <w:jc w:val="left"/>
      </w:pPr>
      <w:r>
        <w:t xml:space="preserve"> </w:t>
      </w:r>
    </w:p>
    <w:tbl>
      <w:tblPr>
        <w:tblStyle w:val="TableGrid"/>
        <w:tblW w:w="8788" w:type="dxa"/>
        <w:tblInd w:w="0" w:type="dxa"/>
        <w:tblCellMar>
          <w:top w:w="0" w:type="dxa"/>
          <w:left w:w="0" w:type="dxa"/>
          <w:bottom w:w="0" w:type="dxa"/>
          <w:right w:w="0" w:type="dxa"/>
        </w:tblCellMar>
        <w:tblLook w:val="04A0" w:firstRow="1" w:lastRow="0" w:firstColumn="1" w:lastColumn="0" w:noHBand="0" w:noVBand="1"/>
      </w:tblPr>
      <w:tblGrid>
        <w:gridCol w:w="1440"/>
        <w:gridCol w:w="7348"/>
      </w:tblGrid>
      <w:tr w:rsidR="00194575" w:rsidTr="008D2954">
        <w:trPr>
          <w:trHeight w:val="457"/>
        </w:trPr>
        <w:tc>
          <w:tcPr>
            <w:tcW w:w="1440" w:type="dxa"/>
            <w:tcBorders>
              <w:top w:val="nil"/>
              <w:left w:val="nil"/>
              <w:bottom w:val="nil"/>
              <w:right w:val="nil"/>
            </w:tcBorders>
          </w:tcPr>
          <w:p w:rsidR="00194575" w:rsidRDefault="00194575" w:rsidP="008D2954">
            <w:pPr>
              <w:spacing w:after="0" w:line="259" w:lineRule="auto"/>
              <w:ind w:left="232" w:firstLine="0"/>
              <w:jc w:val="center"/>
            </w:pPr>
            <w:r>
              <w:t xml:space="preserve">(i). </w:t>
            </w:r>
          </w:p>
        </w:tc>
        <w:tc>
          <w:tcPr>
            <w:tcW w:w="7348" w:type="dxa"/>
            <w:tcBorders>
              <w:top w:val="nil"/>
              <w:left w:val="nil"/>
              <w:bottom w:val="nil"/>
              <w:right w:val="nil"/>
            </w:tcBorders>
          </w:tcPr>
          <w:p w:rsidR="00194575" w:rsidRDefault="00194575" w:rsidP="008D2954">
            <w:pPr>
              <w:spacing w:after="0" w:line="259" w:lineRule="auto"/>
              <w:ind w:left="0" w:firstLine="0"/>
            </w:pPr>
            <w:r>
              <w:t xml:space="preserve">Vessel shall be permitted to occupy the berth after completion of cargo operation without attracting penal berth hire charges for period mentioned below:   </w:t>
            </w:r>
          </w:p>
        </w:tc>
      </w:tr>
      <w:tr w:rsidR="00194575" w:rsidTr="008D2954">
        <w:trPr>
          <w:trHeight w:val="1249"/>
        </w:trPr>
        <w:tc>
          <w:tcPr>
            <w:tcW w:w="1440" w:type="dxa"/>
            <w:tcBorders>
              <w:top w:val="nil"/>
              <w:left w:val="nil"/>
              <w:bottom w:val="nil"/>
              <w:right w:val="nil"/>
            </w:tcBorders>
          </w:tcPr>
          <w:p w:rsidR="00194575" w:rsidRDefault="00194575" w:rsidP="008D2954">
            <w:pPr>
              <w:spacing w:after="0" w:line="259" w:lineRule="auto"/>
              <w:ind w:left="0" w:firstLine="0"/>
              <w:jc w:val="left"/>
            </w:pPr>
            <w:r>
              <w:t xml:space="preserve"> </w:t>
            </w:r>
            <w:r>
              <w:tab/>
              <w:t xml:space="preserve"> </w:t>
            </w:r>
          </w:p>
        </w:tc>
        <w:tc>
          <w:tcPr>
            <w:tcW w:w="7348" w:type="dxa"/>
            <w:tcBorders>
              <w:top w:val="nil"/>
              <w:left w:val="nil"/>
              <w:bottom w:val="nil"/>
              <w:right w:val="nil"/>
            </w:tcBorders>
          </w:tcPr>
          <w:p w:rsidR="00194575" w:rsidRDefault="00194575" w:rsidP="008D2954">
            <w:pPr>
              <w:spacing w:after="74" w:line="259" w:lineRule="auto"/>
              <w:ind w:left="0" w:firstLine="0"/>
              <w:jc w:val="left"/>
            </w:pPr>
            <w:r>
              <w:t xml:space="preserve"> </w:t>
            </w:r>
            <w:r>
              <w:tab/>
              <w:t xml:space="preserve"> </w:t>
            </w:r>
            <w:r>
              <w:tab/>
              <w:t xml:space="preserve"> </w:t>
            </w:r>
          </w:p>
          <w:p w:rsidR="00194575" w:rsidRDefault="00194575" w:rsidP="008D2954">
            <w:pPr>
              <w:tabs>
                <w:tab w:val="center" w:pos="2454"/>
                <w:tab w:val="center" w:pos="4429"/>
                <w:tab w:val="center" w:pos="6866"/>
              </w:tabs>
              <w:spacing w:after="110" w:line="259" w:lineRule="auto"/>
              <w:ind w:left="0" w:firstLine="0"/>
              <w:jc w:val="left"/>
            </w:pPr>
            <w:r>
              <w:t xml:space="preserve">(a). </w:t>
            </w:r>
            <w:r>
              <w:tab/>
              <w:t xml:space="preserve">Any vessel which requires “securing” </w:t>
            </w:r>
            <w:r>
              <w:tab/>
              <w:t xml:space="preserve"> </w:t>
            </w:r>
            <w:r>
              <w:tab/>
              <w:t xml:space="preserve">10 </w:t>
            </w:r>
            <w:proofErr w:type="spellStart"/>
            <w:r>
              <w:t>hrs</w:t>
            </w:r>
            <w:proofErr w:type="spellEnd"/>
            <w:r>
              <w:t xml:space="preserve"> </w:t>
            </w:r>
          </w:p>
          <w:p w:rsidR="00194575" w:rsidRDefault="00194575" w:rsidP="008D2954">
            <w:pPr>
              <w:tabs>
                <w:tab w:val="center" w:pos="3199"/>
                <w:tab w:val="center" w:pos="6866"/>
              </w:tabs>
              <w:spacing w:after="110" w:line="259" w:lineRule="auto"/>
              <w:ind w:left="0" w:firstLine="0"/>
              <w:jc w:val="left"/>
            </w:pPr>
            <w:r>
              <w:t xml:space="preserve">(b). </w:t>
            </w:r>
            <w:r>
              <w:tab/>
              <w:t xml:space="preserve">Food Grains vessels requiring fumigation and </w:t>
            </w:r>
            <w:proofErr w:type="spellStart"/>
            <w:r>
              <w:t>Inerting</w:t>
            </w:r>
            <w:proofErr w:type="spellEnd"/>
            <w:r>
              <w:t xml:space="preserve"> </w:t>
            </w:r>
            <w:r>
              <w:tab/>
              <w:t xml:space="preserve">10 </w:t>
            </w:r>
            <w:proofErr w:type="spellStart"/>
            <w:r>
              <w:t>hrs</w:t>
            </w:r>
            <w:proofErr w:type="spellEnd"/>
            <w:r>
              <w:t xml:space="preserve"> </w:t>
            </w:r>
          </w:p>
          <w:p w:rsidR="00194575" w:rsidRDefault="00194575" w:rsidP="008D2954">
            <w:pPr>
              <w:tabs>
                <w:tab w:val="center" w:pos="1583"/>
                <w:tab w:val="center" w:pos="6811"/>
              </w:tabs>
              <w:spacing w:after="0" w:line="259" w:lineRule="auto"/>
              <w:ind w:left="0" w:firstLine="0"/>
              <w:jc w:val="left"/>
            </w:pPr>
            <w:r>
              <w:t xml:space="preserve">(c). </w:t>
            </w:r>
            <w:r>
              <w:tab/>
              <w:t xml:space="preserve">In all other cases </w:t>
            </w:r>
            <w:r>
              <w:tab/>
              <w:t xml:space="preserve">7 </w:t>
            </w:r>
            <w:proofErr w:type="spellStart"/>
            <w:r>
              <w:t>hrs</w:t>
            </w:r>
            <w:proofErr w:type="spellEnd"/>
            <w:r>
              <w:t xml:space="preserve"> </w:t>
            </w:r>
          </w:p>
        </w:tc>
      </w:tr>
      <w:tr w:rsidR="00194575" w:rsidTr="008D2954">
        <w:trPr>
          <w:trHeight w:val="260"/>
        </w:trPr>
        <w:tc>
          <w:tcPr>
            <w:tcW w:w="1440" w:type="dxa"/>
            <w:tcBorders>
              <w:top w:val="nil"/>
              <w:left w:val="nil"/>
              <w:bottom w:val="nil"/>
              <w:right w:val="nil"/>
            </w:tcBorders>
          </w:tcPr>
          <w:p w:rsidR="00194575" w:rsidRDefault="00194575" w:rsidP="008D2954">
            <w:pPr>
              <w:spacing w:after="0" w:line="259" w:lineRule="auto"/>
              <w:ind w:left="0" w:firstLine="0"/>
              <w:jc w:val="left"/>
            </w:pPr>
            <w:r>
              <w:t xml:space="preserve"> </w:t>
            </w:r>
            <w:r>
              <w:tab/>
              <w:t xml:space="preserve"> </w:t>
            </w:r>
          </w:p>
        </w:tc>
        <w:tc>
          <w:tcPr>
            <w:tcW w:w="7348" w:type="dxa"/>
            <w:tcBorders>
              <w:top w:val="nil"/>
              <w:left w:val="nil"/>
              <w:bottom w:val="nil"/>
              <w:right w:val="nil"/>
            </w:tcBorders>
          </w:tcPr>
          <w:p w:rsidR="00194575" w:rsidRDefault="00194575" w:rsidP="008D2954">
            <w:pPr>
              <w:spacing w:after="0" w:line="259" w:lineRule="auto"/>
              <w:ind w:left="0" w:firstLine="0"/>
              <w:jc w:val="left"/>
            </w:pPr>
            <w:r>
              <w:t xml:space="preserve"> </w:t>
            </w:r>
            <w:r>
              <w:tab/>
              <w:t xml:space="preserve"> </w:t>
            </w:r>
            <w:r>
              <w:tab/>
              <w:t xml:space="preserve"> </w:t>
            </w:r>
            <w:r>
              <w:tab/>
            </w:r>
            <w:r>
              <w:rPr>
                <w:b/>
              </w:rPr>
              <w:t xml:space="preserve"> </w:t>
            </w:r>
            <w:r>
              <w:rPr>
                <w:b/>
              </w:rPr>
              <w:tab/>
              <w:t xml:space="preserve"> </w:t>
            </w:r>
            <w:r>
              <w:rPr>
                <w:b/>
              </w:rPr>
              <w:tab/>
            </w:r>
            <w:r>
              <w:t xml:space="preserve"> </w:t>
            </w:r>
            <w:r>
              <w:rPr>
                <w:b/>
              </w:rPr>
              <w:t xml:space="preserve"> </w:t>
            </w:r>
          </w:p>
        </w:tc>
      </w:tr>
      <w:tr w:rsidR="00194575" w:rsidTr="008D2954">
        <w:trPr>
          <w:trHeight w:val="686"/>
        </w:trPr>
        <w:tc>
          <w:tcPr>
            <w:tcW w:w="1440" w:type="dxa"/>
            <w:tcBorders>
              <w:top w:val="nil"/>
              <w:left w:val="nil"/>
              <w:bottom w:val="nil"/>
              <w:right w:val="nil"/>
            </w:tcBorders>
          </w:tcPr>
          <w:p w:rsidR="00194575" w:rsidRDefault="00194575" w:rsidP="008D2954">
            <w:pPr>
              <w:spacing w:after="211" w:line="259" w:lineRule="auto"/>
              <w:ind w:left="840" w:firstLine="0"/>
              <w:jc w:val="left"/>
            </w:pPr>
            <w:r>
              <w:t xml:space="preserve">(ii).  </w:t>
            </w:r>
          </w:p>
          <w:p w:rsidR="00194575" w:rsidRDefault="00194575" w:rsidP="008D2954">
            <w:pPr>
              <w:spacing w:after="0" w:line="259" w:lineRule="auto"/>
              <w:ind w:left="0" w:firstLine="0"/>
              <w:jc w:val="left"/>
            </w:pPr>
            <w:r>
              <w:t xml:space="preserve">  </w:t>
            </w:r>
          </w:p>
        </w:tc>
        <w:tc>
          <w:tcPr>
            <w:tcW w:w="7348" w:type="dxa"/>
            <w:tcBorders>
              <w:top w:val="nil"/>
              <w:left w:val="nil"/>
              <w:bottom w:val="nil"/>
              <w:right w:val="nil"/>
            </w:tcBorders>
          </w:tcPr>
          <w:p w:rsidR="00194575" w:rsidRDefault="00194575" w:rsidP="008D2954">
            <w:pPr>
              <w:spacing w:after="0" w:line="259" w:lineRule="auto"/>
              <w:ind w:left="0" w:firstLine="0"/>
            </w:pPr>
            <w:r>
              <w:t xml:space="preserve">The berth occupancy for each vessel for the purpose of levy of penal berth hire charges shall be subject to the following conditions: </w:t>
            </w:r>
          </w:p>
        </w:tc>
      </w:tr>
    </w:tbl>
    <w:p w:rsidR="00194575" w:rsidRDefault="00194575" w:rsidP="00194575">
      <w:pPr>
        <w:ind w:left="2170"/>
      </w:pPr>
      <w:r>
        <w:t xml:space="preserve">(a). For deciding the period of stay of a vessel, number of shifts lost due to </w:t>
      </w:r>
      <w:proofErr w:type="spellStart"/>
      <w:r>
        <w:t>labour</w:t>
      </w:r>
      <w:proofErr w:type="spellEnd"/>
      <w:r>
        <w:t xml:space="preserve"> stoppage of work and </w:t>
      </w:r>
      <w:proofErr w:type="spellStart"/>
      <w:r>
        <w:t>labour</w:t>
      </w:r>
      <w:proofErr w:type="spellEnd"/>
      <w:r>
        <w:t xml:space="preserve"> holiday shall be excluded. </w:t>
      </w:r>
    </w:p>
    <w:p w:rsidR="00194575" w:rsidRDefault="00194575" w:rsidP="00194575">
      <w:pPr>
        <w:spacing w:after="0" w:line="259" w:lineRule="auto"/>
        <w:ind w:left="0" w:firstLine="0"/>
        <w:jc w:val="left"/>
      </w:pPr>
      <w:r>
        <w:t xml:space="preserve"> </w:t>
      </w:r>
    </w:p>
    <w:tbl>
      <w:tblPr>
        <w:tblStyle w:val="TableGrid"/>
        <w:tblW w:w="8796" w:type="dxa"/>
        <w:tblInd w:w="0" w:type="dxa"/>
        <w:tblCellMar>
          <w:top w:w="0" w:type="dxa"/>
          <w:left w:w="0" w:type="dxa"/>
          <w:bottom w:w="0" w:type="dxa"/>
          <w:right w:w="0" w:type="dxa"/>
        </w:tblCellMar>
        <w:tblLook w:val="04A0" w:firstRow="1" w:lastRow="0" w:firstColumn="1" w:lastColumn="0" w:noHBand="0" w:noVBand="1"/>
      </w:tblPr>
      <w:tblGrid>
        <w:gridCol w:w="1440"/>
        <w:gridCol w:w="721"/>
        <w:gridCol w:w="6635"/>
      </w:tblGrid>
      <w:tr w:rsidR="00194575" w:rsidTr="008D2954">
        <w:trPr>
          <w:trHeight w:val="914"/>
        </w:trPr>
        <w:tc>
          <w:tcPr>
            <w:tcW w:w="1440" w:type="dxa"/>
            <w:tcBorders>
              <w:top w:val="nil"/>
              <w:left w:val="nil"/>
              <w:bottom w:val="nil"/>
              <w:right w:val="nil"/>
            </w:tcBorders>
          </w:tcPr>
          <w:p w:rsidR="00194575" w:rsidRDefault="00194575" w:rsidP="008D2954">
            <w:pPr>
              <w:spacing w:after="160" w:line="259" w:lineRule="auto"/>
              <w:ind w:left="0" w:firstLine="0"/>
              <w:jc w:val="left"/>
            </w:pPr>
          </w:p>
        </w:tc>
        <w:tc>
          <w:tcPr>
            <w:tcW w:w="721" w:type="dxa"/>
            <w:tcBorders>
              <w:top w:val="nil"/>
              <w:left w:val="nil"/>
              <w:bottom w:val="nil"/>
              <w:right w:val="nil"/>
            </w:tcBorders>
          </w:tcPr>
          <w:p w:rsidR="00194575" w:rsidRDefault="00194575" w:rsidP="008D2954">
            <w:pPr>
              <w:spacing w:after="439" w:line="259" w:lineRule="auto"/>
              <w:ind w:left="0" w:firstLine="0"/>
              <w:jc w:val="left"/>
            </w:pPr>
            <w:r>
              <w:t>(b).</w:t>
            </w:r>
            <w:r>
              <w:rPr>
                <w:b/>
              </w:rPr>
              <w:t xml:space="preserve"> </w:t>
            </w:r>
          </w:p>
          <w:p w:rsidR="00194575" w:rsidRDefault="00194575" w:rsidP="008D2954">
            <w:pPr>
              <w:spacing w:after="0" w:line="259" w:lineRule="auto"/>
              <w:ind w:left="0" w:firstLine="0"/>
              <w:jc w:val="left"/>
            </w:pPr>
            <w:r>
              <w:rPr>
                <w:b/>
              </w:rPr>
              <w:t xml:space="preserve"> </w:t>
            </w:r>
          </w:p>
        </w:tc>
        <w:tc>
          <w:tcPr>
            <w:tcW w:w="6636" w:type="dxa"/>
            <w:tcBorders>
              <w:top w:val="nil"/>
              <w:left w:val="nil"/>
              <w:bottom w:val="nil"/>
              <w:right w:val="nil"/>
            </w:tcBorders>
          </w:tcPr>
          <w:p w:rsidR="00194575" w:rsidRDefault="00194575" w:rsidP="008D2954">
            <w:pPr>
              <w:spacing w:after="0" w:line="259" w:lineRule="auto"/>
              <w:ind w:left="0" w:right="59" w:firstLine="0"/>
            </w:pPr>
            <w:r>
              <w:t xml:space="preserve">The shift in which the vessel is berthed shall not be deciding the vessels stay at berth since normally vessels are berthed in the middle of shift resulting in engagement of less number of hooks. </w:t>
            </w:r>
          </w:p>
        </w:tc>
      </w:tr>
      <w:tr w:rsidR="00194575" w:rsidTr="008D2954">
        <w:trPr>
          <w:trHeight w:val="922"/>
        </w:trPr>
        <w:tc>
          <w:tcPr>
            <w:tcW w:w="1440" w:type="dxa"/>
            <w:tcBorders>
              <w:top w:val="nil"/>
              <w:left w:val="nil"/>
              <w:bottom w:val="nil"/>
              <w:right w:val="nil"/>
            </w:tcBorders>
          </w:tcPr>
          <w:p w:rsidR="00194575" w:rsidRDefault="00194575" w:rsidP="008D2954">
            <w:pPr>
              <w:spacing w:after="160" w:line="259" w:lineRule="auto"/>
              <w:ind w:left="0" w:firstLine="0"/>
              <w:jc w:val="left"/>
            </w:pPr>
          </w:p>
        </w:tc>
        <w:tc>
          <w:tcPr>
            <w:tcW w:w="721" w:type="dxa"/>
            <w:tcBorders>
              <w:top w:val="nil"/>
              <w:left w:val="nil"/>
              <w:bottom w:val="nil"/>
              <w:right w:val="nil"/>
            </w:tcBorders>
          </w:tcPr>
          <w:p w:rsidR="00194575" w:rsidRDefault="00194575" w:rsidP="008D2954">
            <w:pPr>
              <w:spacing w:after="441" w:line="259" w:lineRule="auto"/>
              <w:ind w:left="0" w:firstLine="0"/>
              <w:jc w:val="left"/>
            </w:pPr>
            <w:r>
              <w:t>(c).</w:t>
            </w:r>
            <w:r>
              <w:rPr>
                <w:b/>
              </w:rPr>
              <w:t xml:space="preserve"> </w:t>
            </w:r>
          </w:p>
          <w:p w:rsidR="00194575" w:rsidRDefault="00194575" w:rsidP="008D2954">
            <w:pPr>
              <w:spacing w:after="0" w:line="259" w:lineRule="auto"/>
              <w:ind w:left="0" w:firstLine="0"/>
              <w:jc w:val="left"/>
            </w:pPr>
            <w:r>
              <w:rPr>
                <w:b/>
              </w:rPr>
              <w:t xml:space="preserve"> </w:t>
            </w:r>
          </w:p>
        </w:tc>
        <w:tc>
          <w:tcPr>
            <w:tcW w:w="6636" w:type="dxa"/>
            <w:tcBorders>
              <w:top w:val="nil"/>
              <w:left w:val="nil"/>
              <w:bottom w:val="nil"/>
              <w:right w:val="nil"/>
            </w:tcBorders>
          </w:tcPr>
          <w:p w:rsidR="00194575" w:rsidRDefault="00194575" w:rsidP="008D2954">
            <w:pPr>
              <w:spacing w:after="0" w:line="259" w:lineRule="auto"/>
              <w:ind w:left="0" w:right="58" w:firstLine="0"/>
            </w:pPr>
            <w:r>
              <w:t xml:space="preserve">In case of new cargoes, average performance of three consignments shall be fixed as “NORM” tentatively </w:t>
            </w:r>
            <w:proofErr w:type="gramStart"/>
            <w:r>
              <w:t>which will be reviewed after six months for further refinement.</w:t>
            </w:r>
            <w:proofErr w:type="gramEnd"/>
            <w:r>
              <w:t xml:space="preserve"> </w:t>
            </w:r>
          </w:p>
        </w:tc>
      </w:tr>
      <w:tr w:rsidR="00194575" w:rsidTr="008D2954">
        <w:trPr>
          <w:trHeight w:val="460"/>
        </w:trPr>
        <w:tc>
          <w:tcPr>
            <w:tcW w:w="1440" w:type="dxa"/>
            <w:tcBorders>
              <w:top w:val="nil"/>
              <w:left w:val="nil"/>
              <w:bottom w:val="nil"/>
              <w:right w:val="nil"/>
            </w:tcBorders>
          </w:tcPr>
          <w:p w:rsidR="00194575" w:rsidRDefault="00194575" w:rsidP="008D2954">
            <w:pPr>
              <w:spacing w:after="160" w:line="259" w:lineRule="auto"/>
              <w:ind w:left="0" w:firstLine="0"/>
              <w:jc w:val="left"/>
            </w:pPr>
          </w:p>
        </w:tc>
        <w:tc>
          <w:tcPr>
            <w:tcW w:w="721" w:type="dxa"/>
            <w:tcBorders>
              <w:top w:val="nil"/>
              <w:left w:val="nil"/>
              <w:bottom w:val="nil"/>
              <w:right w:val="nil"/>
            </w:tcBorders>
          </w:tcPr>
          <w:p w:rsidR="00194575" w:rsidRDefault="00194575" w:rsidP="008D2954">
            <w:pPr>
              <w:spacing w:after="0" w:line="259" w:lineRule="auto"/>
              <w:ind w:left="0" w:firstLine="0"/>
              <w:jc w:val="left"/>
            </w:pPr>
            <w:r>
              <w:t xml:space="preserve">(d). </w:t>
            </w:r>
          </w:p>
          <w:p w:rsidR="00194575" w:rsidRDefault="00194575" w:rsidP="008D2954">
            <w:pPr>
              <w:spacing w:after="0" w:line="259" w:lineRule="auto"/>
              <w:ind w:left="0" w:firstLine="0"/>
              <w:jc w:val="left"/>
            </w:pPr>
            <w:r>
              <w:t xml:space="preserve"> </w:t>
            </w:r>
          </w:p>
        </w:tc>
        <w:tc>
          <w:tcPr>
            <w:tcW w:w="6636" w:type="dxa"/>
            <w:tcBorders>
              <w:top w:val="nil"/>
              <w:left w:val="nil"/>
              <w:bottom w:val="nil"/>
              <w:right w:val="nil"/>
            </w:tcBorders>
          </w:tcPr>
          <w:p w:rsidR="00194575" w:rsidRDefault="00194575" w:rsidP="008D2954">
            <w:pPr>
              <w:spacing w:after="0" w:line="259" w:lineRule="auto"/>
              <w:ind w:left="0" w:firstLine="0"/>
            </w:pPr>
            <w:r>
              <w:t xml:space="preserve">Any stoppage of work for reasons attributable to VSPL shall be excluded.  </w:t>
            </w:r>
          </w:p>
        </w:tc>
      </w:tr>
      <w:tr w:rsidR="00194575" w:rsidTr="008D2954">
        <w:trPr>
          <w:trHeight w:val="690"/>
        </w:trPr>
        <w:tc>
          <w:tcPr>
            <w:tcW w:w="1440" w:type="dxa"/>
            <w:tcBorders>
              <w:top w:val="nil"/>
              <w:left w:val="nil"/>
              <w:bottom w:val="nil"/>
              <w:right w:val="nil"/>
            </w:tcBorders>
          </w:tcPr>
          <w:p w:rsidR="00194575" w:rsidRDefault="00194575" w:rsidP="008D2954">
            <w:pPr>
              <w:spacing w:after="211" w:line="259" w:lineRule="auto"/>
              <w:ind w:left="319" w:firstLine="0"/>
              <w:jc w:val="center"/>
            </w:pPr>
            <w:r>
              <w:t xml:space="preserve">(iii). </w:t>
            </w:r>
          </w:p>
          <w:p w:rsidR="00194575" w:rsidRDefault="00194575" w:rsidP="008D2954">
            <w:pPr>
              <w:spacing w:after="0" w:line="259" w:lineRule="auto"/>
              <w:ind w:left="0" w:firstLine="0"/>
              <w:jc w:val="left"/>
            </w:pPr>
            <w:r>
              <w:rPr>
                <w:b/>
              </w:rPr>
              <w:t xml:space="preserve"> </w:t>
            </w:r>
          </w:p>
        </w:tc>
        <w:tc>
          <w:tcPr>
            <w:tcW w:w="721" w:type="dxa"/>
            <w:tcBorders>
              <w:top w:val="nil"/>
              <w:left w:val="nil"/>
              <w:bottom w:val="nil"/>
              <w:right w:val="nil"/>
            </w:tcBorders>
          </w:tcPr>
          <w:p w:rsidR="00194575" w:rsidRDefault="00194575" w:rsidP="008D2954">
            <w:pPr>
              <w:spacing w:after="0" w:line="259" w:lineRule="auto"/>
              <w:ind w:left="0" w:firstLine="0"/>
              <w:jc w:val="left"/>
            </w:pPr>
            <w:r>
              <w:t xml:space="preserve">(a). </w:t>
            </w:r>
          </w:p>
        </w:tc>
        <w:tc>
          <w:tcPr>
            <w:tcW w:w="6636" w:type="dxa"/>
            <w:tcBorders>
              <w:top w:val="nil"/>
              <w:left w:val="nil"/>
              <w:bottom w:val="nil"/>
              <w:right w:val="nil"/>
            </w:tcBorders>
          </w:tcPr>
          <w:p w:rsidR="00194575" w:rsidRDefault="00194575" w:rsidP="008D2954">
            <w:pPr>
              <w:spacing w:after="0" w:line="259" w:lineRule="auto"/>
              <w:ind w:left="0" w:firstLine="0"/>
            </w:pPr>
            <w:r>
              <w:t xml:space="preserve">In case of supply of bunkers and or water through barges, the vessel shall be permitted to stay at berth without attracting penal berth hire for 8 hours. </w:t>
            </w:r>
          </w:p>
        </w:tc>
      </w:tr>
      <w:tr w:rsidR="00194575" w:rsidTr="008D2954">
        <w:trPr>
          <w:trHeight w:val="920"/>
        </w:trPr>
        <w:tc>
          <w:tcPr>
            <w:tcW w:w="1440" w:type="dxa"/>
            <w:tcBorders>
              <w:top w:val="nil"/>
              <w:left w:val="nil"/>
              <w:bottom w:val="nil"/>
              <w:right w:val="nil"/>
            </w:tcBorders>
            <w:vAlign w:val="bottom"/>
          </w:tcPr>
          <w:p w:rsidR="00194575" w:rsidRDefault="00194575" w:rsidP="008D2954">
            <w:pPr>
              <w:spacing w:after="0" w:line="259" w:lineRule="auto"/>
              <w:ind w:left="0" w:firstLine="0"/>
              <w:jc w:val="left"/>
            </w:pPr>
            <w:r>
              <w:t xml:space="preserve"> </w:t>
            </w:r>
          </w:p>
        </w:tc>
        <w:tc>
          <w:tcPr>
            <w:tcW w:w="721" w:type="dxa"/>
            <w:tcBorders>
              <w:top w:val="nil"/>
              <w:left w:val="nil"/>
              <w:bottom w:val="nil"/>
              <w:right w:val="nil"/>
            </w:tcBorders>
          </w:tcPr>
          <w:p w:rsidR="00194575" w:rsidRDefault="00194575" w:rsidP="008D2954">
            <w:pPr>
              <w:spacing w:after="0" w:line="259" w:lineRule="auto"/>
              <w:ind w:left="0" w:firstLine="0"/>
              <w:jc w:val="left"/>
            </w:pPr>
            <w:r>
              <w:t xml:space="preserve">(b). </w:t>
            </w:r>
          </w:p>
        </w:tc>
        <w:tc>
          <w:tcPr>
            <w:tcW w:w="6636" w:type="dxa"/>
            <w:tcBorders>
              <w:top w:val="nil"/>
              <w:left w:val="nil"/>
              <w:bottom w:val="nil"/>
              <w:right w:val="nil"/>
            </w:tcBorders>
          </w:tcPr>
          <w:p w:rsidR="00194575" w:rsidRDefault="00194575" w:rsidP="008D2954">
            <w:pPr>
              <w:spacing w:after="0" w:line="259" w:lineRule="auto"/>
              <w:ind w:left="0" w:right="63" w:firstLine="0"/>
            </w:pPr>
            <w:r>
              <w:t xml:space="preserve">In case of supply of water, the vessel shall be permitted to stay at berth without attracting penal berth hire for 12 hours from the time of placement of barge alongside the vessel. </w:t>
            </w:r>
          </w:p>
        </w:tc>
      </w:tr>
      <w:tr w:rsidR="00194575" w:rsidTr="008D2954">
        <w:trPr>
          <w:trHeight w:val="688"/>
        </w:trPr>
        <w:tc>
          <w:tcPr>
            <w:tcW w:w="1440" w:type="dxa"/>
            <w:tcBorders>
              <w:top w:val="nil"/>
              <w:left w:val="nil"/>
              <w:bottom w:val="nil"/>
              <w:right w:val="nil"/>
            </w:tcBorders>
          </w:tcPr>
          <w:p w:rsidR="00194575" w:rsidRDefault="00194575" w:rsidP="008D2954">
            <w:pPr>
              <w:spacing w:after="160" w:line="259" w:lineRule="auto"/>
              <w:ind w:left="0" w:firstLine="0"/>
              <w:jc w:val="left"/>
            </w:pPr>
          </w:p>
        </w:tc>
        <w:tc>
          <w:tcPr>
            <w:tcW w:w="721" w:type="dxa"/>
            <w:tcBorders>
              <w:top w:val="nil"/>
              <w:left w:val="nil"/>
              <w:bottom w:val="nil"/>
              <w:right w:val="nil"/>
            </w:tcBorders>
          </w:tcPr>
          <w:p w:rsidR="00194575" w:rsidRDefault="00194575" w:rsidP="008D2954">
            <w:pPr>
              <w:spacing w:after="0" w:line="259" w:lineRule="auto"/>
              <w:ind w:left="0" w:firstLine="0"/>
              <w:jc w:val="left"/>
            </w:pPr>
            <w:r>
              <w:t xml:space="preserve">(c). </w:t>
            </w:r>
          </w:p>
        </w:tc>
        <w:tc>
          <w:tcPr>
            <w:tcW w:w="6636" w:type="dxa"/>
            <w:tcBorders>
              <w:top w:val="nil"/>
              <w:left w:val="nil"/>
              <w:bottom w:val="nil"/>
              <w:right w:val="nil"/>
            </w:tcBorders>
          </w:tcPr>
          <w:p w:rsidR="00194575" w:rsidRDefault="00194575" w:rsidP="008D2954">
            <w:pPr>
              <w:spacing w:after="0" w:line="259" w:lineRule="auto"/>
              <w:ind w:left="0" w:right="60" w:firstLine="0"/>
            </w:pPr>
            <w:r>
              <w:t xml:space="preserve">Vessels taking water / bunker through sources other than barge will be permitted to stay for 8 hours from the time of completion of loading / unloading the cargo without attracting penal berth hire. </w:t>
            </w:r>
          </w:p>
        </w:tc>
      </w:tr>
    </w:tbl>
    <w:p w:rsidR="00194575" w:rsidRDefault="00194575" w:rsidP="00194575">
      <w:pPr>
        <w:spacing w:after="0" w:line="259" w:lineRule="auto"/>
        <w:ind w:left="0" w:firstLine="0"/>
        <w:jc w:val="left"/>
      </w:pPr>
      <w:r>
        <w:rPr>
          <w:b/>
        </w:rPr>
        <w:t xml:space="preserve"> </w:t>
      </w:r>
    </w:p>
    <w:p w:rsidR="00194575" w:rsidRDefault="00194575" w:rsidP="00194575">
      <w:pPr>
        <w:ind w:left="715"/>
      </w:pPr>
      <w:r>
        <w:rPr>
          <w:b/>
        </w:rPr>
        <w:t>2.1.3</w:t>
      </w:r>
      <w:proofErr w:type="gramStart"/>
      <w:r>
        <w:rPr>
          <w:b/>
        </w:rPr>
        <w:t>.</w:t>
      </w:r>
      <w:r>
        <w:t xml:space="preserve">  Penal</w:t>
      </w:r>
      <w:proofErr w:type="gramEnd"/>
      <w:r>
        <w:t xml:space="preserve"> berth hire charges shall be levied in addition to normal berth hire for the period of over-</w:t>
      </w:r>
      <w:proofErr w:type="spellStart"/>
      <w:r>
        <w:t>stayal</w:t>
      </w:r>
      <w:proofErr w:type="spellEnd"/>
      <w:r>
        <w:t xml:space="preserve"> at the rates prescribed below. </w:t>
      </w:r>
    </w:p>
    <w:tbl>
      <w:tblPr>
        <w:tblStyle w:val="TableGrid"/>
        <w:tblW w:w="8131" w:type="dxa"/>
        <w:tblInd w:w="720" w:type="dxa"/>
        <w:tblCellMar>
          <w:top w:w="7" w:type="dxa"/>
          <w:left w:w="106" w:type="dxa"/>
          <w:bottom w:w="0" w:type="dxa"/>
          <w:right w:w="53" w:type="dxa"/>
        </w:tblCellMar>
        <w:tblLook w:val="04A0" w:firstRow="1" w:lastRow="0" w:firstColumn="1" w:lastColumn="0" w:noHBand="0" w:noVBand="1"/>
      </w:tblPr>
      <w:tblGrid>
        <w:gridCol w:w="632"/>
        <w:gridCol w:w="2338"/>
        <w:gridCol w:w="1200"/>
        <w:gridCol w:w="2281"/>
        <w:gridCol w:w="1680"/>
      </w:tblGrid>
      <w:tr w:rsidR="00194575" w:rsidTr="008D2954">
        <w:trPr>
          <w:trHeight w:val="586"/>
        </w:trPr>
        <w:tc>
          <w:tcPr>
            <w:tcW w:w="63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57" w:firstLine="0"/>
              <w:jc w:val="center"/>
            </w:pPr>
            <w:r>
              <w:rPr>
                <w:b/>
              </w:rPr>
              <w:t xml:space="preserve">Sl. </w:t>
            </w:r>
          </w:p>
          <w:p w:rsidR="00194575" w:rsidRDefault="00194575" w:rsidP="008D2954">
            <w:pPr>
              <w:spacing w:after="0" w:line="259" w:lineRule="auto"/>
              <w:ind w:left="48" w:firstLine="0"/>
              <w:jc w:val="left"/>
            </w:pPr>
            <w:r>
              <w:rPr>
                <w:b/>
              </w:rPr>
              <w:t xml:space="preserve">No. </w:t>
            </w:r>
          </w:p>
        </w:tc>
        <w:tc>
          <w:tcPr>
            <w:tcW w:w="2338"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7" w:firstLine="0"/>
              <w:jc w:val="center"/>
            </w:pPr>
            <w:r>
              <w:rPr>
                <w:b/>
              </w:rPr>
              <w:t xml:space="preserve">Particulars </w:t>
            </w:r>
          </w:p>
        </w:tc>
        <w:tc>
          <w:tcPr>
            <w:tcW w:w="12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3" w:firstLine="0"/>
              <w:jc w:val="center"/>
            </w:pPr>
            <w:r>
              <w:rPr>
                <w:b/>
              </w:rPr>
              <w:t xml:space="preserve">Unit </w:t>
            </w:r>
          </w:p>
        </w:tc>
        <w:tc>
          <w:tcPr>
            <w:tcW w:w="22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center"/>
            </w:pPr>
            <w:r>
              <w:rPr>
                <w:b/>
              </w:rPr>
              <w:t xml:space="preserve">Foreign-going vessel (in US $) </w:t>
            </w:r>
          </w:p>
        </w:tc>
        <w:tc>
          <w:tcPr>
            <w:tcW w:w="1680" w:type="dxa"/>
            <w:tcBorders>
              <w:top w:val="single" w:sz="4" w:space="0" w:color="000000"/>
              <w:left w:val="single" w:sz="4" w:space="0" w:color="000000"/>
              <w:bottom w:val="single" w:sz="4" w:space="0" w:color="000000"/>
              <w:right w:val="single" w:sz="4" w:space="0" w:color="000000"/>
            </w:tcBorders>
          </w:tcPr>
          <w:p w:rsidR="00194575" w:rsidRPr="001D5342" w:rsidRDefault="00194575" w:rsidP="008D2954">
            <w:pPr>
              <w:pStyle w:val="NoSpacing"/>
              <w:jc w:val="center"/>
              <w:rPr>
                <w:b/>
              </w:rPr>
            </w:pPr>
            <w:r w:rsidRPr="001D5342">
              <w:rPr>
                <w:b/>
              </w:rPr>
              <w:t>Coastal vessel</w:t>
            </w:r>
          </w:p>
          <w:p w:rsidR="00194575" w:rsidRDefault="00194575" w:rsidP="008D2954">
            <w:pPr>
              <w:pStyle w:val="NoSpacing"/>
              <w:jc w:val="center"/>
            </w:pPr>
            <w:r w:rsidRPr="001D5342">
              <w:rPr>
                <w:b/>
              </w:rPr>
              <w:t>(in</w:t>
            </w:r>
            <w:r w:rsidRPr="001D5342">
              <w:rPr>
                <w:rFonts w:ascii="Malgun Gothic" w:eastAsia="Malgun Gothic" w:hAnsi="Malgun Gothic" w:cs="Malgun Gothic"/>
                <w:b/>
              </w:rPr>
              <w:t xml:space="preserve"> </w:t>
            </w:r>
            <w:proofErr w:type="spellStart"/>
            <w:r w:rsidRPr="001D5342">
              <w:rPr>
                <w:rFonts w:ascii="Malgun Gothic" w:eastAsia="Malgun Gothic" w:hAnsi="Malgun Gothic" w:cs="Malgun Gothic"/>
                <w:b/>
              </w:rPr>
              <w:t>Rs</w:t>
            </w:r>
            <w:proofErr w:type="spellEnd"/>
            <w:r w:rsidRPr="001D5342">
              <w:rPr>
                <w:b/>
              </w:rPr>
              <w:t>)</w:t>
            </w:r>
          </w:p>
        </w:tc>
      </w:tr>
      <w:tr w:rsidR="00194575" w:rsidTr="008D2954">
        <w:trPr>
          <w:trHeight w:val="240"/>
        </w:trPr>
        <w:tc>
          <w:tcPr>
            <w:tcW w:w="63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57" w:firstLine="0"/>
              <w:jc w:val="center"/>
            </w:pPr>
            <w:r>
              <w:t xml:space="preserve">1. </w:t>
            </w:r>
          </w:p>
        </w:tc>
        <w:tc>
          <w:tcPr>
            <w:tcW w:w="233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Up to 6 hours </w:t>
            </w:r>
          </w:p>
        </w:tc>
        <w:tc>
          <w:tcPr>
            <w:tcW w:w="12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98" w:firstLine="0"/>
              <w:jc w:val="left"/>
            </w:pPr>
            <w:r>
              <w:t xml:space="preserve">Per GRT </w:t>
            </w:r>
          </w:p>
        </w:tc>
        <w:tc>
          <w:tcPr>
            <w:tcW w:w="22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58" w:firstLine="0"/>
              <w:jc w:val="center"/>
            </w:pPr>
            <w:r>
              <w:t xml:space="preserve">0.016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55" w:firstLine="0"/>
              <w:jc w:val="center"/>
            </w:pPr>
            <w:r>
              <w:t xml:space="preserve">0.42 </w:t>
            </w:r>
          </w:p>
        </w:tc>
      </w:tr>
      <w:tr w:rsidR="00194575" w:rsidTr="008D2954">
        <w:trPr>
          <w:trHeight w:val="470"/>
        </w:trPr>
        <w:tc>
          <w:tcPr>
            <w:tcW w:w="63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7" w:firstLine="0"/>
              <w:jc w:val="center"/>
            </w:pPr>
            <w:r>
              <w:t xml:space="preserve">2. </w:t>
            </w:r>
          </w:p>
        </w:tc>
        <w:tc>
          <w:tcPr>
            <w:tcW w:w="233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t xml:space="preserve">Above 6 hrs. and </w:t>
            </w:r>
            <w:proofErr w:type="spellStart"/>
            <w:r>
              <w:t>upto</w:t>
            </w:r>
            <w:proofErr w:type="spellEnd"/>
            <w:r>
              <w:t xml:space="preserve"> 12 hours </w:t>
            </w:r>
          </w:p>
        </w:tc>
        <w:tc>
          <w:tcPr>
            <w:tcW w:w="12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8" w:firstLine="0"/>
              <w:jc w:val="center"/>
            </w:pPr>
            <w:r>
              <w:t xml:space="preserve">- do - </w:t>
            </w:r>
          </w:p>
        </w:tc>
        <w:tc>
          <w:tcPr>
            <w:tcW w:w="228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8" w:firstLine="0"/>
              <w:jc w:val="center"/>
            </w:pPr>
            <w:r>
              <w:t xml:space="preserve">0.032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5" w:firstLine="0"/>
              <w:jc w:val="center"/>
            </w:pPr>
            <w:r>
              <w:t xml:space="preserve">0.84 </w:t>
            </w:r>
          </w:p>
        </w:tc>
      </w:tr>
      <w:tr w:rsidR="00194575" w:rsidTr="008D2954">
        <w:trPr>
          <w:trHeight w:val="470"/>
        </w:trPr>
        <w:tc>
          <w:tcPr>
            <w:tcW w:w="63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7" w:firstLine="0"/>
              <w:jc w:val="center"/>
            </w:pPr>
            <w:r>
              <w:t xml:space="preserve">3. </w:t>
            </w:r>
          </w:p>
        </w:tc>
        <w:tc>
          <w:tcPr>
            <w:tcW w:w="233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t xml:space="preserve">Above 12 hrs. </w:t>
            </w:r>
            <w:proofErr w:type="gramStart"/>
            <w:r>
              <w:t>but</w:t>
            </w:r>
            <w:proofErr w:type="gramEnd"/>
            <w:r>
              <w:t xml:space="preserve"> </w:t>
            </w:r>
            <w:proofErr w:type="spellStart"/>
            <w:r>
              <w:t>upto</w:t>
            </w:r>
            <w:proofErr w:type="spellEnd"/>
            <w:r>
              <w:t xml:space="preserve"> 18 hours. </w:t>
            </w:r>
          </w:p>
        </w:tc>
        <w:tc>
          <w:tcPr>
            <w:tcW w:w="12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8" w:firstLine="0"/>
              <w:jc w:val="center"/>
            </w:pPr>
            <w:r>
              <w:t xml:space="preserve">- do - </w:t>
            </w:r>
          </w:p>
        </w:tc>
        <w:tc>
          <w:tcPr>
            <w:tcW w:w="228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8" w:firstLine="0"/>
              <w:jc w:val="center"/>
            </w:pPr>
            <w:r>
              <w:t xml:space="preserve">0.064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5" w:firstLine="0"/>
              <w:jc w:val="center"/>
            </w:pPr>
            <w:r>
              <w:t xml:space="preserve">1.67 </w:t>
            </w:r>
          </w:p>
        </w:tc>
      </w:tr>
      <w:tr w:rsidR="00194575" w:rsidTr="008D2954">
        <w:trPr>
          <w:trHeight w:val="470"/>
        </w:trPr>
        <w:tc>
          <w:tcPr>
            <w:tcW w:w="63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7" w:firstLine="0"/>
              <w:jc w:val="center"/>
            </w:pPr>
            <w:r>
              <w:t xml:space="preserve">4. </w:t>
            </w:r>
          </w:p>
        </w:tc>
        <w:tc>
          <w:tcPr>
            <w:tcW w:w="233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t xml:space="preserve">Above 18 hrs. per day or part there of </w:t>
            </w:r>
          </w:p>
        </w:tc>
        <w:tc>
          <w:tcPr>
            <w:tcW w:w="12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8" w:firstLine="0"/>
              <w:jc w:val="center"/>
            </w:pPr>
            <w:r>
              <w:t xml:space="preserve">- do - </w:t>
            </w:r>
          </w:p>
        </w:tc>
        <w:tc>
          <w:tcPr>
            <w:tcW w:w="228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8" w:firstLine="0"/>
              <w:jc w:val="center"/>
            </w:pPr>
            <w:r>
              <w:t xml:space="preserve">0.080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55" w:firstLine="0"/>
              <w:jc w:val="center"/>
            </w:pPr>
            <w:r>
              <w:t xml:space="preserve">2.09 </w:t>
            </w:r>
          </w:p>
        </w:tc>
      </w:tr>
    </w:tbl>
    <w:p w:rsidR="00194575" w:rsidRDefault="00194575" w:rsidP="00194575">
      <w:pPr>
        <w:spacing w:after="0" w:line="259" w:lineRule="auto"/>
        <w:ind w:left="0" w:firstLine="0"/>
        <w:jc w:val="left"/>
        <w:rPr>
          <w:b/>
        </w:rPr>
      </w:pPr>
      <w:r>
        <w:rPr>
          <w:b/>
        </w:rPr>
        <w:lastRenderedPageBreak/>
        <w:t xml:space="preserve"> </w:t>
      </w:r>
    </w:p>
    <w:p w:rsidR="00194575" w:rsidRDefault="00194575" w:rsidP="00194575">
      <w:pPr>
        <w:spacing w:after="0" w:line="259" w:lineRule="auto"/>
        <w:ind w:left="0" w:firstLine="0"/>
        <w:jc w:val="left"/>
        <w:rPr>
          <w:b/>
        </w:rPr>
      </w:pPr>
    </w:p>
    <w:p w:rsidR="00194575" w:rsidRDefault="00194575" w:rsidP="00194575">
      <w:pPr>
        <w:spacing w:after="0" w:line="259" w:lineRule="auto"/>
        <w:ind w:left="0" w:firstLine="0"/>
        <w:jc w:val="left"/>
        <w:rPr>
          <w:b/>
        </w:rPr>
      </w:pPr>
    </w:p>
    <w:p w:rsidR="00194575" w:rsidRDefault="00194575" w:rsidP="00194575">
      <w:pPr>
        <w:spacing w:after="3" w:line="259" w:lineRule="auto"/>
        <w:ind w:left="0" w:firstLine="0"/>
        <w:jc w:val="left"/>
        <w:rPr>
          <w:b/>
        </w:rPr>
      </w:pPr>
    </w:p>
    <w:p w:rsidR="00194575" w:rsidRDefault="00194575" w:rsidP="00194575">
      <w:pPr>
        <w:spacing w:after="3" w:line="259" w:lineRule="auto"/>
        <w:ind w:left="0" w:firstLine="0"/>
        <w:jc w:val="left"/>
      </w:pPr>
      <w:r>
        <w:rPr>
          <w:b/>
        </w:rPr>
        <w:t xml:space="preserve">2.1.4. Commodity wise per vessel hook per shift output rates </w:t>
      </w:r>
    </w:p>
    <w:p w:rsidR="00194575" w:rsidRDefault="00194575" w:rsidP="00194575">
      <w:pPr>
        <w:spacing w:after="0" w:line="259" w:lineRule="auto"/>
        <w:ind w:left="0" w:firstLine="0"/>
        <w:jc w:val="left"/>
      </w:pPr>
      <w:r>
        <w:rPr>
          <w:b/>
        </w:rPr>
        <w:t xml:space="preserve"> </w:t>
      </w:r>
    </w:p>
    <w:p w:rsidR="00194575" w:rsidRDefault="00194575" w:rsidP="00194575">
      <w:pPr>
        <w:tabs>
          <w:tab w:val="center" w:pos="2000"/>
          <w:tab w:val="center" w:pos="2881"/>
          <w:tab w:val="center" w:pos="3601"/>
          <w:tab w:val="center" w:pos="4321"/>
          <w:tab w:val="center" w:pos="5041"/>
          <w:tab w:val="center" w:pos="5761"/>
          <w:tab w:val="center" w:pos="7175"/>
        </w:tabs>
        <w:spacing w:after="3" w:line="259" w:lineRule="auto"/>
        <w:ind w:left="0" w:firstLine="0"/>
        <w:jc w:val="left"/>
      </w:pPr>
      <w:r>
        <w:rPr>
          <w:rFonts w:ascii="Calibri" w:eastAsia="Calibri" w:hAnsi="Calibri" w:cs="Calibri"/>
          <w:sz w:val="22"/>
        </w:rPr>
        <w:tab/>
      </w:r>
      <w:r>
        <w:rPr>
          <w:b/>
        </w:rPr>
        <w:t xml:space="preserve">For Exports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roofErr w:type="gramStart"/>
      <w:r>
        <w:rPr>
          <w:b/>
        </w:rPr>
        <w:t>For</w:t>
      </w:r>
      <w:proofErr w:type="gramEnd"/>
      <w:r>
        <w:rPr>
          <w:b/>
        </w:rPr>
        <w:t xml:space="preserve"> Imports  </w:t>
      </w:r>
    </w:p>
    <w:tbl>
      <w:tblPr>
        <w:tblStyle w:val="TableGrid"/>
        <w:tblW w:w="9362" w:type="dxa"/>
        <w:tblInd w:w="0" w:type="dxa"/>
        <w:tblCellMar>
          <w:top w:w="17" w:type="dxa"/>
          <w:left w:w="17" w:type="dxa"/>
          <w:bottom w:w="0" w:type="dxa"/>
          <w:right w:w="0" w:type="dxa"/>
        </w:tblCellMar>
        <w:tblLook w:val="04A0" w:firstRow="1" w:lastRow="0" w:firstColumn="1" w:lastColumn="0" w:noHBand="0" w:noVBand="1"/>
      </w:tblPr>
      <w:tblGrid>
        <w:gridCol w:w="600"/>
        <w:gridCol w:w="2641"/>
        <w:gridCol w:w="1680"/>
        <w:gridCol w:w="300"/>
        <w:gridCol w:w="2881"/>
        <w:gridCol w:w="1260"/>
      </w:tblGrid>
      <w:tr w:rsidR="00194575" w:rsidTr="008D2954">
        <w:trPr>
          <w:trHeight w:val="718"/>
        </w:trPr>
        <w:tc>
          <w:tcPr>
            <w:tcW w:w="6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19" w:firstLine="0"/>
              <w:jc w:val="center"/>
            </w:pPr>
            <w:r>
              <w:rPr>
                <w:b/>
              </w:rPr>
              <w:t xml:space="preserve">Sl. </w:t>
            </w:r>
          </w:p>
          <w:p w:rsidR="00194575" w:rsidRDefault="00194575" w:rsidP="008D2954">
            <w:pPr>
              <w:spacing w:after="0" w:line="259" w:lineRule="auto"/>
              <w:ind w:left="122" w:firstLine="0"/>
              <w:jc w:val="left"/>
            </w:pPr>
            <w:r>
              <w:rPr>
                <w:b/>
              </w:rPr>
              <w:t xml:space="preserve">No. </w:t>
            </w:r>
          </w:p>
        </w:tc>
        <w:tc>
          <w:tcPr>
            <w:tcW w:w="264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126" w:firstLine="0"/>
              <w:jc w:val="center"/>
            </w:pPr>
            <w:r>
              <w:rPr>
                <w:b/>
              </w:rPr>
              <w:t xml:space="preserve">Nomenclature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 w:firstLine="0"/>
              <w:jc w:val="center"/>
            </w:pPr>
            <w:r>
              <w:rPr>
                <w:b/>
              </w:rPr>
              <w:t xml:space="preserve">Per hook per shift output (in </w:t>
            </w:r>
            <w:proofErr w:type="spellStart"/>
            <w:r>
              <w:rPr>
                <w:b/>
              </w:rPr>
              <w:t>tonnes</w:t>
            </w:r>
            <w:proofErr w:type="spellEnd"/>
            <w:r>
              <w:rPr>
                <w:b/>
              </w:rPr>
              <w:t xml:space="preserve">) </w:t>
            </w:r>
          </w:p>
        </w:tc>
        <w:tc>
          <w:tcPr>
            <w:tcW w:w="300" w:type="dxa"/>
            <w:vMerge w:val="restart"/>
            <w:tcBorders>
              <w:top w:val="nil"/>
              <w:left w:val="single" w:sz="4" w:space="0" w:color="000000"/>
              <w:bottom w:val="nil"/>
              <w:right w:val="single" w:sz="4" w:space="0" w:color="000000"/>
            </w:tcBorders>
          </w:tcPr>
          <w:p w:rsidR="00194575" w:rsidRDefault="00194575" w:rsidP="008D2954">
            <w:pPr>
              <w:spacing w:after="463" w:line="259" w:lineRule="auto"/>
              <w:ind w:left="36" w:firstLine="0"/>
              <w:jc w:val="center"/>
            </w:pPr>
            <w:r>
              <w:rPr>
                <w:b/>
              </w:rPr>
              <w:t xml:space="preserve"> </w:t>
            </w:r>
          </w:p>
          <w:p w:rsidR="00194575" w:rsidRDefault="00194575" w:rsidP="008D2954">
            <w:pPr>
              <w:spacing w:after="0" w:line="259" w:lineRule="auto"/>
              <w:ind w:left="0" w:firstLine="0"/>
              <w:jc w:val="left"/>
            </w:pPr>
            <w:r>
              <w:t xml:space="preserve">  </w:t>
            </w:r>
          </w:p>
          <w:p w:rsidR="00194575" w:rsidRDefault="00194575" w:rsidP="008D2954">
            <w:pPr>
              <w:spacing w:after="0" w:line="269" w:lineRule="auto"/>
              <w:ind w:left="0" w:right="173" w:firstLine="0"/>
            </w:pPr>
            <w:r>
              <w:t xml:space="preserve">      </w:t>
            </w:r>
          </w:p>
          <w:p w:rsidR="00194575" w:rsidRDefault="00194575" w:rsidP="008D2954">
            <w:pPr>
              <w:spacing w:after="230" w:line="259" w:lineRule="auto"/>
              <w:ind w:left="0" w:firstLine="0"/>
              <w:jc w:val="left"/>
            </w:pPr>
            <w:r>
              <w:t xml:space="preserve">  </w:t>
            </w:r>
          </w:p>
          <w:p w:rsidR="00194575" w:rsidRDefault="00194575" w:rsidP="008D2954">
            <w:pPr>
              <w:spacing w:after="0" w:line="259" w:lineRule="auto"/>
              <w:ind w:left="0" w:firstLine="0"/>
              <w:jc w:val="left"/>
            </w:pPr>
            <w:r>
              <w:t xml:space="preserve">  </w:t>
            </w:r>
          </w:p>
          <w:p w:rsidR="00194575" w:rsidRDefault="00194575" w:rsidP="008D2954">
            <w:pPr>
              <w:spacing w:after="0" w:line="259" w:lineRule="auto"/>
              <w:ind w:left="0" w:firstLine="0"/>
              <w:jc w:val="left"/>
            </w:pPr>
            <w:r>
              <w:t xml:space="preserve">  </w:t>
            </w:r>
          </w:p>
          <w:p w:rsidR="00194575" w:rsidRDefault="00194575" w:rsidP="008D2954">
            <w:pPr>
              <w:spacing w:after="0" w:line="259" w:lineRule="auto"/>
              <w:ind w:left="0" w:firstLine="0"/>
              <w:jc w:val="left"/>
            </w:pPr>
            <w:r>
              <w:t xml:space="preserve">  </w:t>
            </w:r>
          </w:p>
          <w:p w:rsidR="00194575" w:rsidRDefault="00194575" w:rsidP="008D2954">
            <w:pPr>
              <w:spacing w:after="0" w:line="259" w:lineRule="auto"/>
              <w:ind w:left="0" w:firstLine="0"/>
              <w:jc w:val="left"/>
            </w:pPr>
            <w:r>
              <w:t xml:space="preserve">  </w:t>
            </w:r>
          </w:p>
          <w:p w:rsidR="00194575" w:rsidRDefault="00194575" w:rsidP="008D2954">
            <w:pPr>
              <w:spacing w:after="0" w:line="259" w:lineRule="auto"/>
              <w:ind w:left="0" w:firstLine="0"/>
              <w:jc w:val="left"/>
            </w:pPr>
            <w:r>
              <w:t xml:space="preserve">  </w:t>
            </w:r>
          </w:p>
          <w:p w:rsidR="00194575" w:rsidRDefault="00194575" w:rsidP="008D2954">
            <w:pPr>
              <w:spacing w:after="0" w:line="259" w:lineRule="auto"/>
              <w:ind w:left="0" w:firstLine="0"/>
              <w:jc w:val="left"/>
            </w:pPr>
            <w:r>
              <w:t xml:space="preserve">  </w:t>
            </w:r>
          </w:p>
          <w:p w:rsidR="00194575" w:rsidRDefault="00194575" w:rsidP="008D2954">
            <w:pPr>
              <w:spacing w:after="0" w:line="269" w:lineRule="auto"/>
              <w:ind w:left="0" w:right="173" w:firstLine="0"/>
            </w:pPr>
            <w:r>
              <w:t xml:space="preserve">        </w:t>
            </w:r>
          </w:p>
          <w:p w:rsidR="00194575" w:rsidRDefault="00194575" w:rsidP="008D2954">
            <w:pPr>
              <w:spacing w:after="0" w:line="259" w:lineRule="auto"/>
              <w:ind w:left="0" w:firstLine="0"/>
              <w:jc w:val="left"/>
            </w:pPr>
            <w:r>
              <w:t xml:space="preserve">  </w:t>
            </w:r>
          </w:p>
          <w:p w:rsidR="00194575" w:rsidRDefault="00194575" w:rsidP="008D2954">
            <w:pPr>
              <w:spacing w:after="0" w:line="259" w:lineRule="auto"/>
              <w:ind w:left="0" w:right="173" w:firstLine="0"/>
            </w:pPr>
            <w:r>
              <w:t xml:space="preserve">    </w:t>
            </w:r>
          </w:p>
        </w:tc>
        <w:tc>
          <w:tcPr>
            <w:tcW w:w="288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64" w:firstLine="0"/>
              <w:jc w:val="center"/>
            </w:pPr>
            <w:r>
              <w:rPr>
                <w:b/>
              </w:rPr>
              <w:t xml:space="preserve">Nomenclature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41" w:lineRule="auto"/>
              <w:ind w:left="0" w:firstLine="0"/>
              <w:jc w:val="center"/>
            </w:pPr>
            <w:r>
              <w:rPr>
                <w:b/>
              </w:rPr>
              <w:t xml:space="preserve">Per hook per shift output </w:t>
            </w:r>
          </w:p>
          <w:p w:rsidR="00194575" w:rsidRDefault="00194575" w:rsidP="008D2954">
            <w:pPr>
              <w:spacing w:after="0" w:line="259" w:lineRule="auto"/>
              <w:ind w:left="101" w:firstLine="0"/>
              <w:jc w:val="left"/>
            </w:pPr>
            <w:r>
              <w:rPr>
                <w:b/>
              </w:rPr>
              <w:t xml:space="preserve">(in </w:t>
            </w:r>
            <w:proofErr w:type="spellStart"/>
            <w:r>
              <w:rPr>
                <w:b/>
              </w:rPr>
              <w:t>tonnes</w:t>
            </w:r>
            <w:proofErr w:type="spellEnd"/>
            <w:r>
              <w:rPr>
                <w:b/>
              </w:rPr>
              <w:t xml:space="preserve">)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9" w:firstLine="0"/>
              <w:jc w:val="center"/>
            </w:pPr>
            <w:r>
              <w:t xml:space="preserve">1.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Containers (boxes)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20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Containers (boxes)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22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9" w:firstLine="0"/>
              <w:jc w:val="center"/>
            </w:pPr>
            <w:r>
              <w:t xml:space="preserve">2.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Ferro Silicon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102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Ferro Silicon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262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9" w:firstLine="0"/>
              <w:jc w:val="center"/>
            </w:pPr>
            <w:r>
              <w:t xml:space="preserve">3.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General Cargo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82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General cargo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86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9" w:firstLine="0"/>
              <w:jc w:val="center"/>
            </w:pPr>
            <w:r>
              <w:t xml:space="preserve">4.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Iron &amp; Steel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180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Iron &amp; Steel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108 </w:t>
            </w:r>
          </w:p>
        </w:tc>
      </w:tr>
      <w:tr w:rsidR="00194575" w:rsidTr="008D2954">
        <w:trPr>
          <w:trHeight w:val="475"/>
        </w:trPr>
        <w:tc>
          <w:tcPr>
            <w:tcW w:w="6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19" w:firstLine="0"/>
              <w:jc w:val="center"/>
            </w:pPr>
            <w:r>
              <w:t xml:space="preserve">5.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Iron Ore &amp; Pellets (manual    loading)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22" w:firstLine="0"/>
              <w:jc w:val="center"/>
            </w:pPr>
            <w:r>
              <w:t xml:space="preserve">598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firstLine="0"/>
              <w:jc w:val="left"/>
            </w:pPr>
            <w:r>
              <w:t xml:space="preserve">Iron Ore (manual unloading) </w:t>
            </w:r>
          </w:p>
        </w:tc>
        <w:tc>
          <w:tcPr>
            <w:tcW w:w="126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18" w:firstLine="0"/>
              <w:jc w:val="center"/>
            </w:pPr>
            <w:r>
              <w:t xml:space="preserve">560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9" w:firstLine="0"/>
              <w:jc w:val="center"/>
            </w:pPr>
            <w:r>
              <w:t xml:space="preserve">6.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Maize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61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Maize (bulk)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234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9" w:firstLine="0"/>
              <w:jc w:val="center"/>
            </w:pPr>
            <w:r>
              <w:t xml:space="preserve">7.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Sugar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94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Sugar in bags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82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9" w:firstLine="0"/>
              <w:jc w:val="center"/>
            </w:pPr>
            <w:r>
              <w:t xml:space="preserve">8.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Wheat (bags)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91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Wheat (in bulk)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134 </w:t>
            </w:r>
          </w:p>
        </w:tc>
      </w:tr>
      <w:tr w:rsidR="00194575" w:rsidTr="008D2954">
        <w:trPr>
          <w:trHeight w:val="248"/>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9" w:firstLine="0"/>
              <w:jc w:val="center"/>
            </w:pPr>
            <w:r>
              <w:t xml:space="preserve">9.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Rice (bags)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81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Rice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62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10.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Rice (Bulk)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80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Rock Phosphate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281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11.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proofErr w:type="spellStart"/>
            <w:r>
              <w:t>Aluminium</w:t>
            </w:r>
            <w:proofErr w:type="spellEnd"/>
            <w:r>
              <w:t xml:space="preserve"> Billets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98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Ammonium Nitrate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347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12.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proofErr w:type="spellStart"/>
            <w:r>
              <w:t>Aluminium</w:t>
            </w:r>
            <w:proofErr w:type="spellEnd"/>
            <w:r>
              <w:t xml:space="preserve"> Ingots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110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Ammonium </w:t>
            </w:r>
            <w:proofErr w:type="spellStart"/>
            <w:r>
              <w:t>Sulphate</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210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13.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C.P. Coke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346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Bauxite Bags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233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14.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Cement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102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proofErr w:type="spellStart"/>
            <w:r>
              <w:t>Bentonite</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254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15.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Charge Chrome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404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proofErr w:type="spellStart"/>
            <w:r>
              <w:t>Bulgar</w:t>
            </w:r>
            <w:proofErr w:type="spellEnd"/>
            <w:r>
              <w:t xml:space="preserve"> wheat bags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62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16.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Chick Peas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219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Carbon Anodes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229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17.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Chrome Ore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188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Chrome Ore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206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18.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Coal tar (Bags)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192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Coal tar pitch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77 </w:t>
            </w:r>
          </w:p>
        </w:tc>
      </w:tr>
      <w:tr w:rsidR="00194575" w:rsidTr="008D2954">
        <w:trPr>
          <w:trHeight w:val="1406"/>
        </w:trPr>
        <w:tc>
          <w:tcPr>
            <w:tcW w:w="6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144" w:firstLine="0"/>
              <w:jc w:val="left"/>
            </w:pPr>
            <w:r>
              <w:t xml:space="preserve">19. </w:t>
            </w:r>
          </w:p>
        </w:tc>
        <w:tc>
          <w:tcPr>
            <w:tcW w:w="264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firstLine="0"/>
              <w:jc w:val="left"/>
            </w:pPr>
            <w:r>
              <w:t xml:space="preserve">Coffee (Bags)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22" w:firstLine="0"/>
              <w:jc w:val="center"/>
            </w:pPr>
            <w:r>
              <w:t xml:space="preserve">67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Coking Coal </w:t>
            </w:r>
          </w:p>
          <w:p w:rsidR="00194575" w:rsidRDefault="00194575" w:rsidP="00194575">
            <w:pPr>
              <w:numPr>
                <w:ilvl w:val="0"/>
                <w:numId w:val="1"/>
              </w:numPr>
              <w:spacing w:after="0" w:line="241" w:lineRule="auto"/>
              <w:ind w:firstLine="0"/>
              <w:jc w:val="left"/>
            </w:pPr>
            <w:r>
              <w:t xml:space="preserve">Discharged by vessels with </w:t>
            </w:r>
            <w:proofErr w:type="spellStart"/>
            <w:r>
              <w:t>self discharging</w:t>
            </w:r>
            <w:proofErr w:type="spellEnd"/>
            <w:r>
              <w:t xml:space="preserve"> gear </w:t>
            </w:r>
          </w:p>
          <w:p w:rsidR="00194575" w:rsidRDefault="00194575" w:rsidP="008D2954">
            <w:pPr>
              <w:spacing w:after="0" w:line="259" w:lineRule="auto"/>
              <w:ind w:left="0" w:firstLine="0"/>
              <w:jc w:val="left"/>
            </w:pPr>
            <w:r>
              <w:t xml:space="preserve"> </w:t>
            </w:r>
          </w:p>
          <w:p w:rsidR="00194575" w:rsidRDefault="00194575" w:rsidP="00194575">
            <w:pPr>
              <w:numPr>
                <w:ilvl w:val="0"/>
                <w:numId w:val="1"/>
              </w:numPr>
              <w:spacing w:after="0" w:line="259" w:lineRule="auto"/>
              <w:ind w:firstLine="0"/>
              <w:jc w:val="left"/>
            </w:pPr>
            <w:r>
              <w:t>All types of coal discharged by non-</w:t>
            </w:r>
            <w:proofErr w:type="spellStart"/>
            <w:r>
              <w:t>self discharging</w:t>
            </w:r>
            <w:proofErr w:type="spellEnd"/>
            <w:r>
              <w:t xml:space="preserve"> vessels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37" w:firstLine="0"/>
              <w:jc w:val="center"/>
            </w:pPr>
            <w:r>
              <w:t xml:space="preserve"> </w:t>
            </w:r>
          </w:p>
          <w:p w:rsidR="00194575" w:rsidRDefault="00194575" w:rsidP="008D2954">
            <w:pPr>
              <w:spacing w:after="0" w:line="259" w:lineRule="auto"/>
              <w:ind w:left="0" w:right="18" w:firstLine="0"/>
              <w:jc w:val="center"/>
            </w:pPr>
            <w:r>
              <w:t xml:space="preserve">622 </w:t>
            </w:r>
          </w:p>
          <w:p w:rsidR="00194575" w:rsidRDefault="00194575" w:rsidP="008D2954">
            <w:pPr>
              <w:spacing w:after="0" w:line="259" w:lineRule="auto"/>
              <w:ind w:left="37" w:firstLine="0"/>
              <w:jc w:val="center"/>
            </w:pPr>
            <w:r>
              <w:t xml:space="preserve"> </w:t>
            </w:r>
          </w:p>
          <w:p w:rsidR="00194575" w:rsidRDefault="00194575" w:rsidP="008D2954">
            <w:pPr>
              <w:spacing w:after="0" w:line="259" w:lineRule="auto"/>
              <w:ind w:left="37" w:firstLine="0"/>
              <w:jc w:val="center"/>
            </w:pPr>
            <w:r>
              <w:t xml:space="preserve"> </w:t>
            </w:r>
          </w:p>
          <w:p w:rsidR="00194575" w:rsidRDefault="00194575" w:rsidP="008D2954">
            <w:pPr>
              <w:spacing w:after="0" w:line="259" w:lineRule="auto"/>
              <w:ind w:left="0" w:right="18" w:firstLine="0"/>
              <w:jc w:val="center"/>
            </w:pPr>
            <w:r>
              <w:t xml:space="preserve">360 </w:t>
            </w:r>
          </w:p>
          <w:p w:rsidR="00194575" w:rsidRDefault="00194575" w:rsidP="008D2954">
            <w:pPr>
              <w:spacing w:after="0" w:line="259" w:lineRule="auto"/>
              <w:ind w:left="37" w:firstLine="0"/>
              <w:jc w:val="center"/>
            </w:pPr>
            <w:r>
              <w:t xml:space="preserve">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20.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Dry Yeast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62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CSB in bags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74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21.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Feldspar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317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DAP Bulk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262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22.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Fenugreek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99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DBM in bags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242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23.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Ferro Chrome (Bulk)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341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DBM in Bulk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220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24.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Ferro Chrome Bags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226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Dolomite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405 </w:t>
            </w:r>
          </w:p>
        </w:tc>
      </w:tr>
      <w:tr w:rsidR="00194575" w:rsidTr="008D2954">
        <w:trPr>
          <w:trHeight w:val="478"/>
        </w:trPr>
        <w:tc>
          <w:tcPr>
            <w:tcW w:w="6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144" w:firstLine="0"/>
              <w:jc w:val="left"/>
            </w:pPr>
            <w:r>
              <w:t xml:space="preserve">25. </w:t>
            </w:r>
          </w:p>
        </w:tc>
        <w:tc>
          <w:tcPr>
            <w:tcW w:w="264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firstLine="0"/>
              <w:jc w:val="left"/>
            </w:pPr>
            <w:r>
              <w:t xml:space="preserve">Ferro Manganese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22" w:firstLine="0"/>
              <w:jc w:val="center"/>
            </w:pPr>
            <w:r>
              <w:t xml:space="preserve">99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Coal / Coke (parcel of below 20000) </w:t>
            </w:r>
          </w:p>
        </w:tc>
        <w:tc>
          <w:tcPr>
            <w:tcW w:w="126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18" w:firstLine="0"/>
              <w:jc w:val="center"/>
            </w:pPr>
            <w:r>
              <w:t xml:space="preserve">234 </w:t>
            </w:r>
          </w:p>
        </w:tc>
      </w:tr>
      <w:tr w:rsidR="00194575" w:rsidTr="008D2954">
        <w:trPr>
          <w:trHeight w:val="476"/>
        </w:trPr>
        <w:tc>
          <w:tcPr>
            <w:tcW w:w="6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144" w:firstLine="0"/>
              <w:jc w:val="left"/>
            </w:pPr>
            <w:r>
              <w:t xml:space="preserve">26. </w:t>
            </w:r>
          </w:p>
        </w:tc>
        <w:tc>
          <w:tcPr>
            <w:tcW w:w="264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firstLine="0"/>
              <w:jc w:val="left"/>
            </w:pPr>
            <w:r>
              <w:t xml:space="preserve">Granite Blocks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22" w:firstLine="0"/>
              <w:jc w:val="center"/>
            </w:pPr>
            <w:r>
              <w:t xml:space="preserve">199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Coal / Coke (parcel of above 20000) </w:t>
            </w:r>
          </w:p>
        </w:tc>
        <w:tc>
          <w:tcPr>
            <w:tcW w:w="126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18" w:firstLine="0"/>
              <w:jc w:val="center"/>
            </w:pPr>
            <w:r>
              <w:t xml:space="preserve">361 </w:t>
            </w:r>
          </w:p>
        </w:tc>
      </w:tr>
      <w:tr w:rsidR="00194575" w:rsidTr="008D2954">
        <w:trPr>
          <w:trHeight w:val="24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27.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proofErr w:type="spellStart"/>
            <w:r>
              <w:t>Ilmenite</w:t>
            </w:r>
            <w:proofErr w:type="spellEnd"/>
            <w:r>
              <w:t xml:space="preserve"> Sand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333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Lime Stone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372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28.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proofErr w:type="spellStart"/>
            <w:r>
              <w:t>Kenaf</w:t>
            </w:r>
            <w:proofErr w:type="spellEnd"/>
            <w:r>
              <w:t xml:space="preserve">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40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Mono Ammonium Phosphate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210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29.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Manganese Ore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310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MOP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267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lastRenderedPageBreak/>
              <w:t xml:space="preserve">30.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Pet Coke (Bags)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83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Oil </w:t>
            </w:r>
            <w:proofErr w:type="spellStart"/>
            <w:r>
              <w:t>Pailes</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57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31.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Pig Iron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458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Paper bundle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212 </w:t>
            </w:r>
          </w:p>
        </w:tc>
      </w:tr>
      <w:tr w:rsidR="00194575" w:rsidTr="008D2954">
        <w:trPr>
          <w:trHeight w:val="259"/>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32.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proofErr w:type="spellStart"/>
            <w:r>
              <w:t>Quarzite</w:t>
            </w:r>
            <w:proofErr w:type="spellEnd"/>
            <w:r>
              <w:t xml:space="preserve">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117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Petroleum Coke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401 </w:t>
            </w:r>
          </w:p>
        </w:tc>
      </w:tr>
      <w:tr w:rsidR="00194575" w:rsidTr="008D2954">
        <w:trPr>
          <w:trHeight w:val="485"/>
        </w:trPr>
        <w:tc>
          <w:tcPr>
            <w:tcW w:w="6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144" w:firstLine="0"/>
              <w:jc w:val="left"/>
            </w:pPr>
            <w:r>
              <w:t xml:space="preserve">33.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Silicon Manganese Ore (Bags)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22" w:firstLine="0"/>
              <w:jc w:val="center"/>
            </w:pPr>
            <w:r>
              <w:t xml:space="preserve">200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firstLine="0"/>
              <w:jc w:val="left"/>
            </w:pPr>
            <w:r>
              <w:t xml:space="preserve">Steam coal </w:t>
            </w:r>
          </w:p>
        </w:tc>
        <w:tc>
          <w:tcPr>
            <w:tcW w:w="126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18" w:firstLine="0"/>
              <w:jc w:val="center"/>
            </w:pPr>
            <w:r>
              <w:t xml:space="preserve">578 </w:t>
            </w:r>
          </w:p>
        </w:tc>
      </w:tr>
      <w:tr w:rsidR="00194575" w:rsidTr="008D2954">
        <w:trPr>
          <w:trHeight w:val="487"/>
        </w:trPr>
        <w:tc>
          <w:tcPr>
            <w:tcW w:w="60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144" w:firstLine="0"/>
              <w:jc w:val="left"/>
            </w:pPr>
            <w:r>
              <w:t xml:space="preserve">34.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Silicon Manganese Ore (Bulk) </w:t>
            </w:r>
          </w:p>
        </w:tc>
        <w:tc>
          <w:tcPr>
            <w:tcW w:w="168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22" w:firstLine="0"/>
              <w:jc w:val="center"/>
            </w:pPr>
            <w:r>
              <w:t xml:space="preserve">538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firstLine="0"/>
              <w:jc w:val="left"/>
            </w:pPr>
            <w:r>
              <w:t xml:space="preserve">Wood pulp </w:t>
            </w:r>
          </w:p>
        </w:tc>
        <w:tc>
          <w:tcPr>
            <w:tcW w:w="1260" w:type="dxa"/>
            <w:tcBorders>
              <w:top w:val="single" w:sz="4" w:space="0" w:color="000000"/>
              <w:left w:val="single" w:sz="4" w:space="0" w:color="000000"/>
              <w:bottom w:val="single" w:sz="4" w:space="0" w:color="000000"/>
              <w:right w:val="single" w:sz="4" w:space="0" w:color="000000"/>
            </w:tcBorders>
            <w:vAlign w:val="center"/>
          </w:tcPr>
          <w:p w:rsidR="00194575" w:rsidRDefault="00194575" w:rsidP="008D2954">
            <w:pPr>
              <w:spacing w:after="0" w:line="259" w:lineRule="auto"/>
              <w:ind w:left="0" w:right="18" w:firstLine="0"/>
              <w:jc w:val="center"/>
            </w:pPr>
            <w:r>
              <w:t xml:space="preserve">236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35.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Soya extracts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172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proofErr w:type="spellStart"/>
            <w:r>
              <w:t>Sulphur</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278 </w:t>
            </w:r>
          </w:p>
        </w:tc>
      </w:tr>
      <w:tr w:rsidR="00194575" w:rsidTr="008D2954">
        <w:trPr>
          <w:trHeight w:val="259"/>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36.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Thermal Coal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665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Timber logs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114 </w:t>
            </w:r>
          </w:p>
        </w:tc>
      </w:tr>
      <w:tr w:rsidR="00194575" w:rsidTr="008D2954">
        <w:trPr>
          <w:trHeight w:val="257"/>
        </w:trPr>
        <w:tc>
          <w:tcPr>
            <w:tcW w:w="60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144" w:firstLine="0"/>
              <w:jc w:val="left"/>
            </w:pPr>
            <w:r>
              <w:t xml:space="preserve">37. </w:t>
            </w:r>
          </w:p>
        </w:tc>
        <w:tc>
          <w:tcPr>
            <w:tcW w:w="264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Vegetables </w:t>
            </w:r>
          </w:p>
        </w:tc>
        <w:tc>
          <w:tcPr>
            <w:tcW w:w="16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22" w:firstLine="0"/>
              <w:jc w:val="center"/>
            </w:pPr>
            <w:r>
              <w:t xml:space="preserve">53 </w:t>
            </w:r>
          </w:p>
        </w:tc>
        <w:tc>
          <w:tcPr>
            <w:tcW w:w="0" w:type="auto"/>
            <w:vMerge/>
            <w:tcBorders>
              <w:top w:val="nil"/>
              <w:left w:val="single" w:sz="4" w:space="0" w:color="000000"/>
              <w:bottom w:val="nil"/>
              <w:right w:val="single" w:sz="4" w:space="0" w:color="000000"/>
            </w:tcBorders>
          </w:tcPr>
          <w:p w:rsidR="00194575" w:rsidRDefault="00194575" w:rsidP="008D2954">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Urea </w:t>
            </w:r>
          </w:p>
        </w:tc>
        <w:tc>
          <w:tcPr>
            <w:tcW w:w="12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8" w:firstLine="0"/>
              <w:jc w:val="center"/>
            </w:pPr>
            <w:r>
              <w:t xml:space="preserve">283 </w:t>
            </w:r>
          </w:p>
        </w:tc>
      </w:tr>
    </w:tbl>
    <w:p w:rsidR="00194575" w:rsidRDefault="00194575" w:rsidP="00194575">
      <w:pPr>
        <w:spacing w:after="0" w:line="259" w:lineRule="auto"/>
        <w:ind w:left="0" w:firstLine="0"/>
        <w:jc w:val="left"/>
      </w:pPr>
      <w:r>
        <w:rPr>
          <w:b/>
        </w:rPr>
        <w:t xml:space="preserve"> </w:t>
      </w:r>
    </w:p>
    <w:p w:rsidR="00194575" w:rsidRDefault="00194575" w:rsidP="00194575">
      <w:pPr>
        <w:spacing w:after="3" w:line="259" w:lineRule="auto"/>
        <w:ind w:left="-5" w:hanging="10"/>
        <w:jc w:val="left"/>
      </w:pPr>
      <w:r>
        <w:rPr>
          <w:b/>
        </w:rPr>
        <w:t xml:space="preserve">Notes: </w:t>
      </w:r>
    </w:p>
    <w:p w:rsidR="00194575" w:rsidRDefault="00194575" w:rsidP="00194575">
      <w:pPr>
        <w:spacing w:after="0" w:line="259" w:lineRule="auto"/>
        <w:ind w:left="0" w:firstLine="0"/>
        <w:jc w:val="left"/>
      </w:pPr>
      <w:r>
        <w:t xml:space="preserve"> </w:t>
      </w:r>
    </w:p>
    <w:p w:rsidR="00194575" w:rsidRDefault="00194575" w:rsidP="00194575">
      <w:pPr>
        <w:ind w:left="715"/>
      </w:pPr>
      <w:r>
        <w:t xml:space="preserve">(1). </w:t>
      </w:r>
      <w:r>
        <w:tab/>
      </w:r>
      <w:proofErr w:type="gramStart"/>
      <w:r>
        <w:t>The</w:t>
      </w:r>
      <w:proofErr w:type="gramEnd"/>
      <w:r>
        <w:t xml:space="preserve"> total number of hooks worked shall be reckoned to compute the per hook per shift productivity. </w:t>
      </w:r>
    </w:p>
    <w:p w:rsidR="00194575" w:rsidRDefault="00194575" w:rsidP="00194575">
      <w:pPr>
        <w:spacing w:after="0" w:line="259" w:lineRule="auto"/>
        <w:ind w:left="0" w:firstLine="0"/>
        <w:jc w:val="left"/>
      </w:pPr>
      <w:r>
        <w:t xml:space="preserve"> </w:t>
      </w:r>
    </w:p>
    <w:p w:rsidR="00194575" w:rsidRDefault="00194575" w:rsidP="00194575">
      <w:pPr>
        <w:ind w:left="715"/>
      </w:pPr>
      <w:r>
        <w:t xml:space="preserve">(2).  </w:t>
      </w:r>
      <w:r>
        <w:tab/>
      </w:r>
      <w:proofErr w:type="gramStart"/>
      <w:r>
        <w:t>The</w:t>
      </w:r>
      <w:proofErr w:type="gramEnd"/>
      <w:r>
        <w:t xml:space="preserve"> following two cases shall be deemed as non-performance / poor performance of the vessel: </w:t>
      </w:r>
    </w:p>
    <w:p w:rsidR="00194575" w:rsidRDefault="00194575" w:rsidP="00194575">
      <w:pPr>
        <w:spacing w:after="0" w:line="259" w:lineRule="auto"/>
        <w:ind w:left="0" w:firstLine="0"/>
        <w:jc w:val="left"/>
      </w:pPr>
      <w:r>
        <w:t xml:space="preserve"> </w:t>
      </w:r>
    </w:p>
    <w:p w:rsidR="00194575" w:rsidRDefault="00194575" w:rsidP="00194575">
      <w:pPr>
        <w:ind w:left="1450"/>
      </w:pPr>
      <w:r>
        <w:t xml:space="preserve">(a). If a vessel works with less number of hooks for reasons such as lack of / insufficient cargo, improper stowage, failure of ship’s gear and lack of clearance arrangements; </w:t>
      </w:r>
    </w:p>
    <w:p w:rsidR="00194575" w:rsidRDefault="00194575" w:rsidP="00194575">
      <w:pPr>
        <w:spacing w:after="0" w:line="259" w:lineRule="auto"/>
        <w:ind w:left="0" w:firstLine="0"/>
        <w:jc w:val="left"/>
      </w:pPr>
      <w:r>
        <w:t xml:space="preserve"> </w:t>
      </w:r>
    </w:p>
    <w:p w:rsidR="00194575" w:rsidRDefault="00194575" w:rsidP="00194575">
      <w:pPr>
        <w:ind w:left="1450"/>
      </w:pPr>
      <w:r>
        <w:t xml:space="preserve">(b). If the actual hook output in the shifts following the shift in which the vessel is berthed does not conform to the norms prescribed for that commodity. </w:t>
      </w:r>
    </w:p>
    <w:p w:rsidR="00194575" w:rsidRDefault="00194575" w:rsidP="00194575">
      <w:pPr>
        <w:spacing w:after="0" w:line="259" w:lineRule="auto"/>
        <w:ind w:left="54" w:firstLine="0"/>
        <w:jc w:val="center"/>
      </w:pPr>
    </w:p>
    <w:p w:rsidR="00194575" w:rsidRDefault="00194575" w:rsidP="00194575">
      <w:pPr>
        <w:spacing w:after="0" w:line="259" w:lineRule="auto"/>
        <w:ind w:left="54" w:firstLine="0"/>
        <w:jc w:val="center"/>
      </w:pPr>
    </w:p>
    <w:p w:rsidR="00194575" w:rsidRDefault="00194575" w:rsidP="00194575">
      <w:pPr>
        <w:spacing w:after="0" w:line="259" w:lineRule="auto"/>
        <w:ind w:left="54" w:firstLine="0"/>
        <w:jc w:val="center"/>
      </w:pPr>
      <w:r>
        <w:t xml:space="preserve"> </w:t>
      </w:r>
    </w:p>
    <w:p w:rsidR="00194575" w:rsidRDefault="00194575" w:rsidP="00194575">
      <w:pPr>
        <w:tabs>
          <w:tab w:val="center" w:pos="3131"/>
        </w:tabs>
        <w:spacing w:after="3" w:line="259" w:lineRule="auto"/>
        <w:ind w:left="-15" w:firstLine="0"/>
        <w:jc w:val="left"/>
      </w:pPr>
      <w:r>
        <w:rPr>
          <w:b/>
        </w:rPr>
        <w:t xml:space="preserve">2.2. </w:t>
      </w:r>
      <w:r>
        <w:rPr>
          <w:b/>
        </w:rPr>
        <w:tab/>
        <w:t>CHARGES FOR SUPPLY OF WATER TO VESSELS</w:t>
      </w:r>
      <w:r>
        <w:t xml:space="preserve">: </w:t>
      </w:r>
    </w:p>
    <w:p w:rsidR="00194575" w:rsidRDefault="00194575" w:rsidP="00194575">
      <w:pPr>
        <w:spacing w:after="0" w:line="259" w:lineRule="auto"/>
        <w:ind w:left="0" w:firstLine="0"/>
        <w:jc w:val="left"/>
      </w:pPr>
      <w:r>
        <w:t xml:space="preserve"> </w:t>
      </w:r>
    </w:p>
    <w:tbl>
      <w:tblPr>
        <w:tblStyle w:val="TableGrid"/>
        <w:tblW w:w="9470" w:type="dxa"/>
        <w:tblInd w:w="-108" w:type="dxa"/>
        <w:tblCellMar>
          <w:top w:w="7" w:type="dxa"/>
          <w:left w:w="108" w:type="dxa"/>
          <w:bottom w:w="0" w:type="dxa"/>
          <w:right w:w="53" w:type="dxa"/>
        </w:tblCellMar>
        <w:tblLook w:val="04A0" w:firstRow="1" w:lastRow="0" w:firstColumn="1" w:lastColumn="0" w:noHBand="0" w:noVBand="1"/>
      </w:tblPr>
      <w:tblGrid>
        <w:gridCol w:w="708"/>
        <w:gridCol w:w="3001"/>
        <w:gridCol w:w="1560"/>
        <w:gridCol w:w="2221"/>
        <w:gridCol w:w="1980"/>
      </w:tblGrid>
      <w:tr w:rsidR="00194575" w:rsidTr="008D2954">
        <w:trPr>
          <w:trHeight w:val="586"/>
        </w:trPr>
        <w:tc>
          <w:tcPr>
            <w:tcW w:w="70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center"/>
            </w:pPr>
            <w:r>
              <w:rPr>
                <w:b/>
              </w:rPr>
              <w:t xml:space="preserve">Item No. </w:t>
            </w:r>
          </w:p>
        </w:tc>
        <w:tc>
          <w:tcPr>
            <w:tcW w:w="300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57" w:firstLine="0"/>
              <w:jc w:val="center"/>
            </w:pPr>
            <w:r>
              <w:rPr>
                <w:b/>
              </w:rPr>
              <w:t xml:space="preserve">Description </w:t>
            </w:r>
          </w:p>
        </w:tc>
        <w:tc>
          <w:tcPr>
            <w:tcW w:w="15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56" w:firstLine="0"/>
              <w:jc w:val="center"/>
            </w:pPr>
            <w:r>
              <w:rPr>
                <w:b/>
              </w:rPr>
              <w:t xml:space="preserve">Unit </w:t>
            </w:r>
          </w:p>
        </w:tc>
        <w:tc>
          <w:tcPr>
            <w:tcW w:w="222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24" w:right="27" w:firstLine="0"/>
              <w:jc w:val="center"/>
            </w:pPr>
            <w:r>
              <w:rPr>
                <w:b/>
              </w:rPr>
              <w:t xml:space="preserve">Foreign-going vessel (in US $) </w:t>
            </w:r>
          </w:p>
        </w:tc>
        <w:tc>
          <w:tcPr>
            <w:tcW w:w="19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67" w:line="259" w:lineRule="auto"/>
              <w:ind w:left="38" w:firstLine="0"/>
              <w:jc w:val="left"/>
            </w:pPr>
            <w:r>
              <w:rPr>
                <w:b/>
              </w:rPr>
              <w:t xml:space="preserve">Coastal vessel (in </w:t>
            </w:r>
          </w:p>
          <w:p w:rsidR="00194575" w:rsidRDefault="00194575" w:rsidP="008D2954">
            <w:pPr>
              <w:spacing w:after="0" w:line="259" w:lineRule="auto"/>
              <w:ind w:left="0" w:right="54" w:firstLine="0"/>
              <w:jc w:val="center"/>
            </w:pPr>
            <w:r>
              <w:rPr>
                <w:rFonts w:ascii="Malgun Gothic" w:eastAsia="Malgun Gothic" w:hAnsi="Malgun Gothic" w:cs="Malgun Gothic"/>
                <w:b/>
              </w:rPr>
              <w:t>`</w:t>
            </w:r>
            <w:r>
              <w:rPr>
                <w:b/>
              </w:rPr>
              <w:t xml:space="preserve">) </w:t>
            </w:r>
          </w:p>
        </w:tc>
      </w:tr>
      <w:tr w:rsidR="00194575" w:rsidTr="008D2954">
        <w:trPr>
          <w:trHeight w:val="931"/>
        </w:trPr>
        <w:tc>
          <w:tcPr>
            <w:tcW w:w="70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60" w:firstLine="0"/>
              <w:jc w:val="center"/>
            </w:pPr>
            <w:r>
              <w:t xml:space="preserve">1. </w:t>
            </w:r>
          </w:p>
        </w:tc>
        <w:tc>
          <w:tcPr>
            <w:tcW w:w="300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t xml:space="preserve">Supply of fresh water to vessels at Shore. </w:t>
            </w:r>
          </w:p>
        </w:tc>
        <w:tc>
          <w:tcPr>
            <w:tcW w:w="15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t xml:space="preserve">Per 1000 </w:t>
            </w:r>
            <w:proofErr w:type="spellStart"/>
            <w:r>
              <w:t>Ltrs</w:t>
            </w:r>
            <w:proofErr w:type="spellEnd"/>
            <w:r>
              <w:t xml:space="preserve">. or part thereof </w:t>
            </w:r>
          </w:p>
        </w:tc>
        <w:tc>
          <w:tcPr>
            <w:tcW w:w="222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41" w:lineRule="auto"/>
              <w:ind w:left="0" w:firstLine="0"/>
            </w:pPr>
            <w:r>
              <w:t xml:space="preserve">3.241 subject to a minimum charge of $ </w:t>
            </w:r>
          </w:p>
          <w:p w:rsidR="00194575" w:rsidRDefault="00194575" w:rsidP="008D2954">
            <w:pPr>
              <w:spacing w:after="0" w:line="259" w:lineRule="auto"/>
              <w:ind w:left="0" w:firstLine="0"/>
              <w:jc w:val="left"/>
            </w:pPr>
            <w:r>
              <w:t xml:space="preserve">16.205 </w:t>
            </w:r>
          </w:p>
        </w:tc>
        <w:tc>
          <w:tcPr>
            <w:tcW w:w="19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21" w:line="296" w:lineRule="auto"/>
              <w:ind w:left="0" w:firstLine="0"/>
            </w:pPr>
            <w:r>
              <w:rPr>
                <w:rFonts w:ascii="Malgun Gothic" w:eastAsia="Malgun Gothic" w:hAnsi="Malgun Gothic" w:cs="Malgun Gothic"/>
              </w:rPr>
              <w:t>`</w:t>
            </w:r>
            <w:r>
              <w:t xml:space="preserve">84.65 subject to a minimum charge of </w:t>
            </w:r>
          </w:p>
          <w:p w:rsidR="00194575" w:rsidRDefault="00194575" w:rsidP="008D2954">
            <w:pPr>
              <w:spacing w:after="0" w:line="259" w:lineRule="auto"/>
              <w:ind w:left="0" w:firstLine="0"/>
              <w:jc w:val="left"/>
            </w:pPr>
            <w:r>
              <w:rPr>
                <w:rFonts w:ascii="Malgun Gothic" w:eastAsia="Malgun Gothic" w:hAnsi="Malgun Gothic" w:cs="Malgun Gothic"/>
              </w:rPr>
              <w:t>`</w:t>
            </w:r>
            <w:r>
              <w:t xml:space="preserve">423.25 </w:t>
            </w:r>
          </w:p>
        </w:tc>
      </w:tr>
      <w:tr w:rsidR="00194575" w:rsidTr="008D2954">
        <w:trPr>
          <w:trHeight w:val="586"/>
        </w:trPr>
        <w:tc>
          <w:tcPr>
            <w:tcW w:w="70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60" w:firstLine="0"/>
              <w:jc w:val="center"/>
            </w:pPr>
            <w:r>
              <w:t xml:space="preserve">2. </w:t>
            </w:r>
          </w:p>
        </w:tc>
        <w:tc>
          <w:tcPr>
            <w:tcW w:w="300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t xml:space="preserve">Supply of fresh water to vessels by Boat at Quay Walls, </w:t>
            </w:r>
          </w:p>
        </w:tc>
        <w:tc>
          <w:tcPr>
            <w:tcW w:w="15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t xml:space="preserve">Per 1000 </w:t>
            </w:r>
            <w:proofErr w:type="spellStart"/>
            <w:r>
              <w:t>Ltrs</w:t>
            </w:r>
            <w:proofErr w:type="spellEnd"/>
            <w:r>
              <w:t xml:space="preserve">. or part thereof </w:t>
            </w:r>
          </w:p>
        </w:tc>
        <w:tc>
          <w:tcPr>
            <w:tcW w:w="222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t xml:space="preserve">4.182 subject to a minimum charge of $ </w:t>
            </w:r>
          </w:p>
        </w:tc>
        <w:tc>
          <w:tcPr>
            <w:tcW w:w="19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pPr>
            <w:r>
              <w:rPr>
                <w:rFonts w:ascii="Malgun Gothic" w:eastAsia="Malgun Gothic" w:hAnsi="Malgun Gothic" w:cs="Malgun Gothic"/>
              </w:rPr>
              <w:t>`</w:t>
            </w:r>
            <w:r>
              <w:t xml:space="preserve">109.20 subject to a minimum charge of </w:t>
            </w:r>
          </w:p>
        </w:tc>
      </w:tr>
      <w:tr w:rsidR="00194575" w:rsidTr="008D2954">
        <w:trPr>
          <w:trHeight w:val="586"/>
        </w:trPr>
        <w:tc>
          <w:tcPr>
            <w:tcW w:w="70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center"/>
            </w:pPr>
            <w:r>
              <w:rPr>
                <w:b/>
              </w:rPr>
              <w:t xml:space="preserve">Item No. </w:t>
            </w:r>
          </w:p>
        </w:tc>
        <w:tc>
          <w:tcPr>
            <w:tcW w:w="300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7" w:firstLine="0"/>
              <w:jc w:val="center"/>
            </w:pPr>
            <w:r>
              <w:rPr>
                <w:b/>
              </w:rPr>
              <w:t xml:space="preserve">Description </w:t>
            </w:r>
          </w:p>
        </w:tc>
        <w:tc>
          <w:tcPr>
            <w:tcW w:w="15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right="16" w:firstLine="0"/>
              <w:jc w:val="center"/>
            </w:pPr>
            <w:r>
              <w:rPr>
                <w:b/>
              </w:rPr>
              <w:t xml:space="preserve">Unit </w:t>
            </w:r>
          </w:p>
        </w:tc>
        <w:tc>
          <w:tcPr>
            <w:tcW w:w="222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24" w:firstLine="0"/>
              <w:jc w:val="center"/>
            </w:pPr>
            <w:r>
              <w:rPr>
                <w:b/>
              </w:rPr>
              <w:t xml:space="preserve">Foreign-going vessel (in US $) </w:t>
            </w:r>
          </w:p>
        </w:tc>
        <w:tc>
          <w:tcPr>
            <w:tcW w:w="19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68" w:line="259" w:lineRule="auto"/>
              <w:ind w:left="38" w:firstLine="0"/>
              <w:jc w:val="left"/>
            </w:pPr>
            <w:r>
              <w:rPr>
                <w:b/>
              </w:rPr>
              <w:t xml:space="preserve">Coastal vessel (in </w:t>
            </w:r>
          </w:p>
          <w:p w:rsidR="00194575" w:rsidRDefault="00194575" w:rsidP="008D2954">
            <w:pPr>
              <w:spacing w:after="0" w:line="259" w:lineRule="auto"/>
              <w:ind w:left="0" w:right="14" w:firstLine="0"/>
              <w:jc w:val="center"/>
            </w:pPr>
            <w:r>
              <w:rPr>
                <w:rFonts w:ascii="Malgun Gothic" w:eastAsia="Malgun Gothic" w:hAnsi="Malgun Gothic" w:cs="Malgun Gothic"/>
                <w:b/>
              </w:rPr>
              <w:t>`</w:t>
            </w:r>
            <w:r>
              <w:rPr>
                <w:b/>
              </w:rPr>
              <w:t xml:space="preserve">) </w:t>
            </w:r>
          </w:p>
        </w:tc>
      </w:tr>
      <w:tr w:rsidR="00194575" w:rsidTr="008D2954">
        <w:trPr>
          <w:trHeight w:val="358"/>
        </w:trPr>
        <w:tc>
          <w:tcPr>
            <w:tcW w:w="708"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160" w:line="259" w:lineRule="auto"/>
              <w:ind w:left="0" w:firstLine="0"/>
              <w:jc w:val="left"/>
            </w:pPr>
          </w:p>
        </w:tc>
        <w:tc>
          <w:tcPr>
            <w:tcW w:w="300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Jetties and Moorings. </w:t>
            </w:r>
          </w:p>
        </w:tc>
        <w:tc>
          <w:tcPr>
            <w:tcW w:w="156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160" w:line="259" w:lineRule="auto"/>
              <w:ind w:left="0" w:firstLine="0"/>
              <w:jc w:val="left"/>
            </w:pPr>
          </w:p>
        </w:tc>
        <w:tc>
          <w:tcPr>
            <w:tcW w:w="2221"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t xml:space="preserve">20.912 </w:t>
            </w:r>
          </w:p>
        </w:tc>
        <w:tc>
          <w:tcPr>
            <w:tcW w:w="1980" w:type="dxa"/>
            <w:tcBorders>
              <w:top w:val="single" w:sz="4" w:space="0" w:color="000000"/>
              <w:left w:val="single" w:sz="4" w:space="0" w:color="000000"/>
              <w:bottom w:val="single" w:sz="4" w:space="0" w:color="000000"/>
              <w:right w:val="single" w:sz="4" w:space="0" w:color="000000"/>
            </w:tcBorders>
          </w:tcPr>
          <w:p w:rsidR="00194575" w:rsidRDefault="00194575" w:rsidP="008D2954">
            <w:pPr>
              <w:spacing w:after="0" w:line="259" w:lineRule="auto"/>
              <w:ind w:left="0" w:firstLine="0"/>
              <w:jc w:val="left"/>
            </w:pPr>
            <w:r>
              <w:rPr>
                <w:rFonts w:ascii="Malgun Gothic" w:eastAsia="Malgun Gothic" w:hAnsi="Malgun Gothic" w:cs="Malgun Gothic"/>
              </w:rPr>
              <w:t>`</w:t>
            </w:r>
            <w:r>
              <w:t xml:space="preserve">546.00 </w:t>
            </w:r>
          </w:p>
        </w:tc>
      </w:tr>
    </w:tbl>
    <w:p w:rsidR="00194575" w:rsidRDefault="00194575" w:rsidP="00194575">
      <w:pPr>
        <w:spacing w:after="0" w:line="259" w:lineRule="auto"/>
        <w:ind w:left="0" w:firstLine="0"/>
        <w:jc w:val="left"/>
        <w:rPr>
          <w:b/>
        </w:rPr>
      </w:pPr>
      <w:r>
        <w:rPr>
          <w:b/>
        </w:rPr>
        <w:t xml:space="preserve"> </w:t>
      </w:r>
    </w:p>
    <w:p w:rsidR="00194575" w:rsidRDefault="00194575" w:rsidP="00194575">
      <w:pPr>
        <w:spacing w:after="0" w:line="259" w:lineRule="auto"/>
        <w:ind w:left="0" w:firstLine="0"/>
        <w:jc w:val="left"/>
        <w:rPr>
          <w:b/>
        </w:rPr>
      </w:pPr>
    </w:p>
    <w:p w:rsidR="00194575" w:rsidRDefault="00194575" w:rsidP="00194575">
      <w:pPr>
        <w:spacing w:after="0" w:line="259" w:lineRule="auto"/>
        <w:ind w:left="0" w:firstLine="0"/>
        <w:jc w:val="left"/>
        <w:rPr>
          <w:b/>
        </w:rPr>
      </w:pPr>
    </w:p>
    <w:p w:rsidR="00194575" w:rsidRDefault="00194575" w:rsidP="00194575">
      <w:pPr>
        <w:spacing w:after="0" w:line="259" w:lineRule="auto"/>
        <w:ind w:left="0" w:firstLine="0"/>
        <w:jc w:val="left"/>
        <w:rPr>
          <w:b/>
        </w:rPr>
      </w:pPr>
    </w:p>
    <w:p w:rsidR="00194575" w:rsidRDefault="00194575" w:rsidP="00194575">
      <w:pPr>
        <w:spacing w:after="0" w:line="259" w:lineRule="auto"/>
        <w:ind w:left="0" w:firstLine="0"/>
        <w:jc w:val="left"/>
        <w:rPr>
          <w:b/>
        </w:rPr>
      </w:pPr>
    </w:p>
    <w:p w:rsidR="00194575" w:rsidRDefault="00194575" w:rsidP="00194575">
      <w:pPr>
        <w:spacing w:after="0" w:line="259" w:lineRule="auto"/>
        <w:ind w:left="0" w:firstLine="0"/>
        <w:jc w:val="left"/>
      </w:pPr>
    </w:p>
    <w:p w:rsidR="00194575" w:rsidRDefault="00194575" w:rsidP="00194575">
      <w:pPr>
        <w:spacing w:after="0" w:line="259" w:lineRule="auto"/>
        <w:ind w:left="0" w:firstLine="0"/>
        <w:jc w:val="left"/>
      </w:pPr>
    </w:p>
    <w:p w:rsidR="002D47A2" w:rsidRDefault="002D47A2" w:rsidP="00194575">
      <w:pPr>
        <w:ind w:left="0" w:firstLine="0"/>
      </w:pPr>
      <w:bookmarkStart w:id="0" w:name="_GoBack"/>
      <w:bookmarkEnd w:id="0"/>
    </w:p>
    <w:sectPr w:rsidR="002D4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0F5" w:rsidRDefault="009070F5" w:rsidP="00194575">
      <w:pPr>
        <w:spacing w:after="0" w:line="240" w:lineRule="auto"/>
      </w:pPr>
      <w:r>
        <w:separator/>
      </w:r>
    </w:p>
  </w:endnote>
  <w:endnote w:type="continuationSeparator" w:id="0">
    <w:p w:rsidR="009070F5" w:rsidRDefault="009070F5" w:rsidP="0019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0F5" w:rsidRDefault="009070F5" w:rsidP="00194575">
      <w:pPr>
        <w:spacing w:after="0" w:line="240" w:lineRule="auto"/>
      </w:pPr>
      <w:r>
        <w:separator/>
      </w:r>
    </w:p>
  </w:footnote>
  <w:footnote w:type="continuationSeparator" w:id="0">
    <w:p w:rsidR="009070F5" w:rsidRDefault="009070F5" w:rsidP="00194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E0225"/>
    <w:multiLevelType w:val="hybridMultilevel"/>
    <w:tmpl w:val="EE9C895E"/>
    <w:lvl w:ilvl="0" w:tplc="841EFB22">
      <w:start w:val="1"/>
      <w:numFmt w:val="lowerLetter"/>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F8A9A2">
      <w:start w:val="1"/>
      <w:numFmt w:val="lowerLetter"/>
      <w:lvlText w:val="%2"/>
      <w:lvlJc w:val="left"/>
      <w:pPr>
        <w:ind w:left="1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66D5EC">
      <w:start w:val="1"/>
      <w:numFmt w:val="lowerRoman"/>
      <w:lvlText w:val="%3"/>
      <w:lvlJc w:val="left"/>
      <w:pPr>
        <w:ind w:left="1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A49ED6">
      <w:start w:val="1"/>
      <w:numFmt w:val="decimal"/>
      <w:lvlText w:val="%4"/>
      <w:lvlJc w:val="left"/>
      <w:pPr>
        <w:ind w:left="2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54DA7A">
      <w:start w:val="1"/>
      <w:numFmt w:val="lowerLetter"/>
      <w:lvlText w:val="%5"/>
      <w:lvlJc w:val="left"/>
      <w:pPr>
        <w:ind w:left="3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A42F5A">
      <w:start w:val="1"/>
      <w:numFmt w:val="lowerRoman"/>
      <w:lvlText w:val="%6"/>
      <w:lvlJc w:val="left"/>
      <w:pPr>
        <w:ind w:left="3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F06AA8">
      <w:start w:val="1"/>
      <w:numFmt w:val="decimal"/>
      <w:lvlText w:val="%7"/>
      <w:lvlJc w:val="left"/>
      <w:pPr>
        <w:ind w:left="46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6EEBD6">
      <w:start w:val="1"/>
      <w:numFmt w:val="lowerLetter"/>
      <w:lvlText w:val="%8"/>
      <w:lvlJc w:val="left"/>
      <w:pPr>
        <w:ind w:left="54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7AD01A">
      <w:start w:val="1"/>
      <w:numFmt w:val="lowerRoman"/>
      <w:lvlText w:val="%9"/>
      <w:lvlJc w:val="left"/>
      <w:pPr>
        <w:ind w:left="6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75"/>
    <w:rsid w:val="00194575"/>
    <w:rsid w:val="002D47A2"/>
    <w:rsid w:val="0090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575"/>
    <w:pPr>
      <w:spacing w:after="4" w:line="249" w:lineRule="auto"/>
      <w:ind w:left="730" w:hanging="730"/>
      <w:jc w:val="both"/>
    </w:pPr>
    <w:rPr>
      <w:rFonts w:ascii="Arial" w:eastAsia="Arial" w:hAnsi="Arial" w:cs="Arial"/>
      <w:color w:val="000000"/>
      <w:sz w:val="20"/>
      <w:lang w:bidi="en-US"/>
    </w:rPr>
  </w:style>
  <w:style w:type="paragraph" w:styleId="Heading1">
    <w:name w:val="heading 1"/>
    <w:next w:val="Normal"/>
    <w:link w:val="Heading1Char"/>
    <w:uiPriority w:val="9"/>
    <w:unhideWhenUsed/>
    <w:qFormat/>
    <w:rsid w:val="00194575"/>
    <w:pPr>
      <w:keepNext/>
      <w:keepLines/>
      <w:spacing w:after="0" w:line="259" w:lineRule="auto"/>
      <w:ind w:left="10" w:right="4"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75"/>
    <w:rPr>
      <w:rFonts w:ascii="Arial" w:eastAsia="Arial" w:hAnsi="Arial" w:cs="Arial"/>
      <w:b/>
      <w:color w:val="000000"/>
      <w:sz w:val="20"/>
    </w:rPr>
  </w:style>
  <w:style w:type="table" w:customStyle="1" w:styleId="TableGrid">
    <w:name w:val="TableGrid"/>
    <w:rsid w:val="00194575"/>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194575"/>
    <w:pPr>
      <w:spacing w:after="0" w:line="240" w:lineRule="auto"/>
      <w:ind w:left="730" w:hanging="730"/>
      <w:jc w:val="both"/>
    </w:pPr>
    <w:rPr>
      <w:rFonts w:ascii="Arial" w:eastAsia="Arial" w:hAnsi="Arial" w:cs="Arial"/>
      <w:color w:val="000000"/>
      <w:sz w:val="20"/>
      <w:lang w:bidi="en-US"/>
    </w:rPr>
  </w:style>
  <w:style w:type="paragraph" w:styleId="Header">
    <w:name w:val="header"/>
    <w:basedOn w:val="Normal"/>
    <w:link w:val="HeaderChar"/>
    <w:uiPriority w:val="99"/>
    <w:unhideWhenUsed/>
    <w:rsid w:val="0019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575"/>
    <w:rPr>
      <w:rFonts w:ascii="Arial" w:eastAsia="Arial" w:hAnsi="Arial" w:cs="Arial"/>
      <w:color w:val="000000"/>
      <w:sz w:val="20"/>
      <w:lang w:bidi="en-US"/>
    </w:rPr>
  </w:style>
  <w:style w:type="paragraph" w:styleId="Footer">
    <w:name w:val="footer"/>
    <w:basedOn w:val="Normal"/>
    <w:link w:val="FooterChar"/>
    <w:uiPriority w:val="99"/>
    <w:unhideWhenUsed/>
    <w:rsid w:val="0019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575"/>
    <w:rPr>
      <w:rFonts w:ascii="Arial" w:eastAsia="Arial" w:hAnsi="Arial" w:cs="Arial"/>
      <w:color w:val="000000"/>
      <w:sz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575"/>
    <w:pPr>
      <w:spacing w:after="4" w:line="249" w:lineRule="auto"/>
      <w:ind w:left="730" w:hanging="730"/>
      <w:jc w:val="both"/>
    </w:pPr>
    <w:rPr>
      <w:rFonts w:ascii="Arial" w:eastAsia="Arial" w:hAnsi="Arial" w:cs="Arial"/>
      <w:color w:val="000000"/>
      <w:sz w:val="20"/>
      <w:lang w:bidi="en-US"/>
    </w:rPr>
  </w:style>
  <w:style w:type="paragraph" w:styleId="Heading1">
    <w:name w:val="heading 1"/>
    <w:next w:val="Normal"/>
    <w:link w:val="Heading1Char"/>
    <w:uiPriority w:val="9"/>
    <w:unhideWhenUsed/>
    <w:qFormat/>
    <w:rsid w:val="00194575"/>
    <w:pPr>
      <w:keepNext/>
      <w:keepLines/>
      <w:spacing w:after="0" w:line="259" w:lineRule="auto"/>
      <w:ind w:left="10" w:right="4"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75"/>
    <w:rPr>
      <w:rFonts w:ascii="Arial" w:eastAsia="Arial" w:hAnsi="Arial" w:cs="Arial"/>
      <w:b/>
      <w:color w:val="000000"/>
      <w:sz w:val="20"/>
    </w:rPr>
  </w:style>
  <w:style w:type="table" w:customStyle="1" w:styleId="TableGrid">
    <w:name w:val="TableGrid"/>
    <w:rsid w:val="00194575"/>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194575"/>
    <w:pPr>
      <w:spacing w:after="0" w:line="240" w:lineRule="auto"/>
      <w:ind w:left="730" w:hanging="730"/>
      <w:jc w:val="both"/>
    </w:pPr>
    <w:rPr>
      <w:rFonts w:ascii="Arial" w:eastAsia="Arial" w:hAnsi="Arial" w:cs="Arial"/>
      <w:color w:val="000000"/>
      <w:sz w:val="20"/>
      <w:lang w:bidi="en-US"/>
    </w:rPr>
  </w:style>
  <w:style w:type="paragraph" w:styleId="Header">
    <w:name w:val="header"/>
    <w:basedOn w:val="Normal"/>
    <w:link w:val="HeaderChar"/>
    <w:uiPriority w:val="99"/>
    <w:unhideWhenUsed/>
    <w:rsid w:val="0019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575"/>
    <w:rPr>
      <w:rFonts w:ascii="Arial" w:eastAsia="Arial" w:hAnsi="Arial" w:cs="Arial"/>
      <w:color w:val="000000"/>
      <w:sz w:val="20"/>
      <w:lang w:bidi="en-US"/>
    </w:rPr>
  </w:style>
  <w:style w:type="paragraph" w:styleId="Footer">
    <w:name w:val="footer"/>
    <w:basedOn w:val="Normal"/>
    <w:link w:val="FooterChar"/>
    <w:uiPriority w:val="99"/>
    <w:unhideWhenUsed/>
    <w:rsid w:val="0019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575"/>
    <w:rPr>
      <w:rFonts w:ascii="Arial" w:eastAsia="Arial" w:hAnsi="Arial" w:cs="Arial"/>
      <w:color w:val="000000"/>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APP1</dc:creator>
  <cp:lastModifiedBy>APP1</cp:lastModifiedBy>
  <cp:revision>1</cp:revision>
  <dcterms:created xsi:type="dcterms:W3CDTF">2019-02-05T12:09:00Z</dcterms:created>
  <dcterms:modified xsi:type="dcterms:W3CDTF">2019-02-05T12:11:00Z</dcterms:modified>
</cp:coreProperties>
</file>