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947" w:rsidRDefault="00B52947" w:rsidP="00B52947">
      <w:pPr>
        <w:spacing w:after="0" w:line="259" w:lineRule="auto"/>
        <w:ind w:left="0" w:firstLine="0"/>
        <w:jc w:val="left"/>
      </w:pPr>
    </w:p>
    <w:p w:rsidR="00B52947" w:rsidRDefault="00B52947" w:rsidP="00B52947">
      <w:pPr>
        <w:spacing w:after="3" w:line="259" w:lineRule="auto"/>
        <w:ind w:left="3791" w:hanging="10"/>
        <w:jc w:val="left"/>
      </w:pPr>
      <w:r>
        <w:rPr>
          <w:b/>
        </w:rPr>
        <w:t xml:space="preserve">SECTION - 3 </w:t>
      </w:r>
    </w:p>
    <w:p w:rsidR="00B52947" w:rsidRDefault="00B52947" w:rsidP="00B52947">
      <w:pPr>
        <w:spacing w:after="0" w:line="259" w:lineRule="auto"/>
        <w:ind w:left="54" w:firstLine="0"/>
        <w:jc w:val="center"/>
      </w:pPr>
      <w:r>
        <w:rPr>
          <w:b/>
        </w:rPr>
        <w:t xml:space="preserve"> </w:t>
      </w:r>
    </w:p>
    <w:p w:rsidR="00B52947" w:rsidRDefault="00B52947" w:rsidP="00B52947">
      <w:pPr>
        <w:spacing w:after="0" w:line="259" w:lineRule="auto"/>
        <w:ind w:left="10" w:right="2977" w:hanging="10"/>
        <w:jc w:val="right"/>
      </w:pPr>
      <w:r>
        <w:rPr>
          <w:b/>
        </w:rPr>
        <w:t xml:space="preserve">CARGO RELATED CHARGES </w:t>
      </w:r>
    </w:p>
    <w:p w:rsidR="00B52947" w:rsidRDefault="00B52947" w:rsidP="00B52947">
      <w:pPr>
        <w:tabs>
          <w:tab w:val="center" w:pos="1341"/>
        </w:tabs>
        <w:spacing w:after="3" w:line="259" w:lineRule="auto"/>
        <w:ind w:left="-15" w:firstLine="0"/>
        <w:jc w:val="left"/>
      </w:pPr>
      <w:r>
        <w:rPr>
          <w:b/>
        </w:rPr>
        <w:t xml:space="preserve">3.1. </w:t>
      </w:r>
      <w:r>
        <w:rPr>
          <w:b/>
        </w:rPr>
        <w:tab/>
        <w:t>WHARFAGE:</w:t>
      </w:r>
      <w:r>
        <w:rPr>
          <w:b/>
          <w:sz w:val="24"/>
        </w:rPr>
        <w:t xml:space="preserve">  </w:t>
      </w:r>
    </w:p>
    <w:tbl>
      <w:tblPr>
        <w:tblStyle w:val="TableGrid"/>
        <w:tblW w:w="9384" w:type="dxa"/>
        <w:tblInd w:w="-14" w:type="dxa"/>
        <w:tblCellMar>
          <w:top w:w="21" w:type="dxa"/>
          <w:left w:w="0" w:type="dxa"/>
          <w:bottom w:w="0" w:type="dxa"/>
          <w:right w:w="0" w:type="dxa"/>
        </w:tblCellMar>
        <w:tblLook w:val="04A0" w:firstRow="1" w:lastRow="0" w:firstColumn="1" w:lastColumn="0" w:noHBand="0" w:noVBand="1"/>
      </w:tblPr>
      <w:tblGrid>
        <w:gridCol w:w="605"/>
        <w:gridCol w:w="5653"/>
        <w:gridCol w:w="1124"/>
        <w:gridCol w:w="1045"/>
        <w:gridCol w:w="957"/>
      </w:tblGrid>
      <w:tr w:rsidR="00B52947" w:rsidTr="008D2954">
        <w:trPr>
          <w:trHeight w:val="370"/>
        </w:trPr>
        <w:tc>
          <w:tcPr>
            <w:tcW w:w="605" w:type="dxa"/>
            <w:vMerge w:val="restart"/>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firstLine="0"/>
              <w:jc w:val="center"/>
            </w:pPr>
            <w:r>
              <w:rPr>
                <w:b/>
              </w:rPr>
              <w:t xml:space="preserve">Item No. </w:t>
            </w:r>
          </w:p>
        </w:tc>
        <w:tc>
          <w:tcPr>
            <w:tcW w:w="5653" w:type="dxa"/>
            <w:vMerge w:val="restart"/>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23" w:firstLine="0"/>
              <w:jc w:val="center"/>
            </w:pPr>
            <w:r>
              <w:rPr>
                <w:b/>
              </w:rPr>
              <w:t xml:space="preserve">Nomenclature </w:t>
            </w:r>
          </w:p>
        </w:tc>
        <w:tc>
          <w:tcPr>
            <w:tcW w:w="1124" w:type="dxa"/>
            <w:vMerge w:val="restart"/>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firstLine="0"/>
              <w:jc w:val="center"/>
            </w:pPr>
            <w:r>
              <w:rPr>
                <w:b/>
              </w:rPr>
              <w:t xml:space="preserve">Unit </w:t>
            </w:r>
          </w:p>
        </w:tc>
        <w:tc>
          <w:tcPr>
            <w:tcW w:w="2002" w:type="dxa"/>
            <w:gridSpan w:val="2"/>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 w:firstLine="0"/>
              <w:jc w:val="center"/>
            </w:pPr>
            <w:r>
              <w:rPr>
                <w:b/>
              </w:rPr>
              <w:t xml:space="preserve">Rate (in </w:t>
            </w:r>
            <w:r>
              <w:rPr>
                <w:rFonts w:ascii="Malgun Gothic" w:eastAsia="Malgun Gothic" w:hAnsi="Malgun Gothic" w:cs="Malgun Gothic"/>
                <w:b/>
              </w:rPr>
              <w:t>`</w:t>
            </w:r>
            <w:r>
              <w:rPr>
                <w:b/>
              </w:rPr>
              <w:t xml:space="preserve">) </w:t>
            </w:r>
          </w:p>
        </w:tc>
      </w:tr>
      <w:tr w:rsidR="00B52947" w:rsidTr="008D2954">
        <w:trPr>
          <w:trHeight w:val="713"/>
        </w:trPr>
        <w:tc>
          <w:tcPr>
            <w:tcW w:w="0" w:type="auto"/>
            <w:vMerge/>
            <w:tcBorders>
              <w:top w:val="nil"/>
              <w:left w:val="single" w:sz="4" w:space="0" w:color="000000"/>
              <w:bottom w:val="single" w:sz="4" w:space="0" w:color="000000"/>
              <w:right w:val="single" w:sz="4" w:space="0" w:color="000000"/>
            </w:tcBorders>
          </w:tcPr>
          <w:p w:rsidR="00B52947" w:rsidRDefault="00B52947" w:rsidP="008D295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B52947" w:rsidRDefault="00B52947" w:rsidP="008D295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B52947" w:rsidRDefault="00B52947" w:rsidP="008D2954">
            <w:pPr>
              <w:spacing w:after="160" w:line="259" w:lineRule="auto"/>
              <w:ind w:left="0" w:firstLine="0"/>
              <w:jc w:val="left"/>
            </w:pP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2" w:hanging="12"/>
              <w:jc w:val="center"/>
            </w:pPr>
            <w:r>
              <w:rPr>
                <w:b/>
              </w:rPr>
              <w:t xml:space="preserve">Other than coastal cargo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2" w:firstLine="0"/>
              <w:jc w:val="center"/>
            </w:pPr>
            <w:r>
              <w:rPr>
                <w:b/>
              </w:rPr>
              <w:t xml:space="preserve"> Coastal cargo </w:t>
            </w:r>
          </w:p>
        </w:tc>
      </w:tr>
      <w:tr w:rsidR="00B52947" w:rsidTr="008D2954">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2" w:firstLine="0"/>
              <w:jc w:val="center"/>
            </w:pPr>
            <w:r>
              <w:t xml:space="preserve">1.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pPr>
            <w:r>
              <w:t xml:space="preserve">All types of Coal (other than thermal coal), Coke and Coal tar pitch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39.00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2" w:firstLine="0"/>
              <w:jc w:val="center"/>
            </w:pPr>
            <w:r>
              <w:t xml:space="preserve">23.40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2.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Alumina (bulk),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45.00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2" w:firstLine="0"/>
              <w:jc w:val="center"/>
            </w:pPr>
            <w:r>
              <w:t xml:space="preserve">27.00 </w:t>
            </w:r>
          </w:p>
        </w:tc>
      </w:tr>
      <w:tr w:rsidR="00B52947" w:rsidTr="008D2954">
        <w:trPr>
          <w:trHeight w:val="483"/>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2" w:firstLine="0"/>
              <w:jc w:val="center"/>
            </w:pPr>
            <w:r>
              <w:t xml:space="preserve">3.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proofErr w:type="spellStart"/>
            <w:r>
              <w:t>Aluminium</w:t>
            </w:r>
            <w:proofErr w:type="spellEnd"/>
            <w:r>
              <w:t xml:space="preserve">, Alumina Sow Ingots, Alumina </w:t>
            </w:r>
            <w:proofErr w:type="spellStart"/>
            <w:r>
              <w:t>Billetts</w:t>
            </w:r>
            <w:proofErr w:type="spellEnd"/>
            <w:r>
              <w:t xml:space="preserve"> and Alumina products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33.00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19.80 </w:t>
            </w:r>
          </w:p>
        </w:tc>
      </w:tr>
      <w:tr w:rsidR="00B52947" w:rsidTr="008D2954">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2" w:firstLine="0"/>
              <w:jc w:val="center"/>
            </w:pPr>
            <w:r>
              <w:t xml:space="preserve">4.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pPr>
            <w:r>
              <w:t xml:space="preserve">Asphalt/bitumen, </w:t>
            </w:r>
            <w:proofErr w:type="spellStart"/>
            <w:r>
              <w:t>Barytes</w:t>
            </w:r>
            <w:proofErr w:type="spellEnd"/>
            <w:r>
              <w:t xml:space="preserve"> and Feldspar, Cement clinker (including cement)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21.30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12.80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5.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Manganese Ore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21.30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12.80 </w:t>
            </w:r>
          </w:p>
        </w:tc>
      </w:tr>
      <w:tr w:rsidR="00B52947" w:rsidTr="008D2954">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2" w:firstLine="0"/>
              <w:jc w:val="center"/>
            </w:pPr>
            <w:r>
              <w:t xml:space="preserve">6.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pPr>
            <w:r>
              <w:t xml:space="preserve">Blast furnace slag, </w:t>
            </w:r>
            <w:proofErr w:type="spellStart"/>
            <w:r>
              <w:t>Bentonite</w:t>
            </w:r>
            <w:proofErr w:type="spellEnd"/>
            <w:r>
              <w:t xml:space="preserve">, Dolomite chips, Fly Ash and River sand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19.50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11.70 </w:t>
            </w:r>
          </w:p>
        </w:tc>
      </w:tr>
      <w:tr w:rsidR="00B52947" w:rsidTr="008D2954">
        <w:trPr>
          <w:trHeight w:val="252"/>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7.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proofErr w:type="spellStart"/>
            <w:r>
              <w:t>Calcined</w:t>
            </w:r>
            <w:proofErr w:type="spellEnd"/>
            <w:r>
              <w:t xml:space="preserve"> petroleum coke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45.00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27.00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8.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Caustic Soda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4" w:firstLine="0"/>
              <w:jc w:val="center"/>
            </w:pPr>
            <w:r>
              <w:t xml:space="preserve">Per K.L.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39.25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23.55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9.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Cereals, food grains, Pulses and Sugar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24.70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14.80 </w:t>
            </w:r>
          </w:p>
        </w:tc>
      </w:tr>
      <w:tr w:rsidR="00B52947" w:rsidTr="008D2954">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63" w:firstLine="0"/>
              <w:jc w:val="left"/>
            </w:pPr>
            <w:r>
              <w:t xml:space="preserve">10.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pPr>
            <w:r>
              <w:t xml:space="preserve">Charge chrome, Ferro Manganese, Ferro Silicon </w:t>
            </w:r>
            <w:proofErr w:type="spellStart"/>
            <w:r>
              <w:t>Silicon</w:t>
            </w:r>
            <w:proofErr w:type="spellEnd"/>
            <w:r>
              <w:t xml:space="preserve"> Manganese, High carbon Ferrochrome, and other ores.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57.00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34.20 </w:t>
            </w:r>
          </w:p>
        </w:tc>
      </w:tr>
      <w:tr w:rsidR="00B52947" w:rsidTr="008D2954">
        <w:trPr>
          <w:trHeight w:val="252"/>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11.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Chemicals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 w:firstLine="0"/>
              <w:jc w:val="center"/>
            </w:pPr>
            <w:proofErr w:type="spellStart"/>
            <w:r>
              <w:t>Tonnes</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61.65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37.00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12.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Edible Oils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 w:firstLine="0"/>
              <w:jc w:val="center"/>
            </w:pPr>
            <w:r>
              <w:t xml:space="preserve">K.L.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17.95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10.80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13.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Electrical goods (in %)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56" w:firstLine="0"/>
            </w:pPr>
            <w:r>
              <w:t xml:space="preserve">Ad valorem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8" w:firstLine="0"/>
              <w:jc w:val="center"/>
            </w:pPr>
            <w:r>
              <w:t xml:space="preserve">0.30%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203" w:firstLine="0"/>
              <w:jc w:val="left"/>
            </w:pPr>
            <w:r>
              <w:t xml:space="preserve">0.18% </w:t>
            </w:r>
          </w:p>
        </w:tc>
      </w:tr>
      <w:tr w:rsidR="00B52947" w:rsidTr="008D2954">
        <w:trPr>
          <w:trHeight w:val="255"/>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14.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Fertilizers (including MOP)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41.25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24.75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15.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Granite Blocks &amp; Marbles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55.50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33.30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16.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Gypsum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 w:firstLine="0"/>
              <w:jc w:val="center"/>
            </w:pPr>
            <w:proofErr w:type="spellStart"/>
            <w:r>
              <w:t>Tonnes</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44.85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26.90 </w:t>
            </w:r>
          </w:p>
        </w:tc>
      </w:tr>
      <w:tr w:rsidR="00B52947" w:rsidTr="008D2954">
        <w:trPr>
          <w:trHeight w:val="252"/>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17.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proofErr w:type="spellStart"/>
            <w:r>
              <w:t>Ilemenite</w:t>
            </w:r>
            <w:proofErr w:type="spellEnd"/>
            <w:r>
              <w:t xml:space="preserve"> sand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14.60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 w:firstLine="0"/>
              <w:jc w:val="center"/>
            </w:pPr>
            <w:r>
              <w:t xml:space="preserve">8.75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18.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Iron Ore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24.70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24.70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19.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Iron Ore Pellets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25.80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25.80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20.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Limestone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36.00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21.60 </w:t>
            </w:r>
          </w:p>
        </w:tc>
      </w:tr>
      <w:tr w:rsidR="00B52947" w:rsidTr="008D2954">
        <w:trPr>
          <w:trHeight w:val="485"/>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63" w:firstLine="0"/>
              <w:jc w:val="left"/>
            </w:pPr>
            <w:r>
              <w:t xml:space="preserve">21.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Liquid Ammonia, Molten </w:t>
            </w:r>
            <w:proofErr w:type="spellStart"/>
            <w:r>
              <w:t>Sulphur</w:t>
            </w:r>
            <w:proofErr w:type="spellEnd"/>
            <w:r>
              <w:t xml:space="preserve">, Rock phosphate and </w:t>
            </w:r>
            <w:proofErr w:type="spellStart"/>
            <w:r>
              <w:t>Sulphur</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33.65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1" w:firstLine="0"/>
              <w:jc w:val="center"/>
            </w:pPr>
            <w:r>
              <w:t xml:space="preserve">20.20 </w:t>
            </w:r>
          </w:p>
        </w:tc>
      </w:tr>
      <w:tr w:rsidR="00B52947" w:rsidTr="008D2954">
        <w:trPr>
          <w:trHeight w:val="482"/>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63" w:firstLine="0"/>
              <w:jc w:val="left"/>
            </w:pPr>
            <w:r>
              <w:t xml:space="preserve">22. </w:t>
            </w:r>
          </w:p>
        </w:tc>
        <w:tc>
          <w:tcPr>
            <w:tcW w:w="5653"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49" w:firstLine="0"/>
              <w:jc w:val="left"/>
            </w:pPr>
            <w:r>
              <w:t xml:space="preserve">Machinery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86" w:right="30" w:firstLine="0"/>
              <w:jc w:val="center"/>
            </w:pPr>
            <w:r>
              <w:t xml:space="preserve">Ad valorem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8" w:firstLine="0"/>
              <w:jc w:val="center"/>
            </w:pPr>
            <w:r>
              <w:t xml:space="preserve">0.16%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203" w:firstLine="0"/>
              <w:jc w:val="left"/>
            </w:pPr>
            <w:r>
              <w:t xml:space="preserve">0.09%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23.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Molasses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 w:firstLine="0"/>
              <w:jc w:val="center"/>
            </w:pPr>
            <w:r>
              <w:t xml:space="preserve">K.L.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39.25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23.55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24.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All types of Oil Extractions like Soya, Rape seed etc.,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13.45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 w:firstLine="0"/>
              <w:jc w:val="center"/>
            </w:pPr>
            <w:r>
              <w:t xml:space="preserve">8.10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25.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Pig iron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42.60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25.55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26.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R.R. materials: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37.00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1" w:firstLine="0"/>
              <w:jc w:val="center"/>
            </w:pPr>
            <w:r>
              <w:t xml:space="preserve">22.20 </w:t>
            </w:r>
          </w:p>
        </w:tc>
      </w:tr>
      <w:tr w:rsidR="00B52947" w:rsidTr="008D2954">
        <w:trPr>
          <w:trHeight w:val="253"/>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27.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Steel Products (including scrap) – all varieties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8" w:firstLine="0"/>
              <w:jc w:val="center"/>
            </w:pPr>
            <w:r>
              <w:t xml:space="preserve">49.30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3" w:firstLine="0"/>
              <w:jc w:val="center"/>
            </w:pPr>
            <w:r>
              <w:t xml:space="preserve">29.60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28.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Styrene </w:t>
            </w:r>
            <w:proofErr w:type="spellStart"/>
            <w:r>
              <w:t>Monomar</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8" w:firstLine="0"/>
              <w:jc w:val="center"/>
            </w:pPr>
            <w:r>
              <w:t xml:space="preserve">61.65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3" w:firstLine="0"/>
              <w:jc w:val="center"/>
            </w:pPr>
            <w:r>
              <w:t xml:space="preserve">37.00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29.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Thermal Coal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8" w:firstLine="0"/>
              <w:jc w:val="center"/>
            </w:pPr>
            <w:r>
              <w:t xml:space="preserve">21.30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3" w:firstLine="0"/>
              <w:jc w:val="center"/>
            </w:pPr>
            <w:r>
              <w:t xml:space="preserve">21.30 </w:t>
            </w:r>
          </w:p>
        </w:tc>
      </w:tr>
      <w:tr w:rsidR="00B52947" w:rsidTr="008D2954">
        <w:trPr>
          <w:trHeight w:val="254"/>
        </w:trPr>
        <w:tc>
          <w:tcPr>
            <w:tcW w:w="60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63" w:firstLine="0"/>
              <w:jc w:val="left"/>
            </w:pPr>
            <w:r>
              <w:t xml:space="preserve">30.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r>
              <w:t xml:space="preserve">Timber Logs &amp; Wood items  </w:t>
            </w:r>
          </w:p>
        </w:tc>
        <w:tc>
          <w:tcPr>
            <w:tcW w:w="1124"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3" w:firstLine="0"/>
              <w:jc w:val="center"/>
            </w:pPr>
            <w:r>
              <w:t xml:space="preserve"> Cu. M </w:t>
            </w:r>
          </w:p>
        </w:tc>
        <w:tc>
          <w:tcPr>
            <w:tcW w:w="1045"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8" w:firstLine="0"/>
              <w:jc w:val="center"/>
            </w:pPr>
            <w:r>
              <w:t xml:space="preserve">24.70 </w:t>
            </w:r>
          </w:p>
        </w:tc>
        <w:tc>
          <w:tcPr>
            <w:tcW w:w="9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3" w:firstLine="0"/>
              <w:jc w:val="center"/>
            </w:pPr>
            <w:r>
              <w:t xml:space="preserve">14.80 </w:t>
            </w:r>
          </w:p>
        </w:tc>
      </w:tr>
      <w:tr w:rsidR="00B52947" w:rsidTr="008D2954">
        <w:trPr>
          <w:trHeight w:val="600"/>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63" w:firstLine="0"/>
              <w:jc w:val="left"/>
            </w:pPr>
            <w:r>
              <w:lastRenderedPageBreak/>
              <w:t xml:space="preserve">31.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pPr>
            <w:proofErr w:type="spellStart"/>
            <w:r>
              <w:t>Unenumerated</w:t>
            </w:r>
            <w:proofErr w:type="spellEnd"/>
            <w:r>
              <w:t xml:space="preserve"> goods having FOB/CIF value </w:t>
            </w:r>
            <w:proofErr w:type="spellStart"/>
            <w:r>
              <w:t>upto</w:t>
            </w:r>
            <w:proofErr w:type="spellEnd"/>
            <w:r>
              <w:t xml:space="preserve"> and inclusion of </w:t>
            </w:r>
            <w:r>
              <w:rPr>
                <w:rFonts w:ascii="Malgun Gothic" w:eastAsia="Malgun Gothic" w:hAnsi="Malgun Gothic" w:cs="Malgun Gothic"/>
              </w:rPr>
              <w:t>`</w:t>
            </w:r>
            <w:r>
              <w:t xml:space="preserve">1000/- per </w:t>
            </w:r>
            <w:proofErr w:type="spellStart"/>
            <w:r>
              <w:t>tonne</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18" w:firstLine="0"/>
              <w:jc w:val="center"/>
            </w:pPr>
            <w:r>
              <w:t xml:space="preserve">10.00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15" w:firstLine="0"/>
              <w:jc w:val="center"/>
            </w:pPr>
            <w:r>
              <w:t xml:space="preserve">6.00 </w:t>
            </w:r>
          </w:p>
        </w:tc>
      </w:tr>
      <w:tr w:rsidR="00B52947" w:rsidTr="008D2954">
        <w:trPr>
          <w:trHeight w:val="600"/>
        </w:trPr>
        <w:tc>
          <w:tcPr>
            <w:tcW w:w="60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63" w:firstLine="0"/>
              <w:jc w:val="left"/>
            </w:pPr>
            <w:r>
              <w:t xml:space="preserve">32. </w:t>
            </w:r>
          </w:p>
        </w:tc>
        <w:tc>
          <w:tcPr>
            <w:tcW w:w="5653"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149" w:firstLine="0"/>
              <w:jc w:val="left"/>
            </w:pPr>
            <w:proofErr w:type="spellStart"/>
            <w:r>
              <w:t>Unenumerated</w:t>
            </w:r>
            <w:proofErr w:type="spellEnd"/>
            <w:r>
              <w:t xml:space="preserve"> goods having value more than </w:t>
            </w:r>
            <w:proofErr w:type="gramStart"/>
            <w:r>
              <w:rPr>
                <w:rFonts w:ascii="Malgun Gothic" w:eastAsia="Malgun Gothic" w:hAnsi="Malgun Gothic" w:cs="Malgun Gothic"/>
              </w:rPr>
              <w:t>`</w:t>
            </w:r>
            <w:r>
              <w:t>1000</w:t>
            </w:r>
            <w:proofErr w:type="gramEnd"/>
            <w:r>
              <w:t xml:space="preserve">/- per </w:t>
            </w:r>
            <w:proofErr w:type="spellStart"/>
            <w:r>
              <w:t>tonne</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1" w:firstLine="0"/>
              <w:jc w:val="center"/>
            </w:pPr>
            <w:proofErr w:type="spellStart"/>
            <w:r>
              <w:t>Tonne</w:t>
            </w:r>
            <w:proofErr w:type="spellEnd"/>
            <w:r>
              <w:t xml:space="preserve"> </w:t>
            </w:r>
          </w:p>
        </w:tc>
        <w:tc>
          <w:tcPr>
            <w:tcW w:w="1045"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18" w:firstLine="0"/>
              <w:jc w:val="center"/>
            </w:pPr>
            <w:r>
              <w:t xml:space="preserve">40.00 </w:t>
            </w:r>
          </w:p>
        </w:tc>
        <w:tc>
          <w:tcPr>
            <w:tcW w:w="9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13" w:firstLine="0"/>
              <w:jc w:val="center"/>
            </w:pPr>
            <w:r>
              <w:t xml:space="preserve">24.00 </w:t>
            </w:r>
          </w:p>
        </w:tc>
      </w:tr>
    </w:tbl>
    <w:p w:rsidR="00B52947" w:rsidRDefault="00B52947" w:rsidP="00B52947">
      <w:pPr>
        <w:spacing w:after="0" w:line="259" w:lineRule="auto"/>
        <w:ind w:left="0" w:firstLine="0"/>
        <w:jc w:val="left"/>
      </w:pPr>
      <w:r>
        <w:t xml:space="preserve"> </w:t>
      </w:r>
    </w:p>
    <w:p w:rsidR="00B52947" w:rsidRDefault="00B52947" w:rsidP="00B52947">
      <w:pPr>
        <w:tabs>
          <w:tab w:val="center" w:pos="1440"/>
        </w:tabs>
        <w:spacing w:after="3" w:line="259" w:lineRule="auto"/>
        <w:ind w:left="-15" w:firstLine="0"/>
        <w:jc w:val="left"/>
      </w:pPr>
      <w:r>
        <w:rPr>
          <w:b/>
        </w:rPr>
        <w:t>Notes</w:t>
      </w:r>
      <w:r>
        <w:t xml:space="preserve">:   </w:t>
      </w:r>
      <w:r>
        <w:tab/>
        <w:t xml:space="preserve"> </w:t>
      </w:r>
    </w:p>
    <w:p w:rsidR="00B52947" w:rsidRDefault="00B52947" w:rsidP="00B52947">
      <w:pPr>
        <w:spacing w:after="0" w:line="259" w:lineRule="auto"/>
        <w:ind w:left="0" w:firstLine="0"/>
        <w:jc w:val="left"/>
      </w:pPr>
      <w:r>
        <w:t xml:space="preserve"> </w:t>
      </w:r>
    </w:p>
    <w:tbl>
      <w:tblPr>
        <w:tblStyle w:val="TableGrid"/>
        <w:tblW w:w="8794" w:type="dxa"/>
        <w:tblInd w:w="0" w:type="dxa"/>
        <w:tblCellMar>
          <w:top w:w="0" w:type="dxa"/>
          <w:left w:w="0" w:type="dxa"/>
          <w:bottom w:w="0" w:type="dxa"/>
          <w:right w:w="0" w:type="dxa"/>
        </w:tblCellMar>
        <w:tblLook w:val="04A0" w:firstRow="1" w:lastRow="0" w:firstColumn="1" w:lastColumn="0" w:noHBand="0" w:noVBand="1"/>
      </w:tblPr>
      <w:tblGrid>
        <w:gridCol w:w="720"/>
        <w:gridCol w:w="8074"/>
      </w:tblGrid>
      <w:tr w:rsidR="00B52947" w:rsidTr="008D2954">
        <w:trPr>
          <w:trHeight w:val="915"/>
        </w:trPr>
        <w:tc>
          <w:tcPr>
            <w:tcW w:w="720" w:type="dxa"/>
            <w:tcBorders>
              <w:top w:val="nil"/>
              <w:left w:val="nil"/>
              <w:bottom w:val="nil"/>
              <w:right w:val="nil"/>
            </w:tcBorders>
          </w:tcPr>
          <w:p w:rsidR="00B52947" w:rsidRDefault="00B52947" w:rsidP="008D2954">
            <w:pPr>
              <w:spacing w:after="441" w:line="259" w:lineRule="auto"/>
              <w:ind w:left="0" w:firstLine="0"/>
              <w:jc w:val="left"/>
            </w:pPr>
            <w:r>
              <w:t xml:space="preserve">(1). </w:t>
            </w:r>
          </w:p>
          <w:p w:rsidR="00B52947" w:rsidRDefault="00B52947" w:rsidP="008D2954">
            <w:pPr>
              <w:spacing w:after="0" w:line="259" w:lineRule="auto"/>
              <w:ind w:left="0" w:firstLine="0"/>
              <w:jc w:val="left"/>
            </w:pPr>
            <w:r>
              <w:t xml:space="preserve"> </w:t>
            </w:r>
          </w:p>
        </w:tc>
        <w:tc>
          <w:tcPr>
            <w:tcW w:w="8074" w:type="dxa"/>
            <w:tcBorders>
              <w:top w:val="nil"/>
              <w:left w:val="nil"/>
              <w:bottom w:val="nil"/>
              <w:right w:val="nil"/>
            </w:tcBorders>
          </w:tcPr>
          <w:p w:rsidR="00B52947" w:rsidRDefault="00B52947" w:rsidP="008D2954">
            <w:pPr>
              <w:spacing w:after="0" w:line="259" w:lineRule="auto"/>
              <w:ind w:left="0" w:right="59" w:firstLine="0"/>
            </w:pPr>
            <w:r>
              <w:t xml:space="preserve">Before classifying any cargo as ‘un-enumerated goods’ the relevant Customs classification shall be referred to find out whether the cargo can be classified under any of the specific categories mentioned in the Schedule given above. </w:t>
            </w:r>
          </w:p>
        </w:tc>
      </w:tr>
      <w:tr w:rsidR="00B52947" w:rsidTr="008D2954">
        <w:trPr>
          <w:trHeight w:val="919"/>
        </w:trPr>
        <w:tc>
          <w:tcPr>
            <w:tcW w:w="720" w:type="dxa"/>
            <w:tcBorders>
              <w:top w:val="nil"/>
              <w:left w:val="nil"/>
              <w:bottom w:val="nil"/>
              <w:right w:val="nil"/>
            </w:tcBorders>
          </w:tcPr>
          <w:p w:rsidR="00B52947" w:rsidRDefault="00B52947" w:rsidP="008D2954">
            <w:pPr>
              <w:spacing w:after="441" w:line="259" w:lineRule="auto"/>
              <w:ind w:left="0" w:firstLine="0"/>
              <w:jc w:val="left"/>
            </w:pPr>
            <w:r>
              <w:t xml:space="preserve">(2). </w:t>
            </w:r>
          </w:p>
          <w:p w:rsidR="00B52947" w:rsidRDefault="00B52947" w:rsidP="008D2954">
            <w:pPr>
              <w:spacing w:after="0" w:line="259" w:lineRule="auto"/>
              <w:ind w:left="0" w:firstLine="0"/>
              <w:jc w:val="left"/>
            </w:pPr>
            <w:r>
              <w:t xml:space="preserve"> </w:t>
            </w:r>
          </w:p>
        </w:tc>
        <w:tc>
          <w:tcPr>
            <w:tcW w:w="8074" w:type="dxa"/>
            <w:tcBorders>
              <w:top w:val="nil"/>
              <w:left w:val="nil"/>
              <w:bottom w:val="nil"/>
              <w:right w:val="nil"/>
            </w:tcBorders>
          </w:tcPr>
          <w:p w:rsidR="00B52947" w:rsidRDefault="00B52947" w:rsidP="008D2954">
            <w:pPr>
              <w:spacing w:after="0" w:line="259" w:lineRule="auto"/>
              <w:ind w:left="0" w:right="59" w:firstLine="0"/>
            </w:pPr>
            <w:proofErr w:type="spellStart"/>
            <w:r>
              <w:t>Wharfage</w:t>
            </w:r>
            <w:proofErr w:type="spellEnd"/>
            <w:r>
              <w:t xml:space="preserve"> charges are </w:t>
            </w:r>
            <w:proofErr w:type="spellStart"/>
            <w:r>
              <w:t>leviable</w:t>
            </w:r>
            <w:proofErr w:type="spellEnd"/>
            <w:r>
              <w:t xml:space="preserve"> on goods entering the docks even if they are not shipped. However, for the excess cargo brought into docks for shipment but not shipped, no </w:t>
            </w:r>
            <w:proofErr w:type="spellStart"/>
            <w:r>
              <w:t>wharfage</w:t>
            </w:r>
            <w:proofErr w:type="spellEnd"/>
            <w:r>
              <w:t xml:space="preserve"> will be levied if the cargo is removed within 24 hours of shipment </w:t>
            </w:r>
          </w:p>
        </w:tc>
      </w:tr>
      <w:tr w:rsidR="00B52947" w:rsidTr="008D2954">
        <w:trPr>
          <w:trHeight w:val="691"/>
        </w:trPr>
        <w:tc>
          <w:tcPr>
            <w:tcW w:w="720" w:type="dxa"/>
            <w:tcBorders>
              <w:top w:val="nil"/>
              <w:left w:val="nil"/>
              <w:bottom w:val="nil"/>
              <w:right w:val="nil"/>
            </w:tcBorders>
          </w:tcPr>
          <w:p w:rsidR="00B52947" w:rsidRDefault="00B52947" w:rsidP="008D2954">
            <w:pPr>
              <w:spacing w:after="213" w:line="259" w:lineRule="auto"/>
              <w:ind w:left="0" w:firstLine="0"/>
              <w:jc w:val="left"/>
            </w:pPr>
            <w:r>
              <w:t>(3).</w:t>
            </w:r>
            <w:r>
              <w:rPr>
                <w:b/>
              </w:rPr>
              <w:t xml:space="preserve"> </w:t>
            </w:r>
          </w:p>
          <w:p w:rsidR="00B52947" w:rsidRDefault="00B52947" w:rsidP="008D2954">
            <w:pPr>
              <w:spacing w:after="0" w:line="259" w:lineRule="auto"/>
              <w:ind w:left="0" w:firstLine="0"/>
              <w:jc w:val="left"/>
            </w:pPr>
            <w:r>
              <w:t xml:space="preserve"> </w:t>
            </w:r>
          </w:p>
        </w:tc>
        <w:tc>
          <w:tcPr>
            <w:tcW w:w="8074" w:type="dxa"/>
            <w:tcBorders>
              <w:top w:val="nil"/>
              <w:left w:val="nil"/>
              <w:bottom w:val="nil"/>
              <w:right w:val="nil"/>
            </w:tcBorders>
          </w:tcPr>
          <w:p w:rsidR="00B52947" w:rsidRDefault="00B52947" w:rsidP="008D2954">
            <w:pPr>
              <w:spacing w:after="0" w:line="259" w:lineRule="auto"/>
              <w:ind w:left="0" w:firstLine="0"/>
            </w:pPr>
            <w:r>
              <w:t xml:space="preserve">Charges on packages containing articles of a miscellaneous character shall be levied at the rate applicable to the individual articles.  </w:t>
            </w:r>
          </w:p>
        </w:tc>
      </w:tr>
      <w:tr w:rsidR="00B52947" w:rsidTr="008D2954">
        <w:trPr>
          <w:trHeight w:val="1379"/>
        </w:trPr>
        <w:tc>
          <w:tcPr>
            <w:tcW w:w="720" w:type="dxa"/>
            <w:tcBorders>
              <w:top w:val="nil"/>
              <w:left w:val="nil"/>
              <w:bottom w:val="nil"/>
              <w:right w:val="nil"/>
            </w:tcBorders>
          </w:tcPr>
          <w:p w:rsidR="00B52947" w:rsidRDefault="00B52947" w:rsidP="008D2954">
            <w:pPr>
              <w:spacing w:after="903" w:line="259" w:lineRule="auto"/>
              <w:ind w:left="0" w:firstLine="0"/>
              <w:jc w:val="left"/>
            </w:pPr>
            <w:r>
              <w:t xml:space="preserve">(4).  </w:t>
            </w:r>
          </w:p>
          <w:p w:rsidR="00B52947" w:rsidRDefault="00B52947" w:rsidP="008D2954">
            <w:pPr>
              <w:spacing w:after="0" w:line="259" w:lineRule="auto"/>
              <w:ind w:left="0" w:firstLine="0"/>
              <w:jc w:val="left"/>
            </w:pPr>
            <w:r>
              <w:t xml:space="preserve"> </w:t>
            </w:r>
          </w:p>
        </w:tc>
        <w:tc>
          <w:tcPr>
            <w:tcW w:w="8074" w:type="dxa"/>
            <w:tcBorders>
              <w:top w:val="nil"/>
              <w:left w:val="nil"/>
              <w:bottom w:val="nil"/>
              <w:right w:val="nil"/>
            </w:tcBorders>
          </w:tcPr>
          <w:p w:rsidR="00B52947" w:rsidRDefault="00B52947" w:rsidP="008D2954">
            <w:pPr>
              <w:spacing w:after="0" w:line="259" w:lineRule="auto"/>
              <w:ind w:left="0" w:right="55" w:firstLine="0"/>
            </w:pPr>
            <w:proofErr w:type="spellStart"/>
            <w:r>
              <w:t>Advalorem</w:t>
            </w:r>
            <w:proofErr w:type="spellEnd"/>
            <w:r>
              <w:t xml:space="preserve"> </w:t>
            </w:r>
            <w:proofErr w:type="spellStart"/>
            <w:r>
              <w:t>wharfage</w:t>
            </w:r>
            <w:proofErr w:type="spellEnd"/>
            <w:r>
              <w:t xml:space="preserve"> on imports shall be calculated on CIF value; on the exports on FOB value; and on coastal cargo on value specified in the bill of coastal goods. Customs bills of entry/shipping bill/bill of coastal goods shall be the main documents for assessing the value of cargo for </w:t>
            </w:r>
            <w:proofErr w:type="spellStart"/>
            <w:r>
              <w:t>wharfage</w:t>
            </w:r>
            <w:proofErr w:type="spellEnd"/>
            <w:r>
              <w:t xml:space="preserve"> purpose and where it is not available, the value will be determined based on Bill of Lading/invoice etc.</w:t>
            </w:r>
          </w:p>
          <w:p w:rsidR="00B52947" w:rsidRDefault="00B52947" w:rsidP="008D2954">
            <w:pPr>
              <w:spacing w:after="0" w:line="259" w:lineRule="auto"/>
              <w:ind w:left="0" w:right="55" w:firstLine="0"/>
            </w:pPr>
          </w:p>
          <w:p w:rsidR="00B52947" w:rsidRDefault="00B52947" w:rsidP="008D2954">
            <w:pPr>
              <w:spacing w:after="0" w:line="259" w:lineRule="auto"/>
              <w:ind w:left="0" w:right="55" w:firstLine="0"/>
            </w:pPr>
          </w:p>
          <w:p w:rsidR="00B52947" w:rsidRDefault="00B52947" w:rsidP="008D2954">
            <w:pPr>
              <w:spacing w:after="0" w:line="259" w:lineRule="auto"/>
              <w:ind w:left="0" w:right="55" w:firstLine="0"/>
            </w:pPr>
            <w:r>
              <w:t xml:space="preserve">  </w:t>
            </w:r>
          </w:p>
        </w:tc>
      </w:tr>
      <w:tr w:rsidR="00B52947" w:rsidTr="008D2954">
        <w:trPr>
          <w:trHeight w:val="2068"/>
        </w:trPr>
        <w:tc>
          <w:tcPr>
            <w:tcW w:w="720" w:type="dxa"/>
            <w:tcBorders>
              <w:top w:val="nil"/>
              <w:left w:val="nil"/>
              <w:bottom w:val="nil"/>
              <w:right w:val="nil"/>
            </w:tcBorders>
          </w:tcPr>
          <w:p w:rsidR="00B52947" w:rsidRDefault="00B52947" w:rsidP="008D2954">
            <w:pPr>
              <w:spacing w:after="0" w:line="259" w:lineRule="auto"/>
              <w:ind w:left="0" w:firstLine="0"/>
              <w:jc w:val="left"/>
            </w:pPr>
            <w:r>
              <w:rPr>
                <w:b/>
              </w:rPr>
              <w:t xml:space="preserve">3.2. </w:t>
            </w:r>
          </w:p>
          <w:p w:rsidR="00B52947" w:rsidRDefault="00B52947" w:rsidP="008D2954">
            <w:pPr>
              <w:spacing w:after="1358" w:line="259" w:lineRule="auto"/>
              <w:ind w:left="0" w:firstLine="0"/>
              <w:jc w:val="left"/>
            </w:pPr>
            <w:r>
              <w:t xml:space="preserve"> </w:t>
            </w:r>
          </w:p>
          <w:p w:rsidR="00B52947" w:rsidRDefault="00B52947" w:rsidP="008D2954">
            <w:pPr>
              <w:spacing w:after="0" w:line="259" w:lineRule="auto"/>
              <w:ind w:left="0" w:firstLine="0"/>
              <w:jc w:val="left"/>
            </w:pPr>
            <w:r>
              <w:rPr>
                <w:b/>
              </w:rPr>
              <w:t xml:space="preserve"> </w:t>
            </w:r>
          </w:p>
        </w:tc>
        <w:tc>
          <w:tcPr>
            <w:tcW w:w="8074" w:type="dxa"/>
            <w:tcBorders>
              <w:top w:val="nil"/>
              <w:left w:val="nil"/>
              <w:bottom w:val="nil"/>
              <w:right w:val="nil"/>
            </w:tcBorders>
          </w:tcPr>
          <w:p w:rsidR="00B52947" w:rsidRDefault="00B52947" w:rsidP="008D2954">
            <w:pPr>
              <w:spacing w:after="213" w:line="259" w:lineRule="auto"/>
              <w:ind w:left="0" w:firstLine="0"/>
              <w:jc w:val="left"/>
            </w:pPr>
            <w:r>
              <w:rPr>
                <w:b/>
              </w:rPr>
              <w:t xml:space="preserve">WHARFAGE CHARGES FOR SPECIFIED CASES  </w:t>
            </w:r>
          </w:p>
          <w:p w:rsidR="00B52947" w:rsidRDefault="00B52947" w:rsidP="008D2954">
            <w:pPr>
              <w:spacing w:after="0" w:line="241" w:lineRule="auto"/>
              <w:ind w:left="0" w:firstLine="0"/>
              <w:jc w:val="left"/>
            </w:pPr>
            <w:r>
              <w:t xml:space="preserve">In the following specified cases </w:t>
            </w:r>
            <w:proofErr w:type="spellStart"/>
            <w:r>
              <w:t>wharfage</w:t>
            </w:r>
            <w:proofErr w:type="spellEnd"/>
            <w:r>
              <w:t xml:space="preserve"> charges shall be levied as specified in Section 3.1. </w:t>
            </w:r>
          </w:p>
          <w:p w:rsidR="00B52947" w:rsidRDefault="00B52947" w:rsidP="008D2954">
            <w:pPr>
              <w:tabs>
                <w:tab w:val="center" w:pos="2384"/>
              </w:tabs>
              <w:spacing w:after="0" w:line="259" w:lineRule="auto"/>
              <w:ind w:left="0" w:firstLine="0"/>
              <w:jc w:val="left"/>
            </w:pPr>
            <w:r>
              <w:t xml:space="preserve">(i).   </w:t>
            </w:r>
            <w:r>
              <w:tab/>
              <w:t xml:space="preserve">On crafts carried on board the vessel. </w:t>
            </w:r>
          </w:p>
          <w:p w:rsidR="00B52947" w:rsidRDefault="00B52947" w:rsidP="008D2954">
            <w:pPr>
              <w:tabs>
                <w:tab w:val="center" w:pos="1708"/>
              </w:tabs>
              <w:spacing w:after="0" w:line="259" w:lineRule="auto"/>
              <w:ind w:left="0" w:firstLine="0"/>
              <w:jc w:val="left"/>
            </w:pPr>
            <w:r>
              <w:t xml:space="preserve">(ii).   </w:t>
            </w:r>
            <w:r>
              <w:tab/>
              <w:t xml:space="preserve">On goods abandoned. </w:t>
            </w:r>
          </w:p>
          <w:p w:rsidR="00B52947" w:rsidRDefault="00B52947" w:rsidP="008D2954">
            <w:pPr>
              <w:spacing w:after="0" w:line="259" w:lineRule="auto"/>
              <w:ind w:left="720" w:hanging="720"/>
              <w:jc w:val="left"/>
            </w:pPr>
            <w:r>
              <w:t xml:space="preserve">(iii).   </w:t>
            </w:r>
            <w:r>
              <w:tab/>
              <w:t xml:space="preserve">On the manifested description of package whether they are landed empty or partly empty. </w:t>
            </w:r>
          </w:p>
          <w:p w:rsidR="00B52947" w:rsidRDefault="00B52947" w:rsidP="008D2954">
            <w:pPr>
              <w:spacing w:after="0" w:line="259" w:lineRule="auto"/>
              <w:ind w:left="720" w:hanging="720"/>
              <w:jc w:val="left"/>
            </w:pPr>
          </w:p>
          <w:p w:rsidR="00B52947" w:rsidRDefault="00B52947" w:rsidP="008D2954">
            <w:pPr>
              <w:spacing w:after="0" w:line="259" w:lineRule="auto"/>
              <w:ind w:left="720" w:hanging="720"/>
              <w:jc w:val="left"/>
            </w:pPr>
          </w:p>
          <w:p w:rsidR="00B52947" w:rsidRDefault="00B52947" w:rsidP="008D2954">
            <w:pPr>
              <w:spacing w:after="0" w:line="259" w:lineRule="auto"/>
              <w:ind w:left="720" w:hanging="720"/>
              <w:jc w:val="left"/>
            </w:pPr>
          </w:p>
        </w:tc>
      </w:tr>
      <w:tr w:rsidR="00B52947" w:rsidTr="008D2954">
        <w:trPr>
          <w:trHeight w:val="226"/>
        </w:trPr>
        <w:tc>
          <w:tcPr>
            <w:tcW w:w="720" w:type="dxa"/>
            <w:tcBorders>
              <w:top w:val="nil"/>
              <w:left w:val="nil"/>
              <w:bottom w:val="nil"/>
              <w:right w:val="nil"/>
            </w:tcBorders>
          </w:tcPr>
          <w:p w:rsidR="00B52947" w:rsidRDefault="00B52947" w:rsidP="008D2954">
            <w:pPr>
              <w:spacing w:after="0" w:line="259" w:lineRule="auto"/>
              <w:ind w:left="0" w:firstLine="0"/>
              <w:jc w:val="left"/>
            </w:pPr>
            <w:r>
              <w:rPr>
                <w:b/>
              </w:rPr>
              <w:t xml:space="preserve">3.3.  </w:t>
            </w:r>
          </w:p>
        </w:tc>
        <w:tc>
          <w:tcPr>
            <w:tcW w:w="8074" w:type="dxa"/>
            <w:tcBorders>
              <w:top w:val="nil"/>
              <w:left w:val="nil"/>
              <w:bottom w:val="nil"/>
              <w:right w:val="nil"/>
            </w:tcBorders>
          </w:tcPr>
          <w:p w:rsidR="00B52947" w:rsidRDefault="00B52947" w:rsidP="008D2954">
            <w:pPr>
              <w:spacing w:after="0" w:line="259" w:lineRule="auto"/>
              <w:ind w:left="0" w:firstLine="0"/>
              <w:jc w:val="left"/>
            </w:pPr>
            <w:r>
              <w:rPr>
                <w:b/>
              </w:rPr>
              <w:t xml:space="preserve">WHARFAGE CHARGES ON GOODS FROM VESSELS IN DISTRESS  </w:t>
            </w:r>
          </w:p>
        </w:tc>
      </w:tr>
    </w:tbl>
    <w:p w:rsidR="00B52947" w:rsidRDefault="00B52947" w:rsidP="00B52947">
      <w:pPr>
        <w:spacing w:after="0" w:line="259" w:lineRule="auto"/>
        <w:ind w:left="0" w:firstLine="0"/>
        <w:jc w:val="left"/>
      </w:pPr>
      <w:r>
        <w:t xml:space="preserve"> </w:t>
      </w:r>
    </w:p>
    <w:tbl>
      <w:tblPr>
        <w:tblStyle w:val="TableGrid"/>
        <w:tblW w:w="9225" w:type="dxa"/>
        <w:tblInd w:w="-108" w:type="dxa"/>
        <w:tblCellMar>
          <w:top w:w="7" w:type="dxa"/>
          <w:left w:w="108" w:type="dxa"/>
          <w:bottom w:w="0" w:type="dxa"/>
          <w:right w:w="56" w:type="dxa"/>
        </w:tblCellMar>
        <w:tblLook w:val="04A0" w:firstRow="1" w:lastRow="0" w:firstColumn="1" w:lastColumn="0" w:noHBand="0" w:noVBand="1"/>
      </w:tblPr>
      <w:tblGrid>
        <w:gridCol w:w="857"/>
        <w:gridCol w:w="4772"/>
        <w:gridCol w:w="3596"/>
      </w:tblGrid>
      <w:tr w:rsidR="00B52947" w:rsidTr="008D2954">
        <w:trPr>
          <w:trHeight w:val="470"/>
        </w:trPr>
        <w:tc>
          <w:tcPr>
            <w:tcW w:w="857"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center"/>
            </w:pPr>
            <w:r>
              <w:rPr>
                <w:b/>
              </w:rPr>
              <w:t xml:space="preserve">Item No. </w:t>
            </w:r>
          </w:p>
        </w:tc>
        <w:tc>
          <w:tcPr>
            <w:tcW w:w="4772"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3" w:firstLine="0"/>
              <w:jc w:val="center"/>
            </w:pPr>
            <w:r>
              <w:rPr>
                <w:b/>
              </w:rPr>
              <w:t xml:space="preserve">Description </w:t>
            </w:r>
          </w:p>
        </w:tc>
        <w:tc>
          <w:tcPr>
            <w:tcW w:w="3596"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5" w:firstLine="0"/>
              <w:jc w:val="center"/>
            </w:pPr>
            <w:r>
              <w:rPr>
                <w:b/>
              </w:rPr>
              <w:t xml:space="preserve">Charges Payable </w:t>
            </w:r>
          </w:p>
        </w:tc>
      </w:tr>
      <w:tr w:rsidR="00B52947" w:rsidTr="008D2954">
        <w:trPr>
          <w:trHeight w:val="468"/>
        </w:trPr>
        <w:tc>
          <w:tcPr>
            <w:tcW w:w="8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7" w:firstLine="0"/>
              <w:jc w:val="center"/>
            </w:pPr>
            <w:r>
              <w:t xml:space="preserve">1. </w:t>
            </w:r>
          </w:p>
        </w:tc>
        <w:tc>
          <w:tcPr>
            <w:tcW w:w="4772"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Cargo of other Ports landed from vessels in distress. </w:t>
            </w:r>
          </w:p>
        </w:tc>
        <w:tc>
          <w:tcPr>
            <w:tcW w:w="3596"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As specified in Section 3.1. </w:t>
            </w:r>
          </w:p>
        </w:tc>
      </w:tr>
      <w:tr w:rsidR="00B52947" w:rsidTr="008D2954">
        <w:trPr>
          <w:trHeight w:val="471"/>
        </w:trPr>
        <w:tc>
          <w:tcPr>
            <w:tcW w:w="8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7" w:firstLine="0"/>
              <w:jc w:val="center"/>
            </w:pPr>
            <w:r>
              <w:t xml:space="preserve">2. </w:t>
            </w:r>
          </w:p>
        </w:tc>
        <w:tc>
          <w:tcPr>
            <w:tcW w:w="4772"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pPr>
            <w:r>
              <w:t xml:space="preserve">Cargo that already paid export </w:t>
            </w:r>
            <w:proofErr w:type="spellStart"/>
            <w:r>
              <w:t>wharfage</w:t>
            </w:r>
            <w:proofErr w:type="spellEnd"/>
            <w:r>
              <w:t xml:space="preserve"> but has not been carried to destination. </w:t>
            </w:r>
          </w:p>
        </w:tc>
        <w:tc>
          <w:tcPr>
            <w:tcW w:w="3596"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No </w:t>
            </w:r>
            <w:proofErr w:type="spellStart"/>
            <w:r>
              <w:t>Wharfage</w:t>
            </w:r>
            <w:proofErr w:type="spellEnd"/>
            <w:r>
              <w:t xml:space="preserve">  </w:t>
            </w:r>
          </w:p>
        </w:tc>
      </w:tr>
      <w:tr w:rsidR="00B52947" w:rsidTr="008D2954">
        <w:trPr>
          <w:trHeight w:val="470"/>
        </w:trPr>
        <w:tc>
          <w:tcPr>
            <w:tcW w:w="857"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7" w:firstLine="0"/>
              <w:jc w:val="center"/>
            </w:pPr>
            <w:r>
              <w:t xml:space="preserve">3. </w:t>
            </w:r>
          </w:p>
        </w:tc>
        <w:tc>
          <w:tcPr>
            <w:tcW w:w="4772"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pPr>
            <w:r>
              <w:t xml:space="preserve">Cargo of other Ports reshipped without having left the VSPL's premises. </w:t>
            </w:r>
          </w:p>
        </w:tc>
        <w:tc>
          <w:tcPr>
            <w:tcW w:w="3596"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No </w:t>
            </w:r>
            <w:proofErr w:type="spellStart"/>
            <w:r>
              <w:t>wharfage</w:t>
            </w:r>
            <w:proofErr w:type="spellEnd"/>
            <w:r>
              <w:t xml:space="preserve"> at the time of shipment. </w:t>
            </w:r>
          </w:p>
        </w:tc>
      </w:tr>
    </w:tbl>
    <w:p w:rsidR="00B52947" w:rsidRDefault="00B52947" w:rsidP="00B52947">
      <w:pPr>
        <w:spacing w:after="0" w:line="259" w:lineRule="auto"/>
        <w:ind w:left="0" w:firstLine="0"/>
        <w:jc w:val="left"/>
      </w:pPr>
      <w:r>
        <w:t xml:space="preserve"> </w:t>
      </w:r>
    </w:p>
    <w:p w:rsidR="00B52947" w:rsidRDefault="00B52947" w:rsidP="00B52947">
      <w:pPr>
        <w:spacing w:after="0" w:line="259" w:lineRule="auto"/>
        <w:ind w:left="0" w:firstLine="0"/>
        <w:jc w:val="left"/>
      </w:pPr>
    </w:p>
    <w:p w:rsidR="00B52947" w:rsidRDefault="00B52947" w:rsidP="00B52947">
      <w:pPr>
        <w:spacing w:after="0" w:line="259" w:lineRule="auto"/>
        <w:ind w:left="0" w:firstLine="0"/>
        <w:jc w:val="left"/>
      </w:pPr>
    </w:p>
    <w:p w:rsidR="00B52947" w:rsidRDefault="00B52947" w:rsidP="00B52947">
      <w:pPr>
        <w:spacing w:after="0" w:line="259" w:lineRule="auto"/>
        <w:ind w:left="0" w:firstLine="0"/>
        <w:jc w:val="left"/>
      </w:pPr>
    </w:p>
    <w:p w:rsidR="00B52947" w:rsidRDefault="00B52947" w:rsidP="00B52947">
      <w:pPr>
        <w:tabs>
          <w:tab w:val="center" w:pos="2752"/>
        </w:tabs>
        <w:spacing w:after="3" w:line="259" w:lineRule="auto"/>
        <w:ind w:left="-15" w:firstLine="0"/>
        <w:jc w:val="left"/>
      </w:pPr>
      <w:r>
        <w:rPr>
          <w:b/>
        </w:rPr>
        <w:lastRenderedPageBreak/>
        <w:t xml:space="preserve">3.4. </w:t>
      </w:r>
      <w:r>
        <w:rPr>
          <w:b/>
        </w:rPr>
        <w:tab/>
        <w:t xml:space="preserve">CHARGES ON TRANSHIPMENT CARGOES  </w:t>
      </w:r>
    </w:p>
    <w:p w:rsidR="00B52947" w:rsidRDefault="00B52947" w:rsidP="00B52947">
      <w:pPr>
        <w:spacing w:after="0" w:line="259" w:lineRule="auto"/>
        <w:ind w:left="0" w:firstLine="0"/>
        <w:jc w:val="left"/>
      </w:pPr>
      <w:r>
        <w:rPr>
          <w:b/>
        </w:rPr>
        <w:t xml:space="preserve"> </w:t>
      </w:r>
    </w:p>
    <w:tbl>
      <w:tblPr>
        <w:tblStyle w:val="TableGrid"/>
        <w:tblW w:w="9230" w:type="dxa"/>
        <w:tblInd w:w="-108" w:type="dxa"/>
        <w:tblCellMar>
          <w:top w:w="7" w:type="dxa"/>
          <w:left w:w="108" w:type="dxa"/>
          <w:bottom w:w="0" w:type="dxa"/>
          <w:right w:w="59" w:type="dxa"/>
        </w:tblCellMar>
        <w:tblLook w:val="04A0" w:firstRow="1" w:lastRow="0" w:firstColumn="1" w:lastColumn="0" w:noHBand="0" w:noVBand="1"/>
      </w:tblPr>
      <w:tblGrid>
        <w:gridCol w:w="749"/>
        <w:gridCol w:w="4880"/>
        <w:gridCol w:w="3601"/>
      </w:tblGrid>
      <w:tr w:rsidR="00B52947" w:rsidTr="008D2954">
        <w:trPr>
          <w:trHeight w:val="468"/>
        </w:trPr>
        <w:tc>
          <w:tcPr>
            <w:tcW w:w="749"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center"/>
            </w:pPr>
            <w:r>
              <w:rPr>
                <w:b/>
              </w:rPr>
              <w:t xml:space="preserve">Item No. </w:t>
            </w:r>
          </w:p>
        </w:tc>
        <w:tc>
          <w:tcPr>
            <w:tcW w:w="4880"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3" w:firstLine="0"/>
              <w:jc w:val="center"/>
            </w:pPr>
            <w:r>
              <w:rPr>
                <w:b/>
              </w:rPr>
              <w:t xml:space="preserve">Description </w:t>
            </w:r>
          </w:p>
        </w:tc>
        <w:tc>
          <w:tcPr>
            <w:tcW w:w="3601"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3" w:firstLine="0"/>
              <w:jc w:val="center"/>
            </w:pPr>
            <w:r>
              <w:rPr>
                <w:b/>
              </w:rPr>
              <w:t xml:space="preserve">Charges Payable </w:t>
            </w:r>
          </w:p>
        </w:tc>
      </w:tr>
      <w:tr w:rsidR="00B52947" w:rsidTr="008D2954">
        <w:trPr>
          <w:trHeight w:val="470"/>
        </w:trPr>
        <w:tc>
          <w:tcPr>
            <w:tcW w:w="749"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1" w:firstLine="0"/>
              <w:jc w:val="center"/>
            </w:pPr>
            <w:r>
              <w:t xml:space="preserve">1. </w:t>
            </w:r>
          </w:p>
        </w:tc>
        <w:tc>
          <w:tcPr>
            <w:tcW w:w="488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pPr>
            <w:r>
              <w:t xml:space="preserve">On cargo landed from one vessel and subsequently shipped to another vessel.                                      </w:t>
            </w:r>
          </w:p>
        </w:tc>
        <w:tc>
          <w:tcPr>
            <w:tcW w:w="3601"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firstLine="0"/>
              <w:jc w:val="left"/>
            </w:pPr>
            <w:r>
              <w:t xml:space="preserve">150% of the applicable </w:t>
            </w:r>
            <w:proofErr w:type="spellStart"/>
            <w:r>
              <w:t>Wharfage</w:t>
            </w:r>
            <w:proofErr w:type="spellEnd"/>
            <w:r>
              <w:t xml:space="preserve"> </w:t>
            </w:r>
          </w:p>
        </w:tc>
      </w:tr>
    </w:tbl>
    <w:p w:rsidR="00B52947" w:rsidRDefault="00B52947" w:rsidP="00B52947">
      <w:pPr>
        <w:spacing w:after="0" w:line="259" w:lineRule="auto"/>
        <w:ind w:left="0" w:firstLine="0"/>
        <w:jc w:val="left"/>
      </w:pPr>
      <w:r>
        <w:t xml:space="preserve"> </w:t>
      </w:r>
    </w:p>
    <w:p w:rsidR="00B52947" w:rsidRDefault="00B52947" w:rsidP="00B52947">
      <w:pPr>
        <w:spacing w:after="3" w:line="259" w:lineRule="auto"/>
        <w:ind w:left="-5" w:hanging="10"/>
        <w:jc w:val="left"/>
      </w:pPr>
      <w:r>
        <w:rPr>
          <w:b/>
        </w:rPr>
        <w:t>Notes:</w:t>
      </w:r>
      <w:r>
        <w:t xml:space="preserve">  </w:t>
      </w:r>
    </w:p>
    <w:p w:rsidR="00B52947" w:rsidRDefault="00B52947" w:rsidP="00B52947">
      <w:pPr>
        <w:spacing w:after="17" w:line="259" w:lineRule="auto"/>
        <w:ind w:left="0" w:firstLine="0"/>
        <w:jc w:val="left"/>
      </w:pPr>
      <w:r>
        <w:t xml:space="preserve"> </w:t>
      </w:r>
    </w:p>
    <w:p w:rsidR="00B52947" w:rsidRDefault="00B52947" w:rsidP="00B52947">
      <w:pPr>
        <w:ind w:left="715"/>
      </w:pPr>
      <w:r>
        <w:t xml:space="preserve">(1). Cargo/container from a foreign port which reaches an Indian Port ‘A’ for subsequent transshipment to Indian Port ‘B’ will also qualify insofar as the concessional charges relevant for its coastal voyage.  In other words, cargo/containers from/to Indian Ports carried by vessels permitted to undertake coastal voyage will qualify for the concession. </w:t>
      </w:r>
    </w:p>
    <w:p w:rsidR="00B52947" w:rsidRDefault="00B52947" w:rsidP="00B52947">
      <w:pPr>
        <w:ind w:left="715"/>
      </w:pPr>
      <w:r>
        <w:t xml:space="preserve">(2). </w:t>
      </w:r>
      <w:proofErr w:type="gramStart"/>
      <w:r>
        <w:t>The</w:t>
      </w:r>
      <w:proofErr w:type="gramEnd"/>
      <w:r>
        <w:t xml:space="preserve"> concessional tariff prescribed for coastal cargo does not apply to the operations of loading/unloading on arrival/departure from/to a foreign port.  Concessional cargo related charges will be levied only for handling the consignment in related to its coastal voyage. </w:t>
      </w:r>
    </w:p>
    <w:p w:rsidR="00B52947" w:rsidRDefault="00B52947" w:rsidP="00B52947">
      <w:pPr>
        <w:spacing w:after="0" w:line="259" w:lineRule="auto"/>
        <w:ind w:left="0" w:firstLine="0"/>
        <w:jc w:val="left"/>
        <w:rPr>
          <w:b/>
        </w:rPr>
      </w:pPr>
      <w:r>
        <w:rPr>
          <w:b/>
        </w:rPr>
        <w:t xml:space="preserve"> </w:t>
      </w:r>
    </w:p>
    <w:p w:rsidR="00B52947" w:rsidRDefault="00B52947" w:rsidP="00B52947">
      <w:pPr>
        <w:tabs>
          <w:tab w:val="left" w:pos="1440"/>
        </w:tabs>
        <w:spacing w:after="0" w:line="259" w:lineRule="auto"/>
        <w:ind w:left="0" w:firstLine="0"/>
        <w:jc w:val="left"/>
      </w:pPr>
    </w:p>
    <w:p w:rsidR="00B52947" w:rsidRDefault="00B52947" w:rsidP="00B52947">
      <w:pPr>
        <w:tabs>
          <w:tab w:val="center" w:pos="3843"/>
        </w:tabs>
        <w:spacing w:after="3" w:line="259" w:lineRule="auto"/>
        <w:ind w:left="-15" w:firstLine="0"/>
        <w:jc w:val="left"/>
      </w:pPr>
      <w:r>
        <w:rPr>
          <w:b/>
        </w:rPr>
        <w:t xml:space="preserve">3.5.  </w:t>
      </w:r>
      <w:r>
        <w:rPr>
          <w:b/>
        </w:rPr>
        <w:tab/>
        <w:t xml:space="preserve">DEMURRAGE CHARGES (IMPORTS/ EXPORTS/TRANSHIPMENT): </w:t>
      </w:r>
    </w:p>
    <w:p w:rsidR="00B52947" w:rsidRDefault="00B52947" w:rsidP="00B52947">
      <w:pPr>
        <w:spacing w:after="0" w:line="259" w:lineRule="auto"/>
        <w:ind w:left="0" w:firstLine="0"/>
        <w:jc w:val="left"/>
      </w:pPr>
      <w:r>
        <w:t xml:space="preserve"> </w:t>
      </w:r>
    </w:p>
    <w:p w:rsidR="00B52947" w:rsidRDefault="00B52947" w:rsidP="00B52947">
      <w:pPr>
        <w:ind w:left="-15" w:firstLine="0"/>
      </w:pPr>
      <w:r>
        <w:t xml:space="preserve">The demurrage charges for cargo provided transit storage shall be levied on the cargoes after the expiry of free days as under. </w:t>
      </w:r>
    </w:p>
    <w:p w:rsidR="00B52947" w:rsidRDefault="00B52947" w:rsidP="00B52947">
      <w:pPr>
        <w:ind w:left="-15" w:firstLine="0"/>
      </w:pPr>
    </w:p>
    <w:tbl>
      <w:tblPr>
        <w:tblStyle w:val="TableGrid"/>
        <w:tblW w:w="9230" w:type="dxa"/>
        <w:tblInd w:w="-108" w:type="dxa"/>
        <w:tblCellMar>
          <w:top w:w="7" w:type="dxa"/>
          <w:left w:w="108" w:type="dxa"/>
          <w:bottom w:w="0" w:type="dxa"/>
          <w:right w:w="54" w:type="dxa"/>
        </w:tblCellMar>
        <w:tblLook w:val="04A0" w:firstRow="1" w:lastRow="0" w:firstColumn="1" w:lastColumn="0" w:noHBand="0" w:noVBand="1"/>
      </w:tblPr>
      <w:tblGrid>
        <w:gridCol w:w="830"/>
        <w:gridCol w:w="3368"/>
        <w:gridCol w:w="5032"/>
      </w:tblGrid>
      <w:tr w:rsidR="00B52947" w:rsidTr="008D2954">
        <w:trPr>
          <w:trHeight w:val="471"/>
        </w:trPr>
        <w:tc>
          <w:tcPr>
            <w:tcW w:w="83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center"/>
            </w:pPr>
            <w:r>
              <w:rPr>
                <w:b/>
              </w:rPr>
              <w:t xml:space="preserve">Item No. </w:t>
            </w:r>
          </w:p>
        </w:tc>
        <w:tc>
          <w:tcPr>
            <w:tcW w:w="3368"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7" w:firstLine="0"/>
              <w:jc w:val="center"/>
            </w:pPr>
            <w:r>
              <w:rPr>
                <w:b/>
              </w:rPr>
              <w:t xml:space="preserve">Description </w:t>
            </w:r>
          </w:p>
        </w:tc>
        <w:tc>
          <w:tcPr>
            <w:tcW w:w="5031"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7" w:firstLine="0"/>
              <w:jc w:val="center"/>
            </w:pPr>
            <w:r>
              <w:rPr>
                <w:b/>
              </w:rPr>
              <w:t xml:space="preserve">(Rate in </w:t>
            </w:r>
            <w:r>
              <w:rPr>
                <w:rFonts w:ascii="Malgun Gothic" w:eastAsia="Malgun Gothic" w:hAnsi="Malgun Gothic" w:cs="Malgun Gothic"/>
              </w:rPr>
              <w:t>`</w:t>
            </w:r>
            <w:r>
              <w:rPr>
                <w:b/>
              </w:rPr>
              <w:t xml:space="preserve">) </w:t>
            </w:r>
          </w:p>
        </w:tc>
      </w:tr>
      <w:tr w:rsidR="00B52947" w:rsidTr="008D2954">
        <w:trPr>
          <w:trHeight w:val="586"/>
        </w:trPr>
        <w:tc>
          <w:tcPr>
            <w:tcW w:w="830"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6" w:firstLine="0"/>
              <w:jc w:val="center"/>
            </w:pPr>
            <w:r>
              <w:t xml:space="preserve">1. </w:t>
            </w:r>
          </w:p>
        </w:tc>
        <w:tc>
          <w:tcPr>
            <w:tcW w:w="3368"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pPr>
            <w:r>
              <w:t xml:space="preserve">For the first ten days after the expiry of free period. </w:t>
            </w:r>
          </w:p>
        </w:tc>
        <w:tc>
          <w:tcPr>
            <w:tcW w:w="503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pPr>
            <w:r>
              <w:rPr>
                <w:rFonts w:ascii="Malgun Gothic" w:eastAsia="Malgun Gothic" w:hAnsi="Malgun Gothic" w:cs="Malgun Gothic"/>
              </w:rPr>
              <w:t>`</w:t>
            </w:r>
            <w:r>
              <w:t xml:space="preserve">12.00 per </w:t>
            </w:r>
            <w:proofErr w:type="spellStart"/>
            <w:r>
              <w:t>tonne</w:t>
            </w:r>
            <w:proofErr w:type="spellEnd"/>
            <w:r>
              <w:t xml:space="preserve">/Cu. meter or part thereof for every day or part </w:t>
            </w:r>
            <w:proofErr w:type="spellStart"/>
            <w:r>
              <w:t>there of</w:t>
            </w:r>
            <w:proofErr w:type="spellEnd"/>
            <w:r>
              <w:t xml:space="preserve">. </w:t>
            </w:r>
          </w:p>
        </w:tc>
      </w:tr>
      <w:tr w:rsidR="00B52947" w:rsidTr="008D2954">
        <w:trPr>
          <w:trHeight w:val="586"/>
        </w:trPr>
        <w:tc>
          <w:tcPr>
            <w:tcW w:w="830"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6" w:firstLine="0"/>
              <w:jc w:val="center"/>
            </w:pPr>
            <w:r>
              <w:t xml:space="preserve">2. </w:t>
            </w:r>
          </w:p>
        </w:tc>
        <w:tc>
          <w:tcPr>
            <w:tcW w:w="3368"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firstLine="0"/>
              <w:jc w:val="left"/>
            </w:pPr>
            <w:r>
              <w:t xml:space="preserve">Thereafter. </w:t>
            </w:r>
          </w:p>
        </w:tc>
        <w:tc>
          <w:tcPr>
            <w:tcW w:w="503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pPr>
            <w:r>
              <w:rPr>
                <w:rFonts w:ascii="Malgun Gothic" w:eastAsia="Malgun Gothic" w:hAnsi="Malgun Gothic" w:cs="Malgun Gothic"/>
              </w:rPr>
              <w:t>`</w:t>
            </w:r>
            <w:r>
              <w:t xml:space="preserve">24.00 </w:t>
            </w:r>
            <w:proofErr w:type="gramStart"/>
            <w:r>
              <w:t>per</w:t>
            </w:r>
            <w:proofErr w:type="gramEnd"/>
            <w:r>
              <w:t xml:space="preserve"> </w:t>
            </w:r>
            <w:proofErr w:type="spellStart"/>
            <w:r>
              <w:t>tonne</w:t>
            </w:r>
            <w:proofErr w:type="spellEnd"/>
            <w:r>
              <w:t xml:space="preserve">/Cu. meter or part thereof for every day or part thereof. </w:t>
            </w:r>
          </w:p>
        </w:tc>
      </w:tr>
    </w:tbl>
    <w:p w:rsidR="00B52947" w:rsidRDefault="00B52947" w:rsidP="00B52947">
      <w:pPr>
        <w:spacing w:after="3" w:line="259" w:lineRule="auto"/>
        <w:ind w:left="-5" w:hanging="10"/>
        <w:jc w:val="left"/>
        <w:rPr>
          <w:b/>
        </w:rPr>
      </w:pPr>
    </w:p>
    <w:p w:rsidR="00B52947" w:rsidRDefault="00B52947" w:rsidP="00B52947">
      <w:pPr>
        <w:spacing w:after="3" w:line="259" w:lineRule="auto"/>
        <w:ind w:left="-5" w:hanging="10"/>
        <w:jc w:val="left"/>
      </w:pPr>
      <w:r>
        <w:rPr>
          <w:b/>
        </w:rPr>
        <w:t xml:space="preserve">Notes: </w:t>
      </w:r>
    </w:p>
    <w:p w:rsidR="00B52947" w:rsidRDefault="00B52947" w:rsidP="00B52947">
      <w:pPr>
        <w:spacing w:after="0" w:line="259" w:lineRule="auto"/>
        <w:ind w:left="0" w:firstLine="0"/>
        <w:jc w:val="left"/>
      </w:pPr>
      <w:r>
        <w:rPr>
          <w:b/>
        </w:rPr>
        <w:t xml:space="preserve"> </w:t>
      </w:r>
    </w:p>
    <w:tbl>
      <w:tblPr>
        <w:tblStyle w:val="TableGrid"/>
        <w:tblW w:w="8798" w:type="dxa"/>
        <w:tblInd w:w="0" w:type="dxa"/>
        <w:tblCellMar>
          <w:top w:w="0" w:type="dxa"/>
          <w:left w:w="0" w:type="dxa"/>
          <w:bottom w:w="0" w:type="dxa"/>
          <w:right w:w="0" w:type="dxa"/>
        </w:tblCellMar>
        <w:tblLook w:val="04A0" w:firstRow="1" w:lastRow="0" w:firstColumn="1" w:lastColumn="0" w:noHBand="0" w:noVBand="1"/>
      </w:tblPr>
      <w:tblGrid>
        <w:gridCol w:w="622"/>
        <w:gridCol w:w="8176"/>
      </w:tblGrid>
      <w:tr w:rsidR="00B52947" w:rsidTr="008D2954">
        <w:trPr>
          <w:trHeight w:val="1145"/>
        </w:trPr>
        <w:tc>
          <w:tcPr>
            <w:tcW w:w="622" w:type="dxa"/>
            <w:tcBorders>
              <w:top w:val="nil"/>
              <w:left w:val="nil"/>
              <w:bottom w:val="nil"/>
              <w:right w:val="nil"/>
            </w:tcBorders>
          </w:tcPr>
          <w:p w:rsidR="00B52947" w:rsidRDefault="00B52947" w:rsidP="008D2954">
            <w:pPr>
              <w:spacing w:after="672" w:line="259" w:lineRule="auto"/>
              <w:ind w:left="0" w:firstLine="0"/>
              <w:jc w:val="left"/>
            </w:pPr>
            <w:r>
              <w:t xml:space="preserve">(1). </w:t>
            </w:r>
          </w:p>
          <w:p w:rsidR="00B52947" w:rsidRDefault="00B52947" w:rsidP="008D2954">
            <w:pPr>
              <w:spacing w:after="0" w:line="259" w:lineRule="auto"/>
              <w:ind w:left="0" w:firstLine="0"/>
              <w:jc w:val="left"/>
            </w:pPr>
            <w:r>
              <w:t xml:space="preserve"> </w:t>
            </w:r>
          </w:p>
        </w:tc>
        <w:tc>
          <w:tcPr>
            <w:tcW w:w="8177" w:type="dxa"/>
            <w:tcBorders>
              <w:top w:val="nil"/>
              <w:left w:val="nil"/>
              <w:bottom w:val="nil"/>
              <w:right w:val="nil"/>
            </w:tcBorders>
          </w:tcPr>
          <w:p w:rsidR="00B52947" w:rsidRDefault="00B52947" w:rsidP="008D2954">
            <w:pPr>
              <w:spacing w:after="0" w:line="259" w:lineRule="auto"/>
              <w:ind w:left="98" w:right="61" w:firstLine="0"/>
            </w:pPr>
            <w:r>
              <w:t xml:space="preserve">In case of goods for which </w:t>
            </w:r>
            <w:proofErr w:type="spellStart"/>
            <w:r>
              <w:t>wharfage</w:t>
            </w:r>
            <w:proofErr w:type="spellEnd"/>
            <w:r>
              <w:t xml:space="preserve"> charges are collected on '</w:t>
            </w:r>
            <w:proofErr w:type="spellStart"/>
            <w:r>
              <w:t>advalorem</w:t>
            </w:r>
            <w:proofErr w:type="spellEnd"/>
            <w:r>
              <w:t xml:space="preserve">' basis, demurrage shall be levied on ‘per </w:t>
            </w:r>
            <w:proofErr w:type="spellStart"/>
            <w:r>
              <w:t>tonne</w:t>
            </w:r>
            <w:proofErr w:type="spellEnd"/>
            <w:r>
              <w:t xml:space="preserve">’ basis.  In all other cases demurrage shall be levied on ‘per </w:t>
            </w:r>
            <w:proofErr w:type="spellStart"/>
            <w:r>
              <w:t>tonne</w:t>
            </w:r>
            <w:proofErr w:type="spellEnd"/>
            <w:r>
              <w:t xml:space="preserve">’ basis or 'per cubic </w:t>
            </w:r>
            <w:proofErr w:type="spellStart"/>
            <w:r>
              <w:t>metre</w:t>
            </w:r>
            <w:proofErr w:type="spellEnd"/>
            <w:r>
              <w:t xml:space="preserve">' basis as the case may be based on the </w:t>
            </w:r>
            <w:proofErr w:type="spellStart"/>
            <w:r>
              <w:t>wharfage</w:t>
            </w:r>
            <w:proofErr w:type="spellEnd"/>
            <w:r>
              <w:t xml:space="preserve"> charges collected. </w:t>
            </w:r>
          </w:p>
        </w:tc>
      </w:tr>
      <w:tr w:rsidR="00B52947" w:rsidTr="008D2954">
        <w:trPr>
          <w:trHeight w:val="3221"/>
        </w:trPr>
        <w:tc>
          <w:tcPr>
            <w:tcW w:w="622" w:type="dxa"/>
            <w:tcBorders>
              <w:top w:val="nil"/>
              <w:left w:val="nil"/>
              <w:bottom w:val="nil"/>
              <w:right w:val="nil"/>
            </w:tcBorders>
          </w:tcPr>
          <w:p w:rsidR="00B52947" w:rsidRDefault="00B52947" w:rsidP="008D2954">
            <w:pPr>
              <w:spacing w:after="0" w:line="259" w:lineRule="auto"/>
              <w:ind w:left="0" w:firstLine="0"/>
              <w:jc w:val="left"/>
            </w:pPr>
            <w:r>
              <w:t xml:space="preserve">(2). </w:t>
            </w:r>
          </w:p>
          <w:p w:rsidR="00B52947" w:rsidRDefault="00B52947" w:rsidP="008D2954">
            <w:pPr>
              <w:spacing w:after="672" w:line="259" w:lineRule="auto"/>
              <w:ind w:left="0" w:firstLine="0"/>
              <w:jc w:val="left"/>
            </w:pPr>
            <w:r>
              <w:t xml:space="preserve"> </w:t>
            </w:r>
          </w:p>
          <w:p w:rsidR="00B52947" w:rsidRDefault="00B52947" w:rsidP="008D2954">
            <w:pPr>
              <w:spacing w:after="0" w:line="259" w:lineRule="auto"/>
              <w:ind w:left="0" w:firstLine="0"/>
              <w:jc w:val="left"/>
            </w:pPr>
            <w:r>
              <w:t xml:space="preserve"> </w:t>
            </w:r>
          </w:p>
        </w:tc>
        <w:tc>
          <w:tcPr>
            <w:tcW w:w="8177" w:type="dxa"/>
            <w:tcBorders>
              <w:top w:val="nil"/>
              <w:left w:val="nil"/>
              <w:bottom w:val="nil"/>
              <w:right w:val="nil"/>
            </w:tcBorders>
          </w:tcPr>
          <w:p w:rsidR="00B52947" w:rsidRDefault="00B52947" w:rsidP="008D2954">
            <w:pPr>
              <w:spacing w:after="211" w:line="259" w:lineRule="auto"/>
              <w:ind w:left="98" w:firstLine="0"/>
              <w:jc w:val="left"/>
            </w:pPr>
            <w:r>
              <w:t xml:space="preserve"> All goods shall be allowed free storage as indicated below: </w:t>
            </w:r>
          </w:p>
          <w:p w:rsidR="00B52947" w:rsidRDefault="00B52947" w:rsidP="008D2954">
            <w:pPr>
              <w:tabs>
                <w:tab w:val="center" w:pos="1189"/>
              </w:tabs>
              <w:spacing w:after="14" w:line="259" w:lineRule="auto"/>
              <w:ind w:left="0" w:firstLine="0"/>
              <w:jc w:val="left"/>
            </w:pPr>
            <w:r>
              <w:t xml:space="preserve">(i). </w:t>
            </w:r>
            <w:r>
              <w:tab/>
            </w:r>
            <w:r>
              <w:rPr>
                <w:b/>
              </w:rPr>
              <w:t xml:space="preserve">Exports </w:t>
            </w:r>
          </w:p>
          <w:p w:rsidR="00B52947" w:rsidRDefault="00B52947" w:rsidP="008D2954">
            <w:pPr>
              <w:spacing w:after="227" w:line="242" w:lineRule="auto"/>
              <w:ind w:left="1539" w:hanging="721"/>
            </w:pPr>
            <w:r>
              <w:t>(</w:t>
            </w:r>
            <w:proofErr w:type="gramStart"/>
            <w:r>
              <w:t>a</w:t>
            </w:r>
            <w:proofErr w:type="gramEnd"/>
            <w:r>
              <w:t>). 20 days (excluding Customs holidays and VS</w:t>
            </w:r>
            <w:r>
              <w:t xml:space="preserve">PL’s non-working days) from the </w:t>
            </w:r>
            <w:r>
              <w:t xml:space="preserve">actual date of the receipt of the goods in the VSPL premises. </w:t>
            </w:r>
          </w:p>
          <w:p w:rsidR="00B52947" w:rsidRDefault="00B52947" w:rsidP="008D2954">
            <w:pPr>
              <w:tabs>
                <w:tab w:val="center" w:pos="1184"/>
              </w:tabs>
              <w:spacing w:after="8" w:line="259" w:lineRule="auto"/>
              <w:ind w:left="0" w:firstLine="0"/>
              <w:jc w:val="left"/>
            </w:pPr>
            <w:r>
              <w:t xml:space="preserve">(ii). </w:t>
            </w:r>
            <w:r>
              <w:tab/>
            </w:r>
            <w:r>
              <w:rPr>
                <w:b/>
              </w:rPr>
              <w:t xml:space="preserve">Imports </w:t>
            </w:r>
          </w:p>
          <w:p w:rsidR="00B52947" w:rsidRDefault="00B52947" w:rsidP="008D2954">
            <w:pPr>
              <w:spacing w:after="1" w:line="240" w:lineRule="auto"/>
              <w:ind w:left="1539" w:right="58" w:hanging="721"/>
            </w:pPr>
            <w:r>
              <w:t>(a). Three days (excluding Customs holidays an</w:t>
            </w:r>
            <w:r>
              <w:t xml:space="preserve">d VSPL’s non-working days) from </w:t>
            </w:r>
            <w:r>
              <w:t xml:space="preserve">the day following the day of completion of final discharge and in the case of salvaged goods, from the day following the day of salvage. </w:t>
            </w:r>
          </w:p>
          <w:p w:rsidR="00B52947" w:rsidRDefault="00B52947" w:rsidP="008D2954">
            <w:pPr>
              <w:spacing w:after="0" w:line="259" w:lineRule="auto"/>
              <w:ind w:left="1539" w:right="55" w:hanging="721"/>
            </w:pPr>
            <w:r>
              <w:t xml:space="preserve">(b). Where goods are landed by the vessel into lighters, barges or other floating crafts, the free days shall be calculated from the day of complete discharge of the goods from the lighters, barges or other floating craft, on the wharf or jetty.  </w:t>
            </w:r>
          </w:p>
        </w:tc>
      </w:tr>
      <w:tr w:rsidR="00B52947" w:rsidTr="008D2954">
        <w:trPr>
          <w:trHeight w:val="1148"/>
        </w:trPr>
        <w:tc>
          <w:tcPr>
            <w:tcW w:w="622" w:type="dxa"/>
            <w:tcBorders>
              <w:top w:val="nil"/>
              <w:left w:val="nil"/>
              <w:bottom w:val="nil"/>
              <w:right w:val="nil"/>
            </w:tcBorders>
          </w:tcPr>
          <w:p w:rsidR="00B52947" w:rsidRDefault="00B52947" w:rsidP="008D2954">
            <w:pPr>
              <w:spacing w:after="672" w:line="259" w:lineRule="auto"/>
              <w:ind w:left="0" w:firstLine="0"/>
              <w:jc w:val="left"/>
            </w:pPr>
            <w:r>
              <w:lastRenderedPageBreak/>
              <w:t xml:space="preserve"> </w:t>
            </w:r>
          </w:p>
          <w:p w:rsidR="00B52947" w:rsidRDefault="00B52947" w:rsidP="008D2954">
            <w:pPr>
              <w:spacing w:after="0" w:line="259" w:lineRule="auto"/>
              <w:ind w:left="0" w:firstLine="0"/>
              <w:jc w:val="left"/>
            </w:pPr>
            <w:r>
              <w:t xml:space="preserve"> </w:t>
            </w:r>
          </w:p>
        </w:tc>
        <w:tc>
          <w:tcPr>
            <w:tcW w:w="8177" w:type="dxa"/>
            <w:tcBorders>
              <w:top w:val="nil"/>
              <w:left w:val="nil"/>
              <w:bottom w:val="nil"/>
              <w:right w:val="nil"/>
            </w:tcBorders>
          </w:tcPr>
          <w:p w:rsidR="00B52947" w:rsidRDefault="00B52947" w:rsidP="008D2954">
            <w:pPr>
              <w:spacing w:after="0" w:line="259" w:lineRule="auto"/>
              <w:ind w:left="98" w:firstLine="0"/>
              <w:jc w:val="left"/>
            </w:pPr>
            <w:r>
              <w:t xml:space="preserve"> </w:t>
            </w:r>
          </w:p>
          <w:p w:rsidR="00B52947" w:rsidRDefault="00B52947" w:rsidP="008D2954">
            <w:pPr>
              <w:tabs>
                <w:tab w:val="center" w:pos="1794"/>
              </w:tabs>
              <w:spacing w:after="15" w:line="259" w:lineRule="auto"/>
              <w:ind w:left="0" w:firstLine="0"/>
              <w:jc w:val="left"/>
            </w:pPr>
            <w:r>
              <w:t>(iii).</w:t>
            </w:r>
            <w:r>
              <w:rPr>
                <w:b/>
              </w:rPr>
              <w:t xml:space="preserve">  </w:t>
            </w:r>
            <w:r>
              <w:rPr>
                <w:b/>
              </w:rPr>
              <w:tab/>
            </w:r>
            <w:proofErr w:type="spellStart"/>
            <w:r>
              <w:rPr>
                <w:b/>
              </w:rPr>
              <w:t>Transhipment</w:t>
            </w:r>
            <w:proofErr w:type="spellEnd"/>
            <w:r>
              <w:rPr>
                <w:b/>
              </w:rPr>
              <w:t xml:space="preserve"> Cargo </w:t>
            </w:r>
          </w:p>
          <w:p w:rsidR="00B52947" w:rsidRDefault="00B52947" w:rsidP="008D2954">
            <w:pPr>
              <w:spacing w:after="0" w:line="259" w:lineRule="auto"/>
              <w:ind w:left="818" w:firstLine="0"/>
            </w:pPr>
            <w:r>
              <w:t xml:space="preserve">10 days (excluding Customs holidays and VSPL’s non-working days) from the last day of discharge of cargo from the VSPL premises.  </w:t>
            </w:r>
          </w:p>
        </w:tc>
      </w:tr>
      <w:tr w:rsidR="00B52947" w:rsidTr="008D2954">
        <w:trPr>
          <w:trHeight w:val="358"/>
        </w:trPr>
        <w:tc>
          <w:tcPr>
            <w:tcW w:w="622" w:type="dxa"/>
            <w:tcBorders>
              <w:top w:val="nil"/>
              <w:left w:val="nil"/>
              <w:bottom w:val="nil"/>
              <w:right w:val="nil"/>
            </w:tcBorders>
          </w:tcPr>
          <w:p w:rsidR="00B52947" w:rsidRDefault="00B52947" w:rsidP="008D2954">
            <w:pPr>
              <w:spacing w:after="444" w:line="259" w:lineRule="auto"/>
              <w:ind w:left="0" w:firstLine="0"/>
              <w:jc w:val="left"/>
            </w:pPr>
            <w:r>
              <w:t>(3).</w:t>
            </w:r>
            <w:r>
              <w:rPr>
                <w:b/>
              </w:rPr>
              <w:t xml:space="preserve"> </w:t>
            </w:r>
          </w:p>
          <w:p w:rsidR="00B52947" w:rsidRDefault="00B52947" w:rsidP="008D2954">
            <w:pPr>
              <w:spacing w:after="444" w:line="259" w:lineRule="auto"/>
              <w:ind w:left="0" w:firstLine="0"/>
              <w:jc w:val="left"/>
            </w:pPr>
            <w:r>
              <w:t xml:space="preserve"> </w:t>
            </w:r>
          </w:p>
          <w:p w:rsidR="00B52947" w:rsidRDefault="00B52947" w:rsidP="008D2954">
            <w:pPr>
              <w:spacing w:after="1133" w:line="259" w:lineRule="auto"/>
              <w:ind w:left="0" w:firstLine="0"/>
              <w:jc w:val="left"/>
            </w:pPr>
            <w:r>
              <w:t xml:space="preserve"> </w:t>
            </w:r>
          </w:p>
          <w:p w:rsidR="00B52947" w:rsidRDefault="00B52947" w:rsidP="008D2954">
            <w:pPr>
              <w:spacing w:after="903" w:line="259" w:lineRule="auto"/>
              <w:ind w:left="0" w:firstLine="0"/>
              <w:jc w:val="left"/>
            </w:pPr>
            <w:r>
              <w:t xml:space="preserve"> </w:t>
            </w:r>
          </w:p>
          <w:p w:rsidR="00B52947" w:rsidRDefault="00B52947" w:rsidP="008D2954">
            <w:pPr>
              <w:spacing w:after="0" w:line="259" w:lineRule="auto"/>
              <w:ind w:left="0" w:firstLine="0"/>
              <w:jc w:val="left"/>
            </w:pPr>
            <w:r>
              <w:t xml:space="preserve"> </w:t>
            </w:r>
          </w:p>
        </w:tc>
        <w:tc>
          <w:tcPr>
            <w:tcW w:w="8177" w:type="dxa"/>
            <w:tcBorders>
              <w:top w:val="nil"/>
              <w:left w:val="nil"/>
              <w:bottom w:val="nil"/>
              <w:right w:val="nil"/>
            </w:tcBorders>
          </w:tcPr>
          <w:p w:rsidR="00B52947" w:rsidRDefault="00B52947" w:rsidP="008D2954">
            <w:pPr>
              <w:spacing w:after="0" w:line="259" w:lineRule="auto"/>
              <w:ind w:left="98" w:firstLine="0"/>
              <w:jc w:val="left"/>
            </w:pPr>
            <w:r>
              <w:rPr>
                <w:b/>
              </w:rPr>
              <w:t xml:space="preserve">Demurrage on goods detained: </w:t>
            </w:r>
          </w:p>
          <w:p w:rsidR="00B52947" w:rsidRDefault="00B52947" w:rsidP="008D2954">
            <w:pPr>
              <w:spacing w:after="230" w:line="241" w:lineRule="auto"/>
              <w:ind w:left="98" w:firstLine="0"/>
            </w:pPr>
            <w:r>
              <w:t xml:space="preserve">The following periods shall be excluded from the calculation of any period for which free storage is allowed under this rule viz.: </w:t>
            </w:r>
          </w:p>
          <w:p w:rsidR="00B52947" w:rsidRDefault="00B52947" w:rsidP="008D2954">
            <w:pPr>
              <w:spacing w:after="221" w:line="248" w:lineRule="auto"/>
              <w:ind w:left="818" w:hanging="720"/>
              <w:jc w:val="left"/>
            </w:pPr>
            <w:r>
              <w:t xml:space="preserve">(i). </w:t>
            </w:r>
            <w:r>
              <w:tab/>
              <w:t xml:space="preserve">Any period during which goods are detained by the Health Officer before being destroyed. </w:t>
            </w:r>
          </w:p>
          <w:p w:rsidR="00B52947" w:rsidRDefault="00B52947" w:rsidP="008D2954">
            <w:pPr>
              <w:spacing w:after="228" w:line="241" w:lineRule="auto"/>
              <w:ind w:left="818" w:right="55" w:hanging="720"/>
            </w:pPr>
            <w:r>
              <w:t xml:space="preserve">(ii). Periods during which the goods are detained by the Commissioner of Customs for the purpose of special examination involving analytical or technical test other than the ordinary process of appraisement and certified by the Commissioner of Customs to be not attributable to any fault or negligence on the part of the Importers/Exporters;     </w:t>
            </w:r>
          </w:p>
          <w:p w:rsidR="00B52947" w:rsidRDefault="00B52947" w:rsidP="008D2954">
            <w:pPr>
              <w:spacing w:after="231" w:line="241" w:lineRule="auto"/>
              <w:ind w:left="818" w:right="55" w:hanging="720"/>
            </w:pPr>
            <w:r>
              <w:t>(iii). Where goods are detained by the Commissioner of Customs on account of Import/ Export Control formalities and the delay is certified by the Commissioner of Customs to be not attributable to any fault or negligence on the part of the Importer/Exporter,</w:t>
            </w:r>
          </w:p>
          <w:p w:rsidR="00B52947" w:rsidRDefault="00B52947" w:rsidP="008D2954">
            <w:pPr>
              <w:spacing w:after="231" w:line="241" w:lineRule="auto"/>
              <w:ind w:left="818" w:right="55" w:hanging="720"/>
            </w:pPr>
          </w:p>
          <w:p w:rsidR="00B52947" w:rsidRDefault="00B52947" w:rsidP="008D2954">
            <w:pPr>
              <w:spacing w:after="231" w:line="241" w:lineRule="auto"/>
              <w:ind w:left="0" w:right="55" w:firstLine="0"/>
            </w:pPr>
            <w:r>
              <w:t>For such period of detention demurrage charges shall be recovered as under:</w:t>
            </w:r>
          </w:p>
        </w:tc>
      </w:tr>
      <w:tr w:rsidR="00B52947" w:rsidTr="008D2954">
        <w:trPr>
          <w:trHeight w:val="229"/>
        </w:trPr>
        <w:tc>
          <w:tcPr>
            <w:tcW w:w="622" w:type="dxa"/>
            <w:tcBorders>
              <w:top w:val="nil"/>
              <w:left w:val="nil"/>
              <w:bottom w:val="nil"/>
              <w:right w:val="nil"/>
            </w:tcBorders>
          </w:tcPr>
          <w:p w:rsidR="00B52947" w:rsidRDefault="00B52947" w:rsidP="008D2954">
            <w:pPr>
              <w:spacing w:after="0" w:line="259" w:lineRule="auto"/>
              <w:ind w:left="0" w:firstLine="0"/>
              <w:jc w:val="left"/>
            </w:pPr>
            <w:r>
              <w:t xml:space="preserve"> </w:t>
            </w:r>
          </w:p>
        </w:tc>
        <w:tc>
          <w:tcPr>
            <w:tcW w:w="8177" w:type="dxa"/>
            <w:tcBorders>
              <w:top w:val="nil"/>
              <w:left w:val="nil"/>
              <w:bottom w:val="nil"/>
              <w:right w:val="nil"/>
            </w:tcBorders>
          </w:tcPr>
          <w:p w:rsidR="00B52947" w:rsidRDefault="00B52947" w:rsidP="008D2954">
            <w:pPr>
              <w:tabs>
                <w:tab w:val="center" w:pos="1388"/>
                <w:tab w:val="center" w:pos="2979"/>
                <w:tab w:val="center" w:pos="3727"/>
                <w:tab w:val="center" w:pos="4625"/>
              </w:tabs>
              <w:spacing w:after="0" w:line="259" w:lineRule="auto"/>
              <w:ind w:left="0" w:firstLine="0"/>
              <w:jc w:val="left"/>
            </w:pPr>
            <w:r>
              <w:t xml:space="preserve"> </w:t>
            </w:r>
            <w:r>
              <w:tab/>
              <w:t xml:space="preserve">First 45 days       </w:t>
            </w:r>
            <w:r>
              <w:tab/>
              <w:t xml:space="preserve"> </w:t>
            </w:r>
            <w:r>
              <w:tab/>
              <w:t xml:space="preserve">:   </w:t>
            </w:r>
            <w:r>
              <w:tab/>
              <w:t xml:space="preserve">Free </w:t>
            </w:r>
          </w:p>
        </w:tc>
      </w:tr>
      <w:tr w:rsidR="00B52947" w:rsidTr="008D2954">
        <w:trPr>
          <w:trHeight w:val="687"/>
        </w:trPr>
        <w:tc>
          <w:tcPr>
            <w:tcW w:w="622" w:type="dxa"/>
            <w:tcBorders>
              <w:top w:val="nil"/>
              <w:left w:val="nil"/>
              <w:bottom w:val="nil"/>
              <w:right w:val="nil"/>
            </w:tcBorders>
          </w:tcPr>
          <w:p w:rsidR="00B52947" w:rsidRDefault="00B52947" w:rsidP="008D2954">
            <w:pPr>
              <w:spacing w:after="213" w:line="259" w:lineRule="auto"/>
              <w:ind w:left="0" w:firstLine="0"/>
              <w:jc w:val="left"/>
            </w:pPr>
            <w:r>
              <w:t xml:space="preserve"> </w:t>
            </w:r>
          </w:p>
          <w:p w:rsidR="00B52947" w:rsidRDefault="00B52947" w:rsidP="008D2954">
            <w:pPr>
              <w:spacing w:after="0" w:line="259" w:lineRule="auto"/>
              <w:ind w:left="0" w:firstLine="0"/>
              <w:jc w:val="left"/>
            </w:pPr>
            <w:r>
              <w:t xml:space="preserve"> </w:t>
            </w:r>
          </w:p>
        </w:tc>
        <w:tc>
          <w:tcPr>
            <w:tcW w:w="8177" w:type="dxa"/>
            <w:tcBorders>
              <w:top w:val="nil"/>
              <w:left w:val="nil"/>
              <w:bottom w:val="nil"/>
              <w:right w:val="nil"/>
            </w:tcBorders>
          </w:tcPr>
          <w:p w:rsidR="00B52947" w:rsidRDefault="00B52947" w:rsidP="008D2954">
            <w:pPr>
              <w:tabs>
                <w:tab w:val="center" w:pos="1656"/>
                <w:tab w:val="center" w:pos="2979"/>
                <w:tab w:val="center" w:pos="3727"/>
                <w:tab w:val="center" w:pos="5918"/>
              </w:tabs>
              <w:spacing w:after="0" w:line="259" w:lineRule="auto"/>
              <w:ind w:left="0" w:firstLine="0"/>
              <w:jc w:val="left"/>
            </w:pPr>
            <w:r>
              <w:t xml:space="preserve"> </w:t>
            </w:r>
            <w:r>
              <w:tab/>
              <w:t xml:space="preserve">46 days to 90 days    </w:t>
            </w:r>
            <w:r>
              <w:tab/>
              <w:t xml:space="preserve"> </w:t>
            </w:r>
            <w:r>
              <w:tab/>
              <w:t xml:space="preserve">:   </w:t>
            </w:r>
            <w:r>
              <w:tab/>
              <w:t xml:space="preserve">50% of actual demurrage charges </w:t>
            </w:r>
          </w:p>
          <w:p w:rsidR="00B52947" w:rsidRDefault="00B52947" w:rsidP="008D2954">
            <w:pPr>
              <w:tabs>
                <w:tab w:val="center" w:pos="1534"/>
                <w:tab w:val="center" w:pos="3727"/>
                <w:tab w:val="center" w:pos="5975"/>
              </w:tabs>
              <w:spacing w:after="0" w:line="259" w:lineRule="auto"/>
              <w:ind w:left="0" w:firstLine="0"/>
              <w:jc w:val="left"/>
            </w:pPr>
            <w:r>
              <w:rPr>
                <w:rFonts w:ascii="Calibri" w:eastAsia="Calibri" w:hAnsi="Calibri" w:cs="Calibri"/>
                <w:sz w:val="22"/>
              </w:rPr>
              <w:tab/>
            </w:r>
            <w:r>
              <w:t xml:space="preserve">Beyond 90 days       </w:t>
            </w:r>
            <w:r>
              <w:tab/>
              <w:t xml:space="preserve">:  </w:t>
            </w:r>
            <w:r>
              <w:tab/>
              <w:t xml:space="preserve">100% of actual demurrage charges </w:t>
            </w:r>
          </w:p>
        </w:tc>
      </w:tr>
    </w:tbl>
    <w:p w:rsidR="00B52947" w:rsidRDefault="00B52947" w:rsidP="00B52947">
      <w:pPr>
        <w:ind w:left="1440" w:firstLine="0"/>
      </w:pPr>
      <w:r>
        <w:t xml:space="preserve">Actual demurrage charges at full rate shall be worked out as per Scale of Rates at the appropriate slab as applicable after 45 days and the concessional rate mentioned above shall be applied thereon on the full demurrage charges </w:t>
      </w:r>
      <w:proofErr w:type="spellStart"/>
      <w:r>
        <w:t>leviable</w:t>
      </w:r>
      <w:proofErr w:type="spellEnd"/>
      <w:r>
        <w:t xml:space="preserve">. </w:t>
      </w:r>
    </w:p>
    <w:p w:rsidR="00B52947" w:rsidRDefault="00B52947" w:rsidP="00B52947">
      <w:pPr>
        <w:spacing w:after="0" w:line="259" w:lineRule="auto"/>
        <w:ind w:left="0" w:firstLine="0"/>
        <w:jc w:val="left"/>
      </w:pPr>
      <w:r>
        <w:t xml:space="preserve"> </w:t>
      </w:r>
    </w:p>
    <w:p w:rsidR="00B52947" w:rsidRDefault="00B52947" w:rsidP="00B52947">
      <w:pPr>
        <w:ind w:left="1440" w:firstLine="0"/>
      </w:pPr>
      <w:r>
        <w:t xml:space="preserve">The first 45 days shall be reckoned with as follows: </w:t>
      </w:r>
    </w:p>
    <w:p w:rsidR="00B52947" w:rsidRDefault="00B52947" w:rsidP="00B52947">
      <w:pPr>
        <w:ind w:left="2170"/>
      </w:pPr>
      <w:r>
        <w:t>(</w:t>
      </w:r>
      <w:proofErr w:type="gramStart"/>
      <w:r>
        <w:t>a</w:t>
      </w:r>
      <w:proofErr w:type="gramEnd"/>
      <w:r>
        <w:t xml:space="preserve">). First 45 days after expiry of free days if cargo is detained by the Customs before expiry of free days; and,  </w:t>
      </w:r>
    </w:p>
    <w:p w:rsidR="00B52947" w:rsidRDefault="00B52947" w:rsidP="00B52947">
      <w:pPr>
        <w:ind w:left="2170"/>
      </w:pPr>
      <w:r>
        <w:t xml:space="preserve">(b). First 45 days from the date of detention if cargo is detained by the Customs after accrual of demurrage charges. </w:t>
      </w:r>
    </w:p>
    <w:p w:rsidR="00B52947" w:rsidRDefault="00B52947" w:rsidP="00B52947">
      <w:pPr>
        <w:ind w:left="1440" w:firstLine="0"/>
      </w:pPr>
      <w:r>
        <w:t xml:space="preserve">The detention certificate for availing the above concession shall be submitted within a period of six months from the date of clearance of goods. </w:t>
      </w:r>
    </w:p>
    <w:p w:rsidR="00B52947" w:rsidRDefault="00B52947" w:rsidP="00B52947">
      <w:pPr>
        <w:spacing w:after="0" w:line="259" w:lineRule="auto"/>
        <w:ind w:left="0" w:firstLine="0"/>
        <w:jc w:val="left"/>
      </w:pPr>
      <w:r>
        <w:t xml:space="preserve">     </w:t>
      </w:r>
    </w:p>
    <w:p w:rsidR="00B52947" w:rsidRDefault="00B52947" w:rsidP="00B52947">
      <w:pPr>
        <w:ind w:left="1450"/>
      </w:pPr>
      <w:r>
        <w:t xml:space="preserve">  (iv). Demurrage charge on cargo shall not accrue for the period when the VSPL is not in a position to deliver / ship the cargo when requested by the user due to reasons attributable to VSPL. </w:t>
      </w:r>
    </w:p>
    <w:p w:rsidR="00B52947" w:rsidRDefault="00B52947" w:rsidP="00B52947">
      <w:pPr>
        <w:spacing w:after="0" w:line="259" w:lineRule="auto"/>
        <w:ind w:left="720" w:firstLine="0"/>
        <w:jc w:val="left"/>
      </w:pPr>
      <w:r>
        <w:t xml:space="preserve"> </w:t>
      </w:r>
    </w:p>
    <w:p w:rsidR="00B52947" w:rsidRDefault="00B52947" w:rsidP="00B52947">
      <w:pPr>
        <w:ind w:left="1450"/>
      </w:pPr>
      <w:r>
        <w:t xml:space="preserve">  (v). If operational area is leased on rental to user, demurrage on cargo stored therein shall not be levied again. </w:t>
      </w:r>
    </w:p>
    <w:p w:rsidR="00B52947" w:rsidRDefault="00B52947" w:rsidP="00B52947">
      <w:pPr>
        <w:spacing w:after="0" w:line="259" w:lineRule="auto"/>
        <w:ind w:left="0" w:firstLine="0"/>
        <w:jc w:val="left"/>
        <w:rPr>
          <w:b/>
        </w:rPr>
      </w:pPr>
      <w:r>
        <w:rPr>
          <w:b/>
        </w:rPr>
        <w:t xml:space="preserve"> </w:t>
      </w: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pPr>
    </w:p>
    <w:p w:rsidR="00B52947" w:rsidRDefault="00B52947" w:rsidP="00B52947">
      <w:pPr>
        <w:tabs>
          <w:tab w:val="center" w:pos="2612"/>
        </w:tabs>
        <w:spacing w:after="3" w:line="259" w:lineRule="auto"/>
        <w:ind w:left="-15" w:firstLine="0"/>
        <w:jc w:val="left"/>
      </w:pPr>
      <w:r>
        <w:rPr>
          <w:b/>
        </w:rPr>
        <w:lastRenderedPageBreak/>
        <w:t xml:space="preserve">3.6.  </w:t>
      </w:r>
      <w:r>
        <w:rPr>
          <w:b/>
        </w:rPr>
        <w:tab/>
        <w:t>Storage charges: (open stacking space)</w:t>
      </w:r>
      <w:r>
        <w:rPr>
          <w:b/>
          <w:color w:val="FF0000"/>
        </w:rPr>
        <w:t xml:space="preserve"> </w:t>
      </w:r>
    </w:p>
    <w:p w:rsidR="00B52947" w:rsidRDefault="00B52947" w:rsidP="00B52947">
      <w:pPr>
        <w:spacing w:after="0" w:line="259" w:lineRule="auto"/>
        <w:ind w:left="0" w:firstLine="0"/>
        <w:jc w:val="left"/>
      </w:pPr>
      <w:r>
        <w:rPr>
          <w:b/>
        </w:rPr>
        <w:t xml:space="preserve"> </w:t>
      </w:r>
    </w:p>
    <w:p w:rsidR="00B52947" w:rsidRDefault="00B52947" w:rsidP="00B52947">
      <w:pPr>
        <w:tabs>
          <w:tab w:val="center" w:pos="2161"/>
        </w:tabs>
        <w:spacing w:after="3" w:line="259" w:lineRule="auto"/>
        <w:ind w:left="-15" w:firstLine="0"/>
        <w:jc w:val="left"/>
      </w:pPr>
      <w:r>
        <w:rPr>
          <w:b/>
        </w:rPr>
        <w:t xml:space="preserve">         </w:t>
      </w:r>
      <w:proofErr w:type="gramStart"/>
      <w:r>
        <w:rPr>
          <w:b/>
        </w:rPr>
        <w:t>3.6.1  Free</w:t>
      </w:r>
      <w:proofErr w:type="gramEnd"/>
      <w:r>
        <w:rPr>
          <w:b/>
        </w:rPr>
        <w:t xml:space="preserve"> Period:</w:t>
      </w:r>
      <w:r>
        <w:t xml:space="preserve"> </w:t>
      </w:r>
      <w:r>
        <w:tab/>
        <w:t xml:space="preserve">       </w:t>
      </w:r>
    </w:p>
    <w:p w:rsidR="00B52947" w:rsidRDefault="00B52947" w:rsidP="00B52947">
      <w:pPr>
        <w:spacing w:after="0" w:line="259" w:lineRule="auto"/>
        <w:ind w:left="720" w:firstLine="0"/>
        <w:jc w:val="left"/>
      </w:pPr>
      <w:r>
        <w:t xml:space="preserve"> </w:t>
      </w:r>
    </w:p>
    <w:p w:rsidR="00B52947" w:rsidRDefault="00B52947" w:rsidP="00B52947">
      <w:pPr>
        <w:tabs>
          <w:tab w:val="center" w:pos="870"/>
          <w:tab w:val="center" w:pos="1789"/>
        </w:tabs>
        <w:spacing w:after="3" w:line="259" w:lineRule="auto"/>
        <w:ind w:left="0" w:firstLine="0"/>
        <w:jc w:val="left"/>
      </w:pPr>
      <w:r>
        <w:rPr>
          <w:rFonts w:ascii="Calibri" w:eastAsia="Calibri" w:hAnsi="Calibri" w:cs="Calibri"/>
          <w:sz w:val="22"/>
        </w:rPr>
        <w:tab/>
      </w:r>
      <w:r>
        <w:t>(</w:t>
      </w:r>
      <w:proofErr w:type="gramStart"/>
      <w:r>
        <w:t>a</w:t>
      </w:r>
      <w:proofErr w:type="gramEnd"/>
      <w:r>
        <w:t xml:space="preserve">). </w:t>
      </w:r>
      <w:r>
        <w:tab/>
      </w:r>
      <w:r>
        <w:rPr>
          <w:b/>
        </w:rPr>
        <w:t>Export:</w:t>
      </w:r>
      <w:r>
        <w:t xml:space="preserve">  </w:t>
      </w:r>
    </w:p>
    <w:p w:rsidR="00B52947" w:rsidRDefault="00B52947" w:rsidP="00B52947">
      <w:pPr>
        <w:ind w:left="1440" w:firstLine="0"/>
      </w:pPr>
      <w:r>
        <w:t xml:space="preserve">1 day free period (excluding Customs holidays and VSPL’s </w:t>
      </w:r>
      <w:proofErr w:type="spellStart"/>
      <w:r>
        <w:t>non working</w:t>
      </w:r>
      <w:proofErr w:type="spellEnd"/>
      <w:r>
        <w:t xml:space="preserve"> days) will be allowed from the date of receipt of goods in the VSPL premises. </w:t>
      </w:r>
    </w:p>
    <w:p w:rsidR="00B52947" w:rsidRDefault="00B52947" w:rsidP="00B52947">
      <w:pPr>
        <w:spacing w:after="0" w:line="259" w:lineRule="auto"/>
        <w:ind w:left="720" w:firstLine="0"/>
        <w:jc w:val="left"/>
      </w:pPr>
      <w:r>
        <w:t xml:space="preserve"> </w:t>
      </w:r>
    </w:p>
    <w:p w:rsidR="00B52947" w:rsidRDefault="00B52947" w:rsidP="00B52947">
      <w:pPr>
        <w:tabs>
          <w:tab w:val="center" w:pos="870"/>
          <w:tab w:val="center" w:pos="1784"/>
        </w:tabs>
        <w:spacing w:after="27" w:line="259" w:lineRule="auto"/>
        <w:ind w:left="0" w:firstLine="0"/>
        <w:jc w:val="left"/>
      </w:pPr>
      <w:r>
        <w:rPr>
          <w:rFonts w:ascii="Calibri" w:eastAsia="Calibri" w:hAnsi="Calibri" w:cs="Calibri"/>
          <w:sz w:val="22"/>
        </w:rPr>
        <w:tab/>
      </w:r>
      <w:r>
        <w:t xml:space="preserve">(b). </w:t>
      </w:r>
      <w:r>
        <w:tab/>
      </w:r>
      <w:r>
        <w:rPr>
          <w:b/>
        </w:rPr>
        <w:t xml:space="preserve">Import: </w:t>
      </w:r>
    </w:p>
    <w:p w:rsidR="00B52947" w:rsidRDefault="00B52947" w:rsidP="00B52947">
      <w:pPr>
        <w:ind w:left="1450"/>
      </w:pPr>
      <w:r>
        <w:rPr>
          <w:b/>
        </w:rPr>
        <w:t xml:space="preserve"> </w:t>
      </w:r>
      <w:r>
        <w:t xml:space="preserve">1 day free period (excluding Customs holidays and VSPL’s </w:t>
      </w:r>
      <w:proofErr w:type="spellStart"/>
      <w:r>
        <w:t>non working</w:t>
      </w:r>
      <w:proofErr w:type="spellEnd"/>
      <w:r>
        <w:t xml:space="preserve"> days) will be allowed from the day following the completion of final discharge of cargo from the vessel.  </w:t>
      </w:r>
    </w:p>
    <w:p w:rsidR="00B52947" w:rsidRDefault="00B52947" w:rsidP="00B52947">
      <w:pPr>
        <w:spacing w:after="0" w:line="259" w:lineRule="auto"/>
        <w:ind w:left="0" w:firstLine="0"/>
        <w:jc w:val="left"/>
        <w:rPr>
          <w:b/>
        </w:rPr>
      </w:pPr>
      <w:r>
        <w:rPr>
          <w:b/>
        </w:rPr>
        <w:t xml:space="preserve"> </w:t>
      </w: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pPr>
    </w:p>
    <w:p w:rsidR="00B52947" w:rsidRDefault="00B52947" w:rsidP="00B52947">
      <w:pPr>
        <w:tabs>
          <w:tab w:val="center" w:pos="5761"/>
        </w:tabs>
        <w:spacing w:after="3" w:line="259" w:lineRule="auto"/>
        <w:ind w:left="-15" w:firstLine="0"/>
        <w:jc w:val="left"/>
        <w:rPr>
          <w:b/>
        </w:rPr>
      </w:pPr>
      <w:r>
        <w:rPr>
          <w:b/>
        </w:rPr>
        <w:t xml:space="preserve">        3.6.2. Storage charges </w:t>
      </w:r>
      <w:proofErr w:type="spellStart"/>
      <w:r>
        <w:rPr>
          <w:b/>
        </w:rPr>
        <w:t>leviable</w:t>
      </w:r>
      <w:proofErr w:type="spellEnd"/>
      <w:r>
        <w:rPr>
          <w:b/>
        </w:rPr>
        <w:t xml:space="preserve"> beyond the free period: </w:t>
      </w:r>
    </w:p>
    <w:p w:rsidR="00B52947" w:rsidRDefault="00B52947" w:rsidP="00B52947">
      <w:pPr>
        <w:tabs>
          <w:tab w:val="center" w:pos="5761"/>
        </w:tabs>
        <w:spacing w:after="3" w:line="259" w:lineRule="auto"/>
        <w:ind w:left="-15" w:firstLine="0"/>
        <w:jc w:val="left"/>
      </w:pPr>
      <w:r>
        <w:rPr>
          <w:b/>
        </w:rPr>
        <w:tab/>
        <w:t xml:space="preserve"> </w:t>
      </w:r>
    </w:p>
    <w:tbl>
      <w:tblPr>
        <w:tblStyle w:val="TableGrid"/>
        <w:tblW w:w="7910" w:type="dxa"/>
        <w:tblInd w:w="972" w:type="dxa"/>
        <w:tblCellMar>
          <w:top w:w="67" w:type="dxa"/>
          <w:left w:w="108" w:type="dxa"/>
          <w:bottom w:w="0" w:type="dxa"/>
          <w:right w:w="91" w:type="dxa"/>
        </w:tblCellMar>
        <w:tblLook w:val="04A0" w:firstRow="1" w:lastRow="0" w:firstColumn="1" w:lastColumn="0" w:noHBand="0" w:noVBand="1"/>
      </w:tblPr>
      <w:tblGrid>
        <w:gridCol w:w="4669"/>
        <w:gridCol w:w="2041"/>
        <w:gridCol w:w="1200"/>
      </w:tblGrid>
      <w:tr w:rsidR="00B52947" w:rsidTr="008D2954">
        <w:trPr>
          <w:trHeight w:val="514"/>
        </w:trPr>
        <w:tc>
          <w:tcPr>
            <w:tcW w:w="4669"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21" w:firstLine="0"/>
              <w:jc w:val="center"/>
            </w:pPr>
            <w:r>
              <w:rPr>
                <w:b/>
              </w:rPr>
              <w:t xml:space="preserve">Description </w:t>
            </w:r>
          </w:p>
        </w:tc>
        <w:tc>
          <w:tcPr>
            <w:tcW w:w="2041"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17" w:firstLine="0"/>
              <w:jc w:val="center"/>
            </w:pPr>
            <w:r>
              <w:rPr>
                <w:b/>
              </w:rPr>
              <w:t xml:space="preserve">Unit </w:t>
            </w:r>
          </w:p>
        </w:tc>
        <w:tc>
          <w:tcPr>
            <w:tcW w:w="1200"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36" w:firstLine="0"/>
              <w:jc w:val="left"/>
            </w:pPr>
            <w:r>
              <w:rPr>
                <w:b/>
              </w:rPr>
              <w:t xml:space="preserve">Rate (in </w:t>
            </w:r>
            <w:r>
              <w:rPr>
                <w:rFonts w:ascii="Malgun Gothic" w:eastAsia="Malgun Gothic" w:hAnsi="Malgun Gothic" w:cs="Malgun Gothic"/>
              </w:rPr>
              <w:t>`</w:t>
            </w:r>
            <w:r>
              <w:rPr>
                <w:b/>
              </w:rPr>
              <w:t xml:space="preserve">) </w:t>
            </w:r>
          </w:p>
        </w:tc>
      </w:tr>
      <w:tr w:rsidR="00B52947" w:rsidTr="008D2954">
        <w:trPr>
          <w:trHeight w:val="355"/>
        </w:trPr>
        <w:tc>
          <w:tcPr>
            <w:tcW w:w="4669"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For the first fortnight after the expiry of free period </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firstLine="0"/>
              <w:jc w:val="center"/>
            </w:pPr>
            <w:r>
              <w:t xml:space="preserve">Per </w:t>
            </w:r>
            <w:proofErr w:type="spellStart"/>
            <w:r>
              <w:t>Tonne</w:t>
            </w:r>
            <w:proofErr w:type="spellEnd"/>
            <w:r>
              <w:t xml:space="preserve"> or part thereof per fortnight </w:t>
            </w:r>
          </w:p>
        </w:tc>
        <w:tc>
          <w:tcPr>
            <w:tcW w:w="120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8" w:firstLine="0"/>
              <w:jc w:val="center"/>
            </w:pPr>
            <w:r>
              <w:rPr>
                <w:rFonts w:ascii="Malgun Gothic" w:eastAsia="Malgun Gothic" w:hAnsi="Malgun Gothic" w:cs="Malgun Gothic"/>
              </w:rPr>
              <w:t>`</w:t>
            </w:r>
            <w:r>
              <w:t xml:space="preserve">6/-  </w:t>
            </w:r>
          </w:p>
        </w:tc>
      </w:tr>
      <w:tr w:rsidR="00B52947" w:rsidTr="008D2954">
        <w:trPr>
          <w:trHeight w:val="356"/>
        </w:trPr>
        <w:tc>
          <w:tcPr>
            <w:tcW w:w="4669"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Second fortnight and thereafter </w:t>
            </w:r>
          </w:p>
        </w:tc>
        <w:tc>
          <w:tcPr>
            <w:tcW w:w="0" w:type="auto"/>
            <w:vMerge/>
            <w:tcBorders>
              <w:top w:val="nil"/>
              <w:left w:val="single" w:sz="4" w:space="0" w:color="000000"/>
              <w:bottom w:val="single" w:sz="4" w:space="0" w:color="000000"/>
              <w:right w:val="single" w:sz="4" w:space="0" w:color="000000"/>
            </w:tcBorders>
          </w:tcPr>
          <w:p w:rsidR="00B52947" w:rsidRDefault="00B52947" w:rsidP="008D2954">
            <w:pPr>
              <w:spacing w:after="160" w:line="259" w:lineRule="auto"/>
              <w:ind w:left="0" w:firstLine="0"/>
              <w:jc w:val="left"/>
            </w:pPr>
          </w:p>
        </w:tc>
        <w:tc>
          <w:tcPr>
            <w:tcW w:w="120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18" w:firstLine="0"/>
              <w:jc w:val="center"/>
            </w:pPr>
            <w:r>
              <w:rPr>
                <w:rFonts w:ascii="Malgun Gothic" w:eastAsia="Malgun Gothic" w:hAnsi="Malgun Gothic" w:cs="Malgun Gothic"/>
              </w:rPr>
              <w:t>`</w:t>
            </w:r>
            <w:r>
              <w:t xml:space="preserve">9/-  </w:t>
            </w:r>
          </w:p>
        </w:tc>
      </w:tr>
    </w:tbl>
    <w:p w:rsidR="00B52947" w:rsidRDefault="00B52947" w:rsidP="00B52947">
      <w:pPr>
        <w:spacing w:after="0" w:line="259" w:lineRule="auto"/>
        <w:ind w:left="0" w:firstLine="0"/>
        <w:jc w:val="left"/>
      </w:pPr>
      <w:r>
        <w:rPr>
          <w:b/>
        </w:rPr>
        <w:t xml:space="preserve"> </w:t>
      </w:r>
    </w:p>
    <w:p w:rsidR="00B52947" w:rsidRDefault="00B52947" w:rsidP="00B52947">
      <w:pPr>
        <w:spacing w:after="55" w:line="259" w:lineRule="auto"/>
        <w:ind w:left="-5" w:hanging="10"/>
        <w:jc w:val="left"/>
      </w:pPr>
      <w:r>
        <w:rPr>
          <w:b/>
        </w:rPr>
        <w:t xml:space="preserve">Notes: </w:t>
      </w:r>
    </w:p>
    <w:p w:rsidR="00B52947" w:rsidRDefault="00B52947" w:rsidP="00B52947">
      <w:pPr>
        <w:ind w:left="715"/>
      </w:pPr>
      <w:r>
        <w:t xml:space="preserve">(1).    Storage beyond 30 up to 45 days shall attract penal storage charges @ </w:t>
      </w:r>
      <w:r>
        <w:rPr>
          <w:rFonts w:ascii="Malgun Gothic" w:eastAsia="Malgun Gothic" w:hAnsi="Malgun Gothic" w:cs="Malgun Gothic"/>
        </w:rPr>
        <w:t>`</w:t>
      </w:r>
      <w:r>
        <w:t xml:space="preserve">3/- per ton per day in addition to the second fortnight storage charges.  Beyond 45 days storage charges shall be </w:t>
      </w:r>
      <w:r>
        <w:rPr>
          <w:rFonts w:ascii="Malgun Gothic" w:eastAsia="Malgun Gothic" w:hAnsi="Malgun Gothic" w:cs="Malgun Gothic"/>
        </w:rPr>
        <w:t>`</w:t>
      </w:r>
      <w:r>
        <w:t xml:space="preserve">24/- per ton per day. </w:t>
      </w:r>
    </w:p>
    <w:p w:rsidR="00B52947" w:rsidRDefault="00B52947" w:rsidP="00B52947">
      <w:pPr>
        <w:spacing w:after="0" w:line="259" w:lineRule="auto"/>
        <w:ind w:left="0" w:firstLine="0"/>
        <w:jc w:val="left"/>
        <w:rPr>
          <w:b/>
        </w:rPr>
      </w:pPr>
      <w:r>
        <w:rPr>
          <w:b/>
        </w:rPr>
        <w:t xml:space="preserve"> </w:t>
      </w: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pPr>
    </w:p>
    <w:p w:rsidR="00B52947" w:rsidRPr="00B52947" w:rsidRDefault="00B52947" w:rsidP="00B52947">
      <w:pPr>
        <w:numPr>
          <w:ilvl w:val="0"/>
          <w:numId w:val="1"/>
        </w:numPr>
        <w:spacing w:after="3" w:line="259" w:lineRule="auto"/>
        <w:ind w:hanging="220"/>
        <w:jc w:val="left"/>
      </w:pPr>
      <w:r>
        <w:rPr>
          <w:b/>
        </w:rPr>
        <w:t xml:space="preserve">7.  </w:t>
      </w:r>
      <w:r>
        <w:rPr>
          <w:b/>
        </w:rPr>
        <w:tab/>
        <w:t xml:space="preserve">Stevedoring charges: </w:t>
      </w:r>
    </w:p>
    <w:p w:rsidR="00B52947" w:rsidRDefault="00B52947" w:rsidP="00B52947">
      <w:pPr>
        <w:spacing w:after="3" w:line="259" w:lineRule="auto"/>
        <w:ind w:left="220" w:firstLine="0"/>
        <w:jc w:val="left"/>
      </w:pPr>
    </w:p>
    <w:tbl>
      <w:tblPr>
        <w:tblStyle w:val="TableGrid"/>
        <w:tblW w:w="8282" w:type="dxa"/>
        <w:tblInd w:w="720" w:type="dxa"/>
        <w:tblCellMar>
          <w:top w:w="7" w:type="dxa"/>
          <w:left w:w="108" w:type="dxa"/>
          <w:bottom w:w="0" w:type="dxa"/>
          <w:right w:w="53" w:type="dxa"/>
        </w:tblCellMar>
        <w:tblLook w:val="04A0" w:firstRow="1" w:lastRow="0" w:firstColumn="1" w:lastColumn="0" w:noHBand="0" w:noVBand="1"/>
      </w:tblPr>
      <w:tblGrid>
        <w:gridCol w:w="4921"/>
        <w:gridCol w:w="1741"/>
        <w:gridCol w:w="1620"/>
      </w:tblGrid>
      <w:tr w:rsidR="00B52947" w:rsidTr="008D2954">
        <w:trPr>
          <w:trHeight w:val="355"/>
        </w:trPr>
        <w:tc>
          <w:tcPr>
            <w:tcW w:w="4921" w:type="dxa"/>
            <w:vMerge w:val="restart"/>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0" w:right="58" w:firstLine="0"/>
              <w:jc w:val="center"/>
            </w:pPr>
            <w:r>
              <w:rPr>
                <w:b/>
              </w:rPr>
              <w:t xml:space="preserve">Commodities </w:t>
            </w:r>
          </w:p>
        </w:tc>
        <w:tc>
          <w:tcPr>
            <w:tcW w:w="3361" w:type="dxa"/>
            <w:gridSpan w:val="2"/>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4" w:firstLine="0"/>
              <w:jc w:val="center"/>
            </w:pPr>
            <w:r>
              <w:rPr>
                <w:b/>
              </w:rPr>
              <w:t xml:space="preserve">Rate in </w:t>
            </w:r>
            <w:r>
              <w:rPr>
                <w:rFonts w:ascii="Malgun Gothic" w:eastAsia="Malgun Gothic" w:hAnsi="Malgun Gothic" w:cs="Malgun Gothic"/>
                <w:b/>
              </w:rPr>
              <w:t>`</w:t>
            </w:r>
            <w:r>
              <w:rPr>
                <w:rFonts w:ascii="Malgun Gothic" w:eastAsia="Malgun Gothic" w:hAnsi="Malgun Gothic" w:cs="Malgun Gothic"/>
              </w:rPr>
              <w:t xml:space="preserve"> </w:t>
            </w:r>
            <w:r>
              <w:rPr>
                <w:b/>
              </w:rPr>
              <w:t xml:space="preserve">Per Ton </w:t>
            </w:r>
          </w:p>
        </w:tc>
      </w:tr>
      <w:tr w:rsidR="00B52947" w:rsidTr="008D2954">
        <w:trPr>
          <w:trHeight w:val="470"/>
        </w:trPr>
        <w:tc>
          <w:tcPr>
            <w:tcW w:w="0" w:type="auto"/>
            <w:vMerge/>
            <w:tcBorders>
              <w:top w:val="nil"/>
              <w:left w:val="single" w:sz="4" w:space="0" w:color="000000"/>
              <w:bottom w:val="single" w:sz="4" w:space="0" w:color="000000"/>
              <w:right w:val="single" w:sz="4" w:space="0" w:color="000000"/>
            </w:tcBorders>
          </w:tcPr>
          <w:p w:rsidR="00B52947" w:rsidRDefault="00B52947" w:rsidP="008D2954">
            <w:pPr>
              <w:spacing w:after="160" w:line="259" w:lineRule="auto"/>
              <w:ind w:left="0" w:firstLine="0"/>
              <w:jc w:val="left"/>
            </w:pP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center"/>
            </w:pPr>
            <w:r>
              <w:rPr>
                <w:b/>
              </w:rPr>
              <w:t xml:space="preserve">Other than coastal cargo </w:t>
            </w:r>
          </w:p>
        </w:tc>
        <w:tc>
          <w:tcPr>
            <w:tcW w:w="1620" w:type="dxa"/>
            <w:tcBorders>
              <w:top w:val="single" w:sz="4" w:space="0" w:color="000000"/>
              <w:left w:val="single" w:sz="4" w:space="0" w:color="000000"/>
              <w:bottom w:val="single" w:sz="4" w:space="0" w:color="000000"/>
              <w:right w:val="single" w:sz="4" w:space="0" w:color="000000"/>
            </w:tcBorders>
            <w:vAlign w:val="center"/>
          </w:tcPr>
          <w:p w:rsidR="00B52947" w:rsidRDefault="00B52947" w:rsidP="008D2954">
            <w:pPr>
              <w:spacing w:after="0" w:line="259" w:lineRule="auto"/>
              <w:ind w:left="41" w:firstLine="0"/>
              <w:jc w:val="left"/>
            </w:pPr>
            <w:r>
              <w:rPr>
                <w:b/>
              </w:rPr>
              <w:t xml:space="preserve">Coastal cargo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rPr>
                <w:b/>
              </w:rPr>
              <w:t xml:space="preserve">Dry Bulk: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3" w:firstLine="0"/>
              <w:jc w:val="center"/>
            </w:pPr>
            <w:r>
              <w:t xml:space="preserve">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proofErr w:type="spellStart"/>
            <w:r>
              <w:t>Fertilisers</w:t>
            </w:r>
            <w:proofErr w:type="spellEnd"/>
            <w:r>
              <w:t xml:space="preserve"> &amp; FRM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44.85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26.90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Pet coke, </w:t>
            </w:r>
            <w:proofErr w:type="spellStart"/>
            <w:r>
              <w:t>Calcined</w:t>
            </w:r>
            <w:proofErr w:type="spellEnd"/>
            <w:r>
              <w:t xml:space="preserve"> Pet Coke and Met Coke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15.00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Iron ore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25.00 </w:t>
            </w:r>
          </w:p>
        </w:tc>
      </w:tr>
      <w:tr w:rsidR="00B52947" w:rsidTr="008D2954">
        <w:trPr>
          <w:trHeight w:val="241"/>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Coking Coal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23.00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13.80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Cement Clinker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40.00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24.00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Feldspar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20.00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12.00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Thermal Coal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25.80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25.80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Steam Coal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25.80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15.50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Illuminated Sand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22.45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13.50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Lime Stone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15.00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lastRenderedPageBreak/>
              <w:t xml:space="preserve">Gypsum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25.00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15.00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Food Grain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39.25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23.55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Slag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22.45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13.50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Scrap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33.65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20.20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Raw Sugar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24.65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14.80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proofErr w:type="spellStart"/>
            <w:r>
              <w:t>Unenumurated</w:t>
            </w:r>
            <w:proofErr w:type="spellEnd"/>
            <w:r>
              <w:t xml:space="preserve"> goods /  cargo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40.00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24.00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rPr>
                <w:b/>
              </w:rPr>
              <w:t xml:space="preserve">Break-Bulk: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 w:firstLine="0"/>
              <w:jc w:val="center"/>
            </w:pPr>
            <w: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right"/>
            </w:pPr>
            <w:r>
              <w:t xml:space="preserve">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Steel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44.85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26.90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Pig Iron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28.05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16.85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Timber Logs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95.30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57.20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Granite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60.00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36.00 </w:t>
            </w:r>
          </w:p>
        </w:tc>
      </w:tr>
      <w:tr w:rsidR="00B52947" w:rsidTr="008D2954">
        <w:trPr>
          <w:trHeight w:val="240"/>
        </w:trPr>
        <w:tc>
          <w:tcPr>
            <w:tcW w:w="492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firstLine="0"/>
              <w:jc w:val="left"/>
            </w:pPr>
            <w:r>
              <w:t xml:space="preserve">Others </w:t>
            </w:r>
          </w:p>
        </w:tc>
        <w:tc>
          <w:tcPr>
            <w:tcW w:w="174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7" w:firstLine="0"/>
              <w:jc w:val="center"/>
            </w:pPr>
            <w:r>
              <w:t xml:space="preserve">39.25 </w:t>
            </w:r>
          </w:p>
        </w:tc>
        <w:tc>
          <w:tcPr>
            <w:tcW w:w="1620"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58" w:firstLine="0"/>
              <w:jc w:val="right"/>
            </w:pPr>
            <w:r>
              <w:t xml:space="preserve">23.55 </w:t>
            </w:r>
          </w:p>
        </w:tc>
      </w:tr>
    </w:tbl>
    <w:p w:rsidR="00B52947" w:rsidRDefault="00B52947" w:rsidP="00B52947">
      <w:pPr>
        <w:spacing w:after="3" w:line="259" w:lineRule="auto"/>
        <w:ind w:left="-5" w:hanging="10"/>
        <w:jc w:val="left"/>
      </w:pPr>
      <w:r>
        <w:rPr>
          <w:b/>
        </w:rPr>
        <w:t xml:space="preserve">Note:  </w:t>
      </w:r>
    </w:p>
    <w:p w:rsidR="00B52947" w:rsidRDefault="00B52947" w:rsidP="00B52947">
      <w:pPr>
        <w:spacing w:after="0" w:line="259" w:lineRule="auto"/>
        <w:ind w:left="0" w:firstLine="0"/>
        <w:jc w:val="left"/>
      </w:pPr>
      <w:r>
        <w:rPr>
          <w:b/>
        </w:rPr>
        <w:t xml:space="preserve"> </w:t>
      </w:r>
    </w:p>
    <w:p w:rsidR="00B52947" w:rsidRDefault="00B52947" w:rsidP="00B52947">
      <w:pPr>
        <w:tabs>
          <w:tab w:val="right" w:pos="8744"/>
        </w:tabs>
        <w:ind w:left="-15" w:firstLine="0"/>
        <w:jc w:val="left"/>
      </w:pPr>
      <w:r>
        <w:t>(1).</w:t>
      </w:r>
      <w:r>
        <w:rPr>
          <w:b/>
        </w:rPr>
        <w:t xml:space="preserve"> </w:t>
      </w:r>
      <w:r>
        <w:rPr>
          <w:b/>
        </w:rPr>
        <w:tab/>
      </w:r>
      <w:proofErr w:type="gramStart"/>
      <w:r>
        <w:t>The</w:t>
      </w:r>
      <w:proofErr w:type="gramEnd"/>
      <w:r>
        <w:t xml:space="preserve"> charges mentioned above are </w:t>
      </w:r>
      <w:proofErr w:type="spellStart"/>
      <w:r>
        <w:t>leviable</w:t>
      </w:r>
      <w:proofErr w:type="spellEnd"/>
      <w:r>
        <w:t xml:space="preserve"> for providing any</w:t>
      </w:r>
      <w:r>
        <w:rPr>
          <w:b/>
        </w:rPr>
        <w:t xml:space="preserve"> </w:t>
      </w:r>
      <w:r>
        <w:t xml:space="preserve">or all of the activities like </w:t>
      </w:r>
    </w:p>
    <w:p w:rsidR="00B52947" w:rsidRDefault="00B52947" w:rsidP="00B52947">
      <w:pPr>
        <w:ind w:left="720" w:firstLine="0"/>
      </w:pPr>
      <w:r>
        <w:t xml:space="preserve">Picking, Lifting, Hoisting, Maneuvering, Positioning, Lowering, Unloading and Loading of Cargo bulk or break-bulk from/or into the Vessel’s holds/Hatches/Combings/Wing Spaces/Between Decks and Decks till the Cargo is safely positioned either on the Wharf or on the Vessel, as the case may be. </w:t>
      </w:r>
    </w:p>
    <w:p w:rsidR="00B52947" w:rsidRDefault="00B52947" w:rsidP="00B52947">
      <w:pPr>
        <w:spacing w:after="0" w:line="259" w:lineRule="auto"/>
        <w:ind w:left="0" w:firstLine="0"/>
        <w:jc w:val="left"/>
      </w:pPr>
      <w:r>
        <w:t xml:space="preserve"> </w:t>
      </w:r>
    </w:p>
    <w:p w:rsidR="00B52947" w:rsidRDefault="00B52947" w:rsidP="00B52947">
      <w:pPr>
        <w:ind w:left="715"/>
      </w:pPr>
      <w:r>
        <w:t xml:space="preserve">(2). Coal handled under Bulk material handling system will not attract separate stevedoring charges prescribed in the schedule 3.7. </w:t>
      </w:r>
    </w:p>
    <w:p w:rsidR="00B52947" w:rsidRDefault="00B52947" w:rsidP="00B52947">
      <w:pPr>
        <w:spacing w:after="0" w:line="259" w:lineRule="auto"/>
        <w:ind w:left="0" w:firstLine="0"/>
        <w:jc w:val="left"/>
        <w:rPr>
          <w:b/>
        </w:rPr>
      </w:pPr>
      <w:r>
        <w:rPr>
          <w:b/>
        </w:rPr>
        <w:t xml:space="preserve"> </w:t>
      </w: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rPr>
          <w:b/>
        </w:rPr>
      </w:pPr>
    </w:p>
    <w:p w:rsidR="00B52947" w:rsidRDefault="00B52947" w:rsidP="00B52947">
      <w:pPr>
        <w:spacing w:after="0" w:line="259" w:lineRule="auto"/>
        <w:ind w:left="0" w:firstLine="0"/>
        <w:jc w:val="left"/>
      </w:pPr>
    </w:p>
    <w:p w:rsidR="00B52947" w:rsidRDefault="00B52947" w:rsidP="00B52947">
      <w:pPr>
        <w:tabs>
          <w:tab w:val="center" w:pos="2152"/>
        </w:tabs>
        <w:spacing w:after="3" w:line="259" w:lineRule="auto"/>
        <w:ind w:left="-15" w:firstLine="0"/>
        <w:jc w:val="left"/>
        <w:rPr>
          <w:b/>
        </w:rPr>
      </w:pPr>
      <w:r>
        <w:rPr>
          <w:b/>
        </w:rPr>
        <w:t xml:space="preserve">3.8. Charges for shore operations: </w:t>
      </w:r>
    </w:p>
    <w:p w:rsidR="00B52947" w:rsidRDefault="00B52947" w:rsidP="00B52947">
      <w:pPr>
        <w:tabs>
          <w:tab w:val="center" w:pos="2152"/>
        </w:tabs>
        <w:spacing w:after="3" w:line="259" w:lineRule="auto"/>
        <w:ind w:left="-15" w:firstLine="0"/>
        <w:jc w:val="left"/>
        <w:rPr>
          <w:b/>
        </w:rPr>
      </w:pPr>
    </w:p>
    <w:tbl>
      <w:tblPr>
        <w:tblStyle w:val="TableGrid"/>
        <w:tblW w:w="8402" w:type="dxa"/>
        <w:tblInd w:w="492" w:type="dxa"/>
        <w:tblCellMar>
          <w:top w:w="0" w:type="dxa"/>
          <w:left w:w="312" w:type="dxa"/>
          <w:bottom w:w="0" w:type="dxa"/>
          <w:right w:w="96" w:type="dxa"/>
        </w:tblCellMar>
        <w:tblLook w:val="04A0" w:firstRow="1" w:lastRow="0" w:firstColumn="1" w:lastColumn="0" w:noHBand="0" w:noVBand="1"/>
      </w:tblPr>
      <w:tblGrid>
        <w:gridCol w:w="3911"/>
        <w:gridCol w:w="2525"/>
        <w:gridCol w:w="1966"/>
      </w:tblGrid>
      <w:tr w:rsidR="00B52947" w:rsidTr="008D2954">
        <w:trPr>
          <w:gridAfter w:val="1"/>
          <w:wAfter w:w="1966" w:type="dxa"/>
          <w:trHeight w:val="511"/>
        </w:trPr>
        <w:tc>
          <w:tcPr>
            <w:tcW w:w="6436" w:type="dxa"/>
            <w:gridSpan w:val="2"/>
            <w:tcBorders>
              <w:top w:val="nil"/>
              <w:left w:val="nil"/>
              <w:bottom w:val="single" w:sz="4" w:space="0" w:color="000000"/>
              <w:right w:val="nil"/>
            </w:tcBorders>
          </w:tcPr>
          <w:p w:rsidR="00B52947" w:rsidRDefault="00B52947" w:rsidP="008D2954">
            <w:pPr>
              <w:tabs>
                <w:tab w:val="right" w:pos="4084"/>
              </w:tabs>
              <w:spacing w:after="0" w:line="259" w:lineRule="auto"/>
              <w:ind w:left="0" w:firstLine="0"/>
              <w:jc w:val="left"/>
            </w:pPr>
            <w:r>
              <w:rPr>
                <w:b/>
              </w:rPr>
              <w:t xml:space="preserve">                                        (Rate in </w:t>
            </w:r>
            <w:r>
              <w:rPr>
                <w:rFonts w:ascii="Malgun Gothic" w:eastAsia="Malgun Gothic" w:hAnsi="Malgun Gothic" w:cs="Malgun Gothic"/>
                <w:b/>
              </w:rPr>
              <w:t>`</w:t>
            </w:r>
            <w:r>
              <w:rPr>
                <w:b/>
              </w:rPr>
              <w:t xml:space="preserve"> per </w:t>
            </w:r>
            <w:proofErr w:type="spellStart"/>
            <w:r>
              <w:rPr>
                <w:b/>
              </w:rPr>
              <w:t>tonne</w:t>
            </w:r>
            <w:proofErr w:type="spellEnd"/>
            <w:r>
              <w:rPr>
                <w:b/>
              </w:rPr>
              <w:t xml:space="preserve"> or part thereof)</w:t>
            </w:r>
          </w:p>
        </w:tc>
      </w:tr>
      <w:tr w:rsidR="00B52947" w:rsidTr="008D2954">
        <w:trPr>
          <w:trHeight w:val="240"/>
        </w:trPr>
        <w:tc>
          <w:tcPr>
            <w:tcW w:w="391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28" w:firstLine="0"/>
              <w:jc w:val="center"/>
            </w:pPr>
            <w:r>
              <w:rPr>
                <w:b/>
              </w:rPr>
              <w:t xml:space="preserve">Other than Coastal cargo </w:t>
            </w:r>
          </w:p>
        </w:tc>
        <w:tc>
          <w:tcPr>
            <w:tcW w:w="4491" w:type="dxa"/>
            <w:gridSpan w:val="2"/>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21" w:firstLine="0"/>
              <w:jc w:val="center"/>
            </w:pPr>
            <w:r>
              <w:rPr>
                <w:b/>
              </w:rPr>
              <w:t xml:space="preserve">Coastal cargo </w:t>
            </w:r>
          </w:p>
        </w:tc>
      </w:tr>
      <w:tr w:rsidR="00B52947" w:rsidTr="008D2954">
        <w:trPr>
          <w:trHeight w:val="240"/>
        </w:trPr>
        <w:tc>
          <w:tcPr>
            <w:tcW w:w="3911" w:type="dxa"/>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21" w:firstLine="0"/>
              <w:jc w:val="center"/>
            </w:pPr>
            <w:r>
              <w:t xml:space="preserve">65.00 </w:t>
            </w:r>
          </w:p>
        </w:tc>
        <w:tc>
          <w:tcPr>
            <w:tcW w:w="4491" w:type="dxa"/>
            <w:gridSpan w:val="2"/>
            <w:tcBorders>
              <w:top w:val="single" w:sz="4" w:space="0" w:color="000000"/>
              <w:left w:val="single" w:sz="4" w:space="0" w:color="000000"/>
              <w:bottom w:val="single" w:sz="4" w:space="0" w:color="000000"/>
              <w:right w:val="single" w:sz="4" w:space="0" w:color="000000"/>
            </w:tcBorders>
          </w:tcPr>
          <w:p w:rsidR="00B52947" w:rsidRDefault="00B52947" w:rsidP="008D2954">
            <w:pPr>
              <w:spacing w:after="0" w:line="259" w:lineRule="auto"/>
              <w:ind w:left="0" w:right="218" w:firstLine="0"/>
              <w:jc w:val="center"/>
            </w:pPr>
            <w:r>
              <w:t xml:space="preserve">39.00 </w:t>
            </w:r>
          </w:p>
        </w:tc>
      </w:tr>
    </w:tbl>
    <w:p w:rsidR="00B52947" w:rsidRDefault="00B52947" w:rsidP="00B52947">
      <w:pPr>
        <w:spacing w:after="0" w:line="259" w:lineRule="auto"/>
        <w:ind w:left="0" w:firstLine="0"/>
        <w:jc w:val="left"/>
      </w:pPr>
      <w:r>
        <w:rPr>
          <w:b/>
        </w:rPr>
        <w:t xml:space="preserve"> </w:t>
      </w:r>
    </w:p>
    <w:p w:rsidR="00B52947" w:rsidRDefault="00B52947" w:rsidP="00B52947">
      <w:pPr>
        <w:ind w:left="715"/>
      </w:pPr>
      <w:r>
        <w:rPr>
          <w:b/>
        </w:rPr>
        <w:t xml:space="preserve">Note: </w:t>
      </w:r>
      <w:r>
        <w:t xml:space="preserve">Concessional tariff prescribed for coastal cargo will not be applicable for thermal coal, POL including crude oil, iron ore and iron ore pellets. </w:t>
      </w: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B52947" w:rsidRDefault="00B52947" w:rsidP="00B52947">
      <w:pPr>
        <w:spacing w:after="0" w:line="259" w:lineRule="auto"/>
        <w:ind w:left="54" w:firstLine="0"/>
        <w:jc w:val="center"/>
        <w:rPr>
          <w:b/>
        </w:rPr>
      </w:pPr>
    </w:p>
    <w:p w:rsidR="002D47A2" w:rsidRDefault="002D47A2" w:rsidP="00B52947">
      <w:pPr>
        <w:ind w:left="0" w:firstLine="0"/>
      </w:pPr>
      <w:bookmarkStart w:id="0" w:name="_GoBack"/>
      <w:bookmarkEnd w:id="0"/>
    </w:p>
    <w:sectPr w:rsidR="002D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B24D7"/>
    <w:multiLevelType w:val="hybridMultilevel"/>
    <w:tmpl w:val="EF123AAA"/>
    <w:lvl w:ilvl="0" w:tplc="D77E7958">
      <w:start w:val="3"/>
      <w:numFmt w:val="decimal"/>
      <w:lvlText w:val="%1."/>
      <w:lvlJc w:val="left"/>
      <w:pPr>
        <w:ind w:left="2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7840C0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67CD91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7EA786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782E8F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0CEF74C">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DD252A4">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AB4F16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42E7938">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947"/>
    <w:rsid w:val="002D47A2"/>
    <w:rsid w:val="00B5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47"/>
    <w:pPr>
      <w:spacing w:after="4" w:line="249" w:lineRule="auto"/>
      <w:ind w:left="730" w:hanging="730"/>
      <w:jc w:val="both"/>
    </w:pPr>
    <w:rPr>
      <w:rFonts w:ascii="Arial" w:eastAsia="Arial" w:hAnsi="Arial" w:cs="Arial"/>
      <w:color w:val="000000"/>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52947"/>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47"/>
    <w:pPr>
      <w:spacing w:after="4" w:line="249" w:lineRule="auto"/>
      <w:ind w:left="730" w:hanging="730"/>
      <w:jc w:val="both"/>
    </w:pPr>
    <w:rPr>
      <w:rFonts w:ascii="Arial" w:eastAsia="Arial" w:hAnsi="Arial" w:cs="Arial"/>
      <w:color w:val="000000"/>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5294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APP1</dc:creator>
  <cp:lastModifiedBy>APP1</cp:lastModifiedBy>
  <cp:revision>1</cp:revision>
  <dcterms:created xsi:type="dcterms:W3CDTF">2019-02-05T12:13:00Z</dcterms:created>
  <dcterms:modified xsi:type="dcterms:W3CDTF">2019-02-05T12:15:00Z</dcterms:modified>
</cp:coreProperties>
</file>